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CFBE" w14:textId="38AFE035" w:rsidR="003B4948" w:rsidRDefault="004A7A82" w:rsidP="005737F0">
      <w:r>
        <w:rPr>
          <w:noProof/>
        </w:rPr>
        <mc:AlternateContent>
          <mc:Choice Requires="wps">
            <w:drawing>
              <wp:anchor distT="46990" distB="46990" distL="90170" distR="90170" simplePos="0" relativeHeight="251658240" behindDoc="0" locked="1" layoutInCell="1" allowOverlap="0">
                <wp:simplePos x="0" y="0"/>
                <wp:positionH relativeFrom="column">
                  <wp:posOffset>-200660</wp:posOffset>
                </wp:positionH>
                <wp:positionV relativeFrom="page">
                  <wp:posOffset>5135880</wp:posOffset>
                </wp:positionV>
                <wp:extent cx="6486525" cy="4260215"/>
                <wp:effectExtent l="0" t="0" r="0" b="6985"/>
                <wp:wrapSquare wrapText="left"/>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486525" cy="4260215"/>
                        </a:xfrm>
                        <a:prstGeom prst="rect">
                          <a:avLst/>
                        </a:prstGeom>
                        <a:noFill/>
                        <a:ln w="6350">
                          <a:noFill/>
                        </a:ln>
                      </wps:spPr>
                      <wps:txbx>
                        <w:txbxContent>
                          <w:p w14:paraId="016A6D63" w14:textId="77777777" w:rsidR="00483523" w:rsidRDefault="004A7A82" w:rsidP="00D9224C">
                            <w:pPr>
                              <w:pStyle w:val="Title"/>
                              <w:rPr>
                                <w:sz w:val="72"/>
                                <w:szCs w:val="72"/>
                                <w:lang w:eastAsia="en-US"/>
                              </w:rPr>
                            </w:pPr>
                            <w:r w:rsidRPr="00483523">
                              <w:rPr>
                                <w:sz w:val="72"/>
                                <w:szCs w:val="72"/>
                                <w:lang w:eastAsia="en-US"/>
                              </w:rPr>
                              <w:t xml:space="preserve">Appendix A – </w:t>
                            </w:r>
                          </w:p>
                          <w:p w14:paraId="6AF31F71" w14:textId="77777777" w:rsidR="003B4948" w:rsidRPr="00483523" w:rsidRDefault="004A7A82" w:rsidP="00D9224C">
                            <w:pPr>
                              <w:pStyle w:val="Title"/>
                              <w:rPr>
                                <w:sz w:val="72"/>
                                <w:szCs w:val="72"/>
                                <w:lang w:eastAsia="en-US"/>
                              </w:rPr>
                            </w:pPr>
                            <w:r w:rsidRPr="00483523">
                              <w:rPr>
                                <w:sz w:val="72"/>
                                <w:szCs w:val="72"/>
                                <w:lang w:eastAsia="en-US"/>
                              </w:rPr>
                              <w:t xml:space="preserve">The County Council's Budget </w:t>
                            </w:r>
                            <w:r w:rsidR="00D846E9">
                              <w:rPr>
                                <w:sz w:val="72"/>
                                <w:szCs w:val="72"/>
                                <w:lang w:eastAsia="en-US"/>
                              </w:rPr>
                              <w:t>2024/25</w:t>
                            </w:r>
                            <w:r w:rsidR="004820A8" w:rsidRPr="00483523">
                              <w:rPr>
                                <w:sz w:val="72"/>
                                <w:szCs w:val="72"/>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8pt;margin-top:404.4pt;width:510.75pt;height:335.45pt;z-index:251658240;visibility:visible;mso-wrap-style:square;mso-width-percent:0;mso-height-percent:0;mso-wrap-distance-left:7.1pt;mso-wrap-distance-top:3.7pt;mso-wrap-distance-right:7.1pt;mso-wrap-distance-bottom:3.7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" o:allowoverlap="f" filled="f" stroked="f" strokeweight=".5pt">
                <o:lock v:ext="edit" aspectratio="t"/>
                <v:textbox>
                  <w:txbxContent>
                    <w:p w14:paraId="016A6D63" w14:textId="77777777" w:rsidR="00483523" w:rsidRDefault="004A7A82" w:rsidP="00D9224C">
                      <w:pPr>
                        <w:pStyle w:val="Title"/>
                        <w:rPr>
                          <w:sz w:val="72"/>
                          <w:szCs w:val="72"/>
                          <w:lang w:eastAsia="en-US"/>
                        </w:rPr>
                      </w:pPr>
                      <w:r w:rsidRPr="00483523">
                        <w:rPr>
                          <w:sz w:val="72"/>
                          <w:szCs w:val="72"/>
                          <w:lang w:eastAsia="en-US"/>
                        </w:rPr>
                        <w:t xml:space="preserve">Appendix A – </w:t>
                      </w:r>
                    </w:p>
                    <w:p w14:paraId="6AF31F71" w14:textId="77777777" w:rsidR="003B4948" w:rsidRPr="00483523" w:rsidRDefault="004A7A82" w:rsidP="00D9224C">
                      <w:pPr>
                        <w:pStyle w:val="Title"/>
                        <w:rPr>
                          <w:sz w:val="72"/>
                          <w:szCs w:val="72"/>
                          <w:lang w:eastAsia="en-US"/>
                        </w:rPr>
                      </w:pPr>
                      <w:r w:rsidRPr="00483523">
                        <w:rPr>
                          <w:sz w:val="72"/>
                          <w:szCs w:val="72"/>
                          <w:lang w:eastAsia="en-US"/>
                        </w:rPr>
                        <w:t xml:space="preserve">The County Council's Budget </w:t>
                      </w:r>
                      <w:r w:rsidR="00D846E9">
                        <w:rPr>
                          <w:sz w:val="72"/>
                          <w:szCs w:val="72"/>
                          <w:lang w:eastAsia="en-US"/>
                        </w:rPr>
                        <w:t>2024/25</w:t>
                      </w:r>
                      <w:r w:rsidR="004820A8" w:rsidRPr="00483523">
                        <w:rPr>
                          <w:sz w:val="72"/>
                          <w:szCs w:val="72"/>
                          <w:lang w:eastAsia="en-US"/>
                        </w:rPr>
                        <w:tab/>
                      </w:r>
                    </w:p>
                  </w:txbxContent>
                </v:textbox>
                <w10:wrap type="square" side="left" anchory="page"/>
                <w10:anchorlock/>
              </v:shape>
            </w:pict>
          </mc:Fallback>
        </mc:AlternateContent>
      </w:r>
    </w:p>
    <w:p w14:paraId="2C1094C5" w14:textId="77777777" w:rsidR="00404131" w:rsidRDefault="00404131" w:rsidP="005737F0">
      <w:pPr>
        <w:sectPr w:rsidR="00404131" w:rsidSect="001427AA">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454" w:footer="454" w:gutter="0"/>
          <w:cols w:space="708"/>
          <w:titlePg/>
          <w:docGrid w:linePitch="360"/>
        </w:sectPr>
      </w:pPr>
    </w:p>
    <w:p w14:paraId="00D9C3E2" w14:textId="77777777" w:rsidR="0020071D" w:rsidRPr="00B75D8C" w:rsidRDefault="004A7A82" w:rsidP="0020071D">
      <w:pPr>
        <w:pStyle w:val="H1NoNumb"/>
      </w:pPr>
      <w:bookmarkStart w:id="0" w:name="_Toc304199307"/>
      <w:r w:rsidRPr="00B75D8C">
        <w:lastRenderedPageBreak/>
        <w:t>Contents</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5489"/>
        <w:gridCol w:w="2328"/>
      </w:tblGrid>
      <w:tr w:rsidR="00C92CD8" w14:paraId="7DA89D93" w14:textId="77777777" w:rsidTr="008A0641">
        <w:trPr>
          <w:trHeight w:val="407"/>
        </w:trPr>
        <w:tc>
          <w:tcPr>
            <w:tcW w:w="1452" w:type="dxa"/>
            <w:shd w:val="clear" w:color="auto" w:fill="auto"/>
            <w:vAlign w:val="center"/>
          </w:tcPr>
          <w:bookmarkEnd w:id="0"/>
          <w:p w14:paraId="3D3C54F2" w14:textId="06FD7D50" w:rsidR="0020071D" w:rsidRPr="00B75D8C" w:rsidRDefault="004A7A82">
            <w:pPr>
              <w:ind w:right="-46"/>
              <w:jc w:val="center"/>
              <w:rPr>
                <w:rFonts w:cs="Arial"/>
                <w:b/>
                <w:bCs/>
              </w:rPr>
            </w:pPr>
            <w:r>
              <w:rPr>
                <w:rFonts w:cs="Arial"/>
                <w:b/>
                <w:bCs/>
              </w:rPr>
              <w:t>Section Reference</w:t>
            </w:r>
          </w:p>
        </w:tc>
        <w:tc>
          <w:tcPr>
            <w:tcW w:w="5489" w:type="dxa"/>
            <w:shd w:val="clear" w:color="auto" w:fill="auto"/>
            <w:vAlign w:val="center"/>
          </w:tcPr>
          <w:p w14:paraId="4E93A952" w14:textId="1E03C3AC" w:rsidR="0020071D" w:rsidRPr="00B75D8C" w:rsidRDefault="004A7A82">
            <w:pPr>
              <w:ind w:right="-46"/>
              <w:rPr>
                <w:rFonts w:cs="Arial"/>
                <w:b/>
                <w:bCs/>
              </w:rPr>
            </w:pPr>
            <w:r>
              <w:rPr>
                <w:rFonts w:cs="Arial"/>
                <w:b/>
                <w:bCs/>
              </w:rPr>
              <w:t>Description</w:t>
            </w:r>
          </w:p>
        </w:tc>
        <w:tc>
          <w:tcPr>
            <w:tcW w:w="2328" w:type="dxa"/>
            <w:shd w:val="clear" w:color="auto" w:fill="auto"/>
            <w:vAlign w:val="center"/>
          </w:tcPr>
          <w:p w14:paraId="11D39931" w14:textId="77777777" w:rsidR="0020071D" w:rsidRPr="00B75D8C" w:rsidRDefault="004A7A82">
            <w:pPr>
              <w:ind w:right="-46"/>
              <w:jc w:val="center"/>
              <w:rPr>
                <w:rFonts w:cs="Arial"/>
                <w:b/>
                <w:bCs/>
              </w:rPr>
            </w:pPr>
            <w:r w:rsidRPr="00B75D8C">
              <w:rPr>
                <w:rFonts w:cs="Arial"/>
                <w:b/>
                <w:bCs/>
              </w:rPr>
              <w:t>Page</w:t>
            </w:r>
          </w:p>
        </w:tc>
      </w:tr>
      <w:tr w:rsidR="00C92CD8" w14:paraId="674DBC02" w14:textId="77777777" w:rsidTr="00044924">
        <w:trPr>
          <w:trHeight w:val="418"/>
        </w:trPr>
        <w:tc>
          <w:tcPr>
            <w:tcW w:w="1452" w:type="dxa"/>
            <w:shd w:val="clear" w:color="auto" w:fill="auto"/>
            <w:vAlign w:val="center"/>
          </w:tcPr>
          <w:p w14:paraId="48B21A1F" w14:textId="77777777" w:rsidR="0020071D" w:rsidRPr="008A0641" w:rsidRDefault="004A7A82">
            <w:pPr>
              <w:ind w:right="-46"/>
              <w:jc w:val="center"/>
              <w:rPr>
                <w:rFonts w:cs="Arial"/>
              </w:rPr>
            </w:pPr>
            <w:r w:rsidRPr="008A0641">
              <w:rPr>
                <w:rFonts w:cs="Arial"/>
              </w:rPr>
              <w:t>1</w:t>
            </w:r>
          </w:p>
        </w:tc>
        <w:tc>
          <w:tcPr>
            <w:tcW w:w="5489" w:type="dxa"/>
            <w:shd w:val="clear" w:color="auto" w:fill="auto"/>
            <w:vAlign w:val="center"/>
          </w:tcPr>
          <w:p w14:paraId="51CA444F" w14:textId="0790DAAC" w:rsidR="0020071D" w:rsidRPr="008A0641" w:rsidRDefault="004A7A82">
            <w:pPr>
              <w:ind w:right="-46"/>
              <w:rPr>
                <w:rFonts w:cs="Arial"/>
              </w:rPr>
            </w:pPr>
            <w:r w:rsidRPr="008A0641">
              <w:rPr>
                <w:rFonts w:cs="Arial"/>
              </w:rPr>
              <w:t>Executive Summary</w:t>
            </w:r>
          </w:p>
        </w:tc>
        <w:tc>
          <w:tcPr>
            <w:tcW w:w="2328" w:type="dxa"/>
            <w:shd w:val="clear" w:color="auto" w:fill="auto"/>
            <w:vAlign w:val="center"/>
          </w:tcPr>
          <w:p w14:paraId="57AB7253" w14:textId="7206A865" w:rsidR="0020071D" w:rsidRPr="00044924" w:rsidRDefault="004A7A82" w:rsidP="00044924">
            <w:pPr>
              <w:ind w:right="-46"/>
              <w:jc w:val="center"/>
              <w:rPr>
                <w:rFonts w:cs="Arial"/>
              </w:rPr>
            </w:pPr>
            <w:r>
              <w:rPr>
                <w:rFonts w:cs="Arial"/>
              </w:rPr>
              <w:t>3</w:t>
            </w:r>
          </w:p>
        </w:tc>
      </w:tr>
      <w:tr w:rsidR="00C92CD8" w14:paraId="414A4C94" w14:textId="77777777" w:rsidTr="00044924">
        <w:trPr>
          <w:trHeight w:val="418"/>
        </w:trPr>
        <w:tc>
          <w:tcPr>
            <w:tcW w:w="1452" w:type="dxa"/>
            <w:shd w:val="clear" w:color="auto" w:fill="auto"/>
            <w:vAlign w:val="center"/>
          </w:tcPr>
          <w:p w14:paraId="2C327B1C" w14:textId="77777777" w:rsidR="0020071D" w:rsidRPr="008A0641" w:rsidRDefault="004A7A82">
            <w:pPr>
              <w:ind w:right="-46"/>
              <w:jc w:val="center"/>
              <w:rPr>
                <w:rFonts w:cs="Arial"/>
              </w:rPr>
            </w:pPr>
            <w:r w:rsidRPr="008A0641">
              <w:rPr>
                <w:rFonts w:cs="Arial"/>
              </w:rPr>
              <w:t>2</w:t>
            </w:r>
          </w:p>
        </w:tc>
        <w:tc>
          <w:tcPr>
            <w:tcW w:w="5489" w:type="dxa"/>
            <w:shd w:val="clear" w:color="auto" w:fill="auto"/>
            <w:vAlign w:val="center"/>
          </w:tcPr>
          <w:p w14:paraId="4E29778C" w14:textId="5094D84A" w:rsidR="0020071D" w:rsidRPr="008A0641" w:rsidRDefault="004A7A82">
            <w:pPr>
              <w:ind w:right="-46"/>
              <w:rPr>
                <w:rFonts w:cs="Arial"/>
              </w:rPr>
            </w:pPr>
            <w:r w:rsidRPr="008A0641">
              <w:rPr>
                <w:rFonts w:cs="Arial"/>
              </w:rPr>
              <w:t>Overall Budget Position</w:t>
            </w:r>
          </w:p>
        </w:tc>
        <w:tc>
          <w:tcPr>
            <w:tcW w:w="2328" w:type="dxa"/>
            <w:shd w:val="clear" w:color="auto" w:fill="auto"/>
            <w:vAlign w:val="center"/>
          </w:tcPr>
          <w:p w14:paraId="27DC1625" w14:textId="047720EF" w:rsidR="0020071D" w:rsidRPr="00044924" w:rsidRDefault="004A7A82" w:rsidP="00044924">
            <w:pPr>
              <w:ind w:right="-46"/>
              <w:jc w:val="center"/>
              <w:rPr>
                <w:rFonts w:cs="Arial"/>
              </w:rPr>
            </w:pPr>
            <w:r>
              <w:rPr>
                <w:rFonts w:cs="Arial"/>
              </w:rPr>
              <w:t>5</w:t>
            </w:r>
          </w:p>
        </w:tc>
      </w:tr>
      <w:tr w:rsidR="00C92CD8" w14:paraId="31E0355E" w14:textId="77777777" w:rsidTr="00044924">
        <w:trPr>
          <w:trHeight w:val="418"/>
        </w:trPr>
        <w:tc>
          <w:tcPr>
            <w:tcW w:w="1452" w:type="dxa"/>
            <w:shd w:val="clear" w:color="auto" w:fill="auto"/>
            <w:vAlign w:val="center"/>
          </w:tcPr>
          <w:p w14:paraId="5A689A03" w14:textId="77777777" w:rsidR="0020071D" w:rsidRPr="008A0641" w:rsidRDefault="004A7A82">
            <w:pPr>
              <w:ind w:right="-46"/>
              <w:jc w:val="center"/>
              <w:rPr>
                <w:rFonts w:cs="Arial"/>
              </w:rPr>
            </w:pPr>
            <w:r w:rsidRPr="008A0641">
              <w:rPr>
                <w:rFonts w:cs="Arial"/>
              </w:rPr>
              <w:t>3</w:t>
            </w:r>
          </w:p>
        </w:tc>
        <w:tc>
          <w:tcPr>
            <w:tcW w:w="5489" w:type="dxa"/>
            <w:shd w:val="clear" w:color="auto" w:fill="auto"/>
            <w:vAlign w:val="center"/>
          </w:tcPr>
          <w:p w14:paraId="50A26BBF" w14:textId="5889AA40" w:rsidR="0020071D" w:rsidRPr="008A0641" w:rsidRDefault="004A7A82">
            <w:pPr>
              <w:ind w:right="-46"/>
              <w:rPr>
                <w:rFonts w:cs="Arial"/>
              </w:rPr>
            </w:pPr>
            <w:r w:rsidRPr="008A0641">
              <w:rPr>
                <w:rFonts w:cs="Arial"/>
              </w:rPr>
              <w:t>Revenue Budget 2024/25</w:t>
            </w:r>
          </w:p>
        </w:tc>
        <w:tc>
          <w:tcPr>
            <w:tcW w:w="2328" w:type="dxa"/>
            <w:shd w:val="clear" w:color="auto" w:fill="auto"/>
            <w:vAlign w:val="center"/>
          </w:tcPr>
          <w:p w14:paraId="020C6DE2" w14:textId="6937219A" w:rsidR="0020071D" w:rsidRPr="00044924" w:rsidRDefault="004A7A82" w:rsidP="00044924">
            <w:pPr>
              <w:ind w:right="-46"/>
              <w:jc w:val="center"/>
              <w:rPr>
                <w:rFonts w:cs="Arial"/>
              </w:rPr>
            </w:pPr>
            <w:r>
              <w:rPr>
                <w:rFonts w:cs="Arial"/>
              </w:rPr>
              <w:t>6</w:t>
            </w:r>
          </w:p>
        </w:tc>
      </w:tr>
      <w:tr w:rsidR="00C92CD8" w14:paraId="09F8DB82" w14:textId="77777777" w:rsidTr="00044924">
        <w:trPr>
          <w:trHeight w:val="418"/>
        </w:trPr>
        <w:tc>
          <w:tcPr>
            <w:tcW w:w="1452" w:type="dxa"/>
            <w:shd w:val="clear" w:color="auto" w:fill="auto"/>
            <w:vAlign w:val="center"/>
          </w:tcPr>
          <w:p w14:paraId="016C2ED2" w14:textId="77777777" w:rsidR="0020071D" w:rsidRPr="008A0641" w:rsidRDefault="004A7A82">
            <w:pPr>
              <w:ind w:right="-46"/>
              <w:jc w:val="center"/>
              <w:rPr>
                <w:rFonts w:cs="Arial"/>
              </w:rPr>
            </w:pPr>
            <w:r w:rsidRPr="008A0641">
              <w:rPr>
                <w:rFonts w:cs="Arial"/>
              </w:rPr>
              <w:t>4</w:t>
            </w:r>
          </w:p>
        </w:tc>
        <w:tc>
          <w:tcPr>
            <w:tcW w:w="5489" w:type="dxa"/>
            <w:shd w:val="clear" w:color="auto" w:fill="auto"/>
            <w:vAlign w:val="center"/>
          </w:tcPr>
          <w:p w14:paraId="7EE2CA98" w14:textId="6808D78A" w:rsidR="0020071D" w:rsidRPr="008A0641" w:rsidRDefault="004A7A82">
            <w:pPr>
              <w:ind w:right="-46"/>
              <w:rPr>
                <w:rFonts w:cs="Arial"/>
              </w:rPr>
            </w:pPr>
            <w:r w:rsidRPr="008A0641">
              <w:rPr>
                <w:rFonts w:eastAsia="Calibri" w:cs="Helvetica-Light"/>
                <w:color w:val="000000"/>
              </w:rPr>
              <w:t>Pay</w:t>
            </w:r>
          </w:p>
        </w:tc>
        <w:tc>
          <w:tcPr>
            <w:tcW w:w="2328" w:type="dxa"/>
            <w:shd w:val="clear" w:color="auto" w:fill="auto"/>
            <w:vAlign w:val="center"/>
          </w:tcPr>
          <w:p w14:paraId="5D831CE8" w14:textId="0310F44E" w:rsidR="0020071D" w:rsidRPr="00044924" w:rsidRDefault="004A7A82" w:rsidP="00044924">
            <w:pPr>
              <w:ind w:right="-46"/>
              <w:jc w:val="center"/>
              <w:rPr>
                <w:rFonts w:cs="Arial"/>
              </w:rPr>
            </w:pPr>
            <w:r>
              <w:rPr>
                <w:rFonts w:cs="Arial"/>
              </w:rPr>
              <w:t>8</w:t>
            </w:r>
          </w:p>
        </w:tc>
      </w:tr>
      <w:tr w:rsidR="00C92CD8" w14:paraId="0A43F8FB" w14:textId="77777777" w:rsidTr="00044924">
        <w:trPr>
          <w:trHeight w:val="418"/>
        </w:trPr>
        <w:tc>
          <w:tcPr>
            <w:tcW w:w="1452" w:type="dxa"/>
            <w:shd w:val="clear" w:color="auto" w:fill="auto"/>
            <w:vAlign w:val="center"/>
          </w:tcPr>
          <w:p w14:paraId="6EA7153F" w14:textId="44C3E5BD" w:rsidR="0020071D" w:rsidRPr="008A0641" w:rsidRDefault="004A7A82" w:rsidP="008A0641">
            <w:pPr>
              <w:ind w:right="-46"/>
              <w:jc w:val="center"/>
              <w:rPr>
                <w:rFonts w:cs="Arial"/>
              </w:rPr>
            </w:pPr>
            <w:r w:rsidRPr="008A0641">
              <w:rPr>
                <w:rFonts w:cs="Arial"/>
              </w:rPr>
              <w:t>5</w:t>
            </w:r>
          </w:p>
        </w:tc>
        <w:tc>
          <w:tcPr>
            <w:tcW w:w="5489" w:type="dxa"/>
            <w:shd w:val="clear" w:color="auto" w:fill="auto"/>
            <w:vAlign w:val="center"/>
          </w:tcPr>
          <w:p w14:paraId="1AE6F89E" w14:textId="765DD48C" w:rsidR="0020071D" w:rsidRPr="008A0641" w:rsidRDefault="004A7A82">
            <w:pPr>
              <w:ind w:right="-46"/>
              <w:rPr>
                <w:rFonts w:cs="Arial"/>
              </w:rPr>
            </w:pPr>
            <w:r w:rsidRPr="008A0641">
              <w:rPr>
                <w:rFonts w:eastAsia="Calibri" w:cs="Helvetica-Light"/>
                <w:color w:val="000000"/>
              </w:rPr>
              <w:t>Inflation and Cost Changes</w:t>
            </w:r>
          </w:p>
        </w:tc>
        <w:tc>
          <w:tcPr>
            <w:tcW w:w="2328" w:type="dxa"/>
            <w:shd w:val="clear" w:color="auto" w:fill="auto"/>
            <w:vAlign w:val="center"/>
          </w:tcPr>
          <w:p w14:paraId="29DC7A13" w14:textId="3C790244" w:rsidR="0020071D" w:rsidRPr="00044924" w:rsidRDefault="004A7A82" w:rsidP="00044924">
            <w:pPr>
              <w:ind w:right="-46"/>
              <w:jc w:val="center"/>
              <w:rPr>
                <w:rFonts w:cs="Arial"/>
              </w:rPr>
            </w:pPr>
            <w:r>
              <w:rPr>
                <w:rFonts w:cs="Arial"/>
              </w:rPr>
              <w:t>9</w:t>
            </w:r>
          </w:p>
        </w:tc>
      </w:tr>
      <w:tr w:rsidR="00C92CD8" w14:paraId="5353C64A" w14:textId="77777777" w:rsidTr="00044924">
        <w:trPr>
          <w:trHeight w:val="418"/>
        </w:trPr>
        <w:tc>
          <w:tcPr>
            <w:tcW w:w="1452" w:type="dxa"/>
            <w:shd w:val="clear" w:color="auto" w:fill="auto"/>
            <w:vAlign w:val="center"/>
          </w:tcPr>
          <w:p w14:paraId="6CB372FF" w14:textId="77777777" w:rsidR="0020071D" w:rsidRPr="008A0641" w:rsidRDefault="004A7A82">
            <w:pPr>
              <w:ind w:right="-46"/>
              <w:jc w:val="center"/>
              <w:rPr>
                <w:rFonts w:cs="Arial"/>
              </w:rPr>
            </w:pPr>
            <w:r w:rsidRPr="008A0641">
              <w:rPr>
                <w:rFonts w:cs="Arial"/>
              </w:rPr>
              <w:t>6</w:t>
            </w:r>
          </w:p>
        </w:tc>
        <w:tc>
          <w:tcPr>
            <w:tcW w:w="5489" w:type="dxa"/>
            <w:shd w:val="clear" w:color="auto" w:fill="auto"/>
            <w:vAlign w:val="center"/>
          </w:tcPr>
          <w:p w14:paraId="15E08AE3" w14:textId="715931AF" w:rsidR="0020071D" w:rsidRPr="008A0641" w:rsidRDefault="004A7A82">
            <w:pPr>
              <w:ind w:right="-46"/>
              <w:rPr>
                <w:rFonts w:cs="Arial"/>
              </w:rPr>
            </w:pPr>
            <w:r w:rsidRPr="008A0641">
              <w:rPr>
                <w:rFonts w:cs="Arial"/>
              </w:rPr>
              <w:t>Demand and Volume Pressures</w:t>
            </w:r>
          </w:p>
        </w:tc>
        <w:tc>
          <w:tcPr>
            <w:tcW w:w="2328" w:type="dxa"/>
            <w:shd w:val="clear" w:color="auto" w:fill="auto"/>
            <w:vAlign w:val="center"/>
          </w:tcPr>
          <w:p w14:paraId="623CD8BD" w14:textId="2F75BA48" w:rsidR="0020071D" w:rsidRPr="00044924" w:rsidRDefault="004A7A82" w:rsidP="00044924">
            <w:pPr>
              <w:ind w:right="-46"/>
              <w:jc w:val="center"/>
              <w:rPr>
                <w:rFonts w:cs="Arial"/>
              </w:rPr>
            </w:pPr>
            <w:r>
              <w:rPr>
                <w:rFonts w:cs="Arial"/>
              </w:rPr>
              <w:t>10</w:t>
            </w:r>
          </w:p>
        </w:tc>
      </w:tr>
      <w:tr w:rsidR="00C92CD8" w14:paraId="1DCB755B" w14:textId="77777777" w:rsidTr="00044924">
        <w:trPr>
          <w:trHeight w:val="418"/>
        </w:trPr>
        <w:tc>
          <w:tcPr>
            <w:tcW w:w="1452" w:type="dxa"/>
            <w:shd w:val="clear" w:color="auto" w:fill="auto"/>
            <w:vAlign w:val="center"/>
          </w:tcPr>
          <w:p w14:paraId="14D005A6" w14:textId="472F6072" w:rsidR="003E16AD" w:rsidRPr="008A0641" w:rsidRDefault="004A7A82">
            <w:pPr>
              <w:ind w:right="-46"/>
              <w:jc w:val="center"/>
              <w:rPr>
                <w:rFonts w:cs="Arial"/>
              </w:rPr>
            </w:pPr>
            <w:r w:rsidRPr="008A0641">
              <w:rPr>
                <w:rFonts w:cs="Arial"/>
              </w:rPr>
              <w:t>7</w:t>
            </w:r>
          </w:p>
        </w:tc>
        <w:tc>
          <w:tcPr>
            <w:tcW w:w="5489" w:type="dxa"/>
            <w:shd w:val="clear" w:color="auto" w:fill="auto"/>
            <w:vAlign w:val="center"/>
          </w:tcPr>
          <w:p w14:paraId="0B755B91" w14:textId="1012325E" w:rsidR="00D30059" w:rsidRPr="008A0641" w:rsidRDefault="004A7A82">
            <w:pPr>
              <w:ind w:right="-46"/>
              <w:rPr>
                <w:rFonts w:cs="Arial"/>
              </w:rPr>
            </w:pPr>
            <w:r w:rsidRPr="008A0641">
              <w:rPr>
                <w:rFonts w:cs="Arial"/>
              </w:rPr>
              <w:t>Savings</w:t>
            </w:r>
          </w:p>
        </w:tc>
        <w:tc>
          <w:tcPr>
            <w:tcW w:w="2328" w:type="dxa"/>
            <w:shd w:val="clear" w:color="auto" w:fill="auto"/>
            <w:vAlign w:val="center"/>
          </w:tcPr>
          <w:p w14:paraId="30468E3D" w14:textId="673B1AA3" w:rsidR="003E16AD" w:rsidRPr="00044924" w:rsidRDefault="004A7A82" w:rsidP="00044924">
            <w:pPr>
              <w:ind w:right="-46"/>
              <w:jc w:val="center"/>
              <w:rPr>
                <w:rFonts w:cs="Arial"/>
              </w:rPr>
            </w:pPr>
            <w:r>
              <w:rPr>
                <w:rFonts w:cs="Arial"/>
              </w:rPr>
              <w:t>11</w:t>
            </w:r>
          </w:p>
        </w:tc>
      </w:tr>
      <w:tr w:rsidR="00C92CD8" w14:paraId="4E85FD27" w14:textId="77777777" w:rsidTr="00044924">
        <w:trPr>
          <w:trHeight w:val="418"/>
        </w:trPr>
        <w:tc>
          <w:tcPr>
            <w:tcW w:w="1452" w:type="dxa"/>
            <w:shd w:val="clear" w:color="auto" w:fill="auto"/>
            <w:vAlign w:val="center"/>
          </w:tcPr>
          <w:p w14:paraId="46EBB9B5" w14:textId="7F93D398" w:rsidR="003E16AD" w:rsidRPr="008A0641" w:rsidRDefault="004A7A82">
            <w:pPr>
              <w:ind w:right="-46"/>
              <w:jc w:val="center"/>
              <w:rPr>
                <w:rFonts w:cs="Arial"/>
              </w:rPr>
            </w:pPr>
            <w:r w:rsidRPr="008A0641">
              <w:rPr>
                <w:rFonts w:cs="Arial"/>
              </w:rPr>
              <w:t>8</w:t>
            </w:r>
          </w:p>
        </w:tc>
        <w:tc>
          <w:tcPr>
            <w:tcW w:w="5489" w:type="dxa"/>
            <w:shd w:val="clear" w:color="auto" w:fill="auto"/>
            <w:vAlign w:val="center"/>
          </w:tcPr>
          <w:p w14:paraId="5C402719" w14:textId="3E47AE91" w:rsidR="003E16AD" w:rsidRPr="008A0641" w:rsidRDefault="004A7A82">
            <w:pPr>
              <w:ind w:right="-46"/>
              <w:rPr>
                <w:rFonts w:cs="Arial"/>
              </w:rPr>
            </w:pPr>
            <w:r w:rsidRPr="008A0641">
              <w:rPr>
                <w:rFonts w:cs="Arial"/>
              </w:rPr>
              <w:t>Additional Grant</w:t>
            </w:r>
          </w:p>
        </w:tc>
        <w:tc>
          <w:tcPr>
            <w:tcW w:w="2328" w:type="dxa"/>
            <w:shd w:val="clear" w:color="auto" w:fill="auto"/>
            <w:vAlign w:val="center"/>
          </w:tcPr>
          <w:p w14:paraId="2428DBD3" w14:textId="17F0866A" w:rsidR="003E16AD" w:rsidRPr="00044924" w:rsidRDefault="004A7A82" w:rsidP="00044924">
            <w:pPr>
              <w:ind w:right="-46"/>
              <w:jc w:val="center"/>
              <w:rPr>
                <w:rFonts w:cs="Arial"/>
              </w:rPr>
            </w:pPr>
            <w:r>
              <w:rPr>
                <w:rFonts w:cs="Arial"/>
              </w:rPr>
              <w:t>12</w:t>
            </w:r>
          </w:p>
        </w:tc>
      </w:tr>
      <w:tr w:rsidR="00C92CD8" w14:paraId="15882A5D" w14:textId="77777777" w:rsidTr="00044924">
        <w:trPr>
          <w:trHeight w:val="418"/>
        </w:trPr>
        <w:tc>
          <w:tcPr>
            <w:tcW w:w="1452" w:type="dxa"/>
            <w:shd w:val="clear" w:color="auto" w:fill="auto"/>
            <w:vAlign w:val="center"/>
          </w:tcPr>
          <w:p w14:paraId="71CF5CDE" w14:textId="65297AC8" w:rsidR="003E16AD" w:rsidRPr="008A0641" w:rsidRDefault="004A7A82">
            <w:pPr>
              <w:ind w:right="-46"/>
              <w:jc w:val="center"/>
              <w:rPr>
                <w:rFonts w:cs="Arial"/>
              </w:rPr>
            </w:pPr>
            <w:r w:rsidRPr="008A0641">
              <w:rPr>
                <w:rFonts w:cs="Arial"/>
              </w:rPr>
              <w:t>9</w:t>
            </w:r>
          </w:p>
        </w:tc>
        <w:tc>
          <w:tcPr>
            <w:tcW w:w="5489" w:type="dxa"/>
            <w:shd w:val="clear" w:color="auto" w:fill="auto"/>
            <w:vAlign w:val="center"/>
          </w:tcPr>
          <w:p w14:paraId="3B2AA709" w14:textId="6B1F109F" w:rsidR="003E16AD" w:rsidRPr="008A0641" w:rsidRDefault="004A7A82">
            <w:pPr>
              <w:ind w:right="-46"/>
              <w:rPr>
                <w:rFonts w:cs="Arial"/>
              </w:rPr>
            </w:pPr>
            <w:r w:rsidRPr="008A0641">
              <w:rPr>
                <w:rFonts w:cs="Arial"/>
              </w:rPr>
              <w:t>Capital Financing Costs</w:t>
            </w:r>
          </w:p>
        </w:tc>
        <w:tc>
          <w:tcPr>
            <w:tcW w:w="2328" w:type="dxa"/>
            <w:shd w:val="clear" w:color="auto" w:fill="auto"/>
            <w:vAlign w:val="center"/>
          </w:tcPr>
          <w:p w14:paraId="6E56DDCE" w14:textId="0B18309F" w:rsidR="003E16AD" w:rsidRPr="00044924" w:rsidRDefault="004A7A82" w:rsidP="00044924">
            <w:pPr>
              <w:ind w:right="-46"/>
              <w:jc w:val="center"/>
              <w:rPr>
                <w:rFonts w:cs="Arial"/>
              </w:rPr>
            </w:pPr>
            <w:r>
              <w:rPr>
                <w:rFonts w:cs="Arial"/>
              </w:rPr>
              <w:t>12</w:t>
            </w:r>
          </w:p>
        </w:tc>
      </w:tr>
      <w:tr w:rsidR="00C92CD8" w14:paraId="02465732" w14:textId="77777777" w:rsidTr="00044924">
        <w:trPr>
          <w:trHeight w:val="418"/>
        </w:trPr>
        <w:tc>
          <w:tcPr>
            <w:tcW w:w="1452" w:type="dxa"/>
            <w:shd w:val="clear" w:color="auto" w:fill="auto"/>
            <w:vAlign w:val="center"/>
          </w:tcPr>
          <w:p w14:paraId="1F10505D" w14:textId="6BD83BA1" w:rsidR="003E16AD" w:rsidRPr="008A0641" w:rsidRDefault="004A7A82">
            <w:pPr>
              <w:ind w:right="-46"/>
              <w:jc w:val="center"/>
              <w:rPr>
                <w:rFonts w:cs="Arial"/>
              </w:rPr>
            </w:pPr>
            <w:r w:rsidRPr="008A0641">
              <w:rPr>
                <w:rFonts w:cs="Arial"/>
              </w:rPr>
              <w:t>10</w:t>
            </w:r>
          </w:p>
        </w:tc>
        <w:tc>
          <w:tcPr>
            <w:tcW w:w="5489" w:type="dxa"/>
            <w:shd w:val="clear" w:color="auto" w:fill="auto"/>
            <w:vAlign w:val="center"/>
          </w:tcPr>
          <w:p w14:paraId="4FE7C804" w14:textId="3C03F327" w:rsidR="003E16AD" w:rsidRPr="008A0641" w:rsidRDefault="004A7A82">
            <w:pPr>
              <w:ind w:right="-46"/>
              <w:rPr>
                <w:rFonts w:cs="Arial"/>
              </w:rPr>
            </w:pPr>
            <w:r w:rsidRPr="008A0641">
              <w:rPr>
                <w:rFonts w:cs="Arial"/>
              </w:rPr>
              <w:t>Funding</w:t>
            </w:r>
          </w:p>
        </w:tc>
        <w:tc>
          <w:tcPr>
            <w:tcW w:w="2328" w:type="dxa"/>
            <w:shd w:val="clear" w:color="auto" w:fill="auto"/>
            <w:vAlign w:val="center"/>
          </w:tcPr>
          <w:p w14:paraId="09F11F31" w14:textId="42C1D421" w:rsidR="003E16AD" w:rsidRPr="00044924" w:rsidRDefault="004A7A82" w:rsidP="00044924">
            <w:pPr>
              <w:ind w:right="-46"/>
              <w:jc w:val="center"/>
              <w:rPr>
                <w:rFonts w:cs="Arial"/>
              </w:rPr>
            </w:pPr>
            <w:r>
              <w:rPr>
                <w:rFonts w:cs="Arial"/>
              </w:rPr>
              <w:t>13</w:t>
            </w:r>
          </w:p>
        </w:tc>
      </w:tr>
      <w:tr w:rsidR="00C92CD8" w14:paraId="3E79A7BA" w14:textId="77777777" w:rsidTr="00044924">
        <w:trPr>
          <w:trHeight w:val="483"/>
        </w:trPr>
        <w:tc>
          <w:tcPr>
            <w:tcW w:w="1452" w:type="dxa"/>
            <w:shd w:val="clear" w:color="auto" w:fill="auto"/>
            <w:vAlign w:val="center"/>
          </w:tcPr>
          <w:p w14:paraId="1D39077A" w14:textId="4BBFB8D4" w:rsidR="003E16AD" w:rsidRPr="008A0641" w:rsidRDefault="004A7A82">
            <w:pPr>
              <w:ind w:right="-46"/>
              <w:jc w:val="center"/>
              <w:rPr>
                <w:rFonts w:cs="Arial"/>
              </w:rPr>
            </w:pPr>
            <w:r w:rsidRPr="008A0641">
              <w:rPr>
                <w:rFonts w:cs="Arial"/>
              </w:rPr>
              <w:t>11</w:t>
            </w:r>
          </w:p>
        </w:tc>
        <w:tc>
          <w:tcPr>
            <w:tcW w:w="5489" w:type="dxa"/>
            <w:shd w:val="clear" w:color="auto" w:fill="auto"/>
            <w:vAlign w:val="center"/>
          </w:tcPr>
          <w:p w14:paraId="2FE09569" w14:textId="5AF0AE34" w:rsidR="003E16AD" w:rsidRPr="008A0641" w:rsidRDefault="004A7A82">
            <w:pPr>
              <w:ind w:right="-46"/>
              <w:rPr>
                <w:rFonts w:cs="Arial"/>
              </w:rPr>
            </w:pPr>
            <w:r w:rsidRPr="008A0641">
              <w:rPr>
                <w:rFonts w:cs="Arial"/>
              </w:rPr>
              <w:t>Planning for a sustainable budget in future years</w:t>
            </w:r>
          </w:p>
        </w:tc>
        <w:tc>
          <w:tcPr>
            <w:tcW w:w="2328" w:type="dxa"/>
            <w:shd w:val="clear" w:color="auto" w:fill="auto"/>
            <w:vAlign w:val="center"/>
          </w:tcPr>
          <w:p w14:paraId="55D09890" w14:textId="453F20C4" w:rsidR="003E16AD" w:rsidRPr="00044924" w:rsidRDefault="004A7A82" w:rsidP="00044924">
            <w:pPr>
              <w:ind w:right="-46"/>
              <w:jc w:val="center"/>
              <w:rPr>
                <w:rFonts w:cs="Arial"/>
              </w:rPr>
            </w:pPr>
            <w:r>
              <w:rPr>
                <w:rFonts w:cs="Arial"/>
              </w:rPr>
              <w:t>19</w:t>
            </w:r>
          </w:p>
        </w:tc>
      </w:tr>
      <w:tr w:rsidR="00C92CD8" w14:paraId="2EFECBD0" w14:textId="77777777" w:rsidTr="00044924">
        <w:trPr>
          <w:trHeight w:val="483"/>
        </w:trPr>
        <w:tc>
          <w:tcPr>
            <w:tcW w:w="1452" w:type="dxa"/>
            <w:shd w:val="clear" w:color="auto" w:fill="auto"/>
            <w:vAlign w:val="center"/>
          </w:tcPr>
          <w:p w14:paraId="120E3F11" w14:textId="6758D42B" w:rsidR="003E16AD" w:rsidRPr="008A0641" w:rsidRDefault="004A7A82">
            <w:pPr>
              <w:ind w:right="-46"/>
              <w:jc w:val="center"/>
              <w:rPr>
                <w:rFonts w:cs="Arial"/>
              </w:rPr>
            </w:pPr>
            <w:r w:rsidRPr="008A0641">
              <w:rPr>
                <w:rFonts w:cs="Arial"/>
              </w:rPr>
              <w:t>12</w:t>
            </w:r>
          </w:p>
        </w:tc>
        <w:tc>
          <w:tcPr>
            <w:tcW w:w="5489" w:type="dxa"/>
            <w:shd w:val="clear" w:color="auto" w:fill="auto"/>
            <w:vAlign w:val="center"/>
          </w:tcPr>
          <w:p w14:paraId="479628F2" w14:textId="596F823F" w:rsidR="003E16AD" w:rsidRPr="008A0641" w:rsidRDefault="004A7A82">
            <w:pPr>
              <w:ind w:right="-46"/>
              <w:rPr>
                <w:rFonts w:cs="Arial"/>
              </w:rPr>
            </w:pPr>
            <w:r w:rsidRPr="008A0641">
              <w:rPr>
                <w:rFonts w:cs="Arial"/>
              </w:rPr>
              <w:t>Reserves</w:t>
            </w:r>
          </w:p>
        </w:tc>
        <w:tc>
          <w:tcPr>
            <w:tcW w:w="2328" w:type="dxa"/>
            <w:shd w:val="clear" w:color="auto" w:fill="auto"/>
            <w:vAlign w:val="center"/>
          </w:tcPr>
          <w:p w14:paraId="66ADA779" w14:textId="149B88BC" w:rsidR="003E16AD" w:rsidRPr="00044924" w:rsidRDefault="004A7A82" w:rsidP="00044924">
            <w:pPr>
              <w:ind w:right="-46"/>
              <w:jc w:val="center"/>
              <w:rPr>
                <w:rFonts w:cs="Arial"/>
              </w:rPr>
            </w:pPr>
            <w:r>
              <w:rPr>
                <w:rFonts w:cs="Arial"/>
              </w:rPr>
              <w:t>21</w:t>
            </w:r>
          </w:p>
        </w:tc>
      </w:tr>
      <w:tr w:rsidR="00C92CD8" w14:paraId="4AC3ACF5" w14:textId="77777777" w:rsidTr="00044924">
        <w:trPr>
          <w:trHeight w:val="483"/>
        </w:trPr>
        <w:tc>
          <w:tcPr>
            <w:tcW w:w="1452" w:type="dxa"/>
            <w:shd w:val="clear" w:color="auto" w:fill="auto"/>
            <w:vAlign w:val="center"/>
          </w:tcPr>
          <w:p w14:paraId="611FA648" w14:textId="31BF374D" w:rsidR="003E16AD" w:rsidRPr="008A0641" w:rsidRDefault="004A7A82">
            <w:pPr>
              <w:ind w:right="-46"/>
              <w:jc w:val="center"/>
              <w:rPr>
                <w:rFonts w:cs="Arial"/>
              </w:rPr>
            </w:pPr>
            <w:r w:rsidRPr="008A0641">
              <w:rPr>
                <w:rFonts w:cs="Arial"/>
              </w:rPr>
              <w:t>13</w:t>
            </w:r>
          </w:p>
        </w:tc>
        <w:tc>
          <w:tcPr>
            <w:tcW w:w="5489" w:type="dxa"/>
            <w:shd w:val="clear" w:color="auto" w:fill="auto"/>
            <w:vAlign w:val="center"/>
          </w:tcPr>
          <w:p w14:paraId="163B03E8" w14:textId="3B7C3D86" w:rsidR="003E16AD" w:rsidRPr="008A0641" w:rsidRDefault="004A7A82">
            <w:pPr>
              <w:ind w:right="-46"/>
              <w:rPr>
                <w:rFonts w:cs="Arial"/>
              </w:rPr>
            </w:pPr>
            <w:r w:rsidRPr="008A0641">
              <w:rPr>
                <w:rFonts w:cs="Arial"/>
              </w:rPr>
              <w:t>Fees and Charges</w:t>
            </w:r>
          </w:p>
        </w:tc>
        <w:tc>
          <w:tcPr>
            <w:tcW w:w="2328" w:type="dxa"/>
            <w:shd w:val="clear" w:color="auto" w:fill="auto"/>
            <w:vAlign w:val="center"/>
          </w:tcPr>
          <w:p w14:paraId="71119666" w14:textId="055B14D2" w:rsidR="003E16AD" w:rsidRPr="00044924" w:rsidRDefault="004A7A82" w:rsidP="00044924">
            <w:pPr>
              <w:ind w:right="-46"/>
              <w:jc w:val="center"/>
              <w:rPr>
                <w:rFonts w:cs="Arial"/>
              </w:rPr>
            </w:pPr>
            <w:r>
              <w:rPr>
                <w:rFonts w:cs="Arial"/>
              </w:rPr>
              <w:t>22</w:t>
            </w:r>
          </w:p>
        </w:tc>
      </w:tr>
      <w:tr w:rsidR="00C92CD8" w14:paraId="6B0DB6D2" w14:textId="77777777" w:rsidTr="00044924">
        <w:trPr>
          <w:trHeight w:val="483"/>
        </w:trPr>
        <w:tc>
          <w:tcPr>
            <w:tcW w:w="1452" w:type="dxa"/>
            <w:shd w:val="clear" w:color="auto" w:fill="auto"/>
            <w:vAlign w:val="center"/>
          </w:tcPr>
          <w:p w14:paraId="605F2136" w14:textId="5620BB9A" w:rsidR="003E16AD" w:rsidRPr="008A0641" w:rsidRDefault="004A7A82">
            <w:pPr>
              <w:ind w:right="-46"/>
              <w:jc w:val="center"/>
              <w:rPr>
                <w:rFonts w:cs="Arial"/>
              </w:rPr>
            </w:pPr>
            <w:r w:rsidRPr="008A0641">
              <w:rPr>
                <w:rFonts w:cs="Arial"/>
              </w:rPr>
              <w:t>14</w:t>
            </w:r>
          </w:p>
        </w:tc>
        <w:tc>
          <w:tcPr>
            <w:tcW w:w="5489" w:type="dxa"/>
            <w:shd w:val="clear" w:color="auto" w:fill="auto"/>
            <w:vAlign w:val="center"/>
          </w:tcPr>
          <w:p w14:paraId="3C89FB6B" w14:textId="5B9A20AD" w:rsidR="003E16AD" w:rsidRPr="008A0641" w:rsidRDefault="004A7A82">
            <w:pPr>
              <w:ind w:right="-46"/>
              <w:rPr>
                <w:rFonts w:cs="Arial"/>
              </w:rPr>
            </w:pPr>
            <w:r w:rsidRPr="008A0641">
              <w:rPr>
                <w:rFonts w:cs="Arial"/>
              </w:rPr>
              <w:t>Risks and Uncertainty</w:t>
            </w:r>
          </w:p>
        </w:tc>
        <w:tc>
          <w:tcPr>
            <w:tcW w:w="2328" w:type="dxa"/>
            <w:shd w:val="clear" w:color="auto" w:fill="auto"/>
            <w:vAlign w:val="center"/>
          </w:tcPr>
          <w:p w14:paraId="147F19CE" w14:textId="644C417D" w:rsidR="003E16AD" w:rsidRPr="00044924" w:rsidRDefault="004A7A82" w:rsidP="00044924">
            <w:pPr>
              <w:ind w:right="-46"/>
              <w:jc w:val="center"/>
              <w:rPr>
                <w:rFonts w:cs="Arial"/>
              </w:rPr>
            </w:pPr>
            <w:r>
              <w:rPr>
                <w:rFonts w:cs="Arial"/>
              </w:rPr>
              <w:t>23</w:t>
            </w:r>
          </w:p>
        </w:tc>
      </w:tr>
      <w:tr w:rsidR="00C92CD8" w14:paraId="64EC0FD8" w14:textId="77777777" w:rsidTr="00044924">
        <w:trPr>
          <w:trHeight w:val="483"/>
        </w:trPr>
        <w:tc>
          <w:tcPr>
            <w:tcW w:w="1452" w:type="dxa"/>
            <w:shd w:val="clear" w:color="auto" w:fill="auto"/>
            <w:vAlign w:val="center"/>
          </w:tcPr>
          <w:p w14:paraId="5C2ECA05" w14:textId="1EE511A1" w:rsidR="003E16AD" w:rsidRPr="008A0641" w:rsidRDefault="004A7A82">
            <w:pPr>
              <w:ind w:right="-46"/>
              <w:jc w:val="center"/>
              <w:rPr>
                <w:rFonts w:cs="Arial"/>
              </w:rPr>
            </w:pPr>
            <w:r w:rsidRPr="008A0641">
              <w:rPr>
                <w:rFonts w:cs="Arial"/>
              </w:rPr>
              <w:t>15</w:t>
            </w:r>
          </w:p>
        </w:tc>
        <w:tc>
          <w:tcPr>
            <w:tcW w:w="5489" w:type="dxa"/>
            <w:shd w:val="clear" w:color="auto" w:fill="auto"/>
            <w:vAlign w:val="center"/>
          </w:tcPr>
          <w:p w14:paraId="0A08FE5B" w14:textId="36F1A1B8" w:rsidR="003E16AD" w:rsidRPr="008A0641" w:rsidRDefault="004A7A82">
            <w:pPr>
              <w:ind w:right="-46"/>
              <w:rPr>
                <w:rFonts w:cs="Arial"/>
              </w:rPr>
            </w:pPr>
            <w:r w:rsidRPr="008A0641">
              <w:rPr>
                <w:rFonts w:cs="Arial"/>
              </w:rPr>
              <w:t xml:space="preserve">Capital Programme </w:t>
            </w:r>
          </w:p>
        </w:tc>
        <w:tc>
          <w:tcPr>
            <w:tcW w:w="2328" w:type="dxa"/>
            <w:shd w:val="clear" w:color="auto" w:fill="auto"/>
            <w:vAlign w:val="center"/>
          </w:tcPr>
          <w:p w14:paraId="1612A90D" w14:textId="33EACBFF" w:rsidR="003E16AD" w:rsidRPr="00044924" w:rsidRDefault="004A7A82" w:rsidP="00044924">
            <w:pPr>
              <w:ind w:right="-46"/>
              <w:jc w:val="center"/>
              <w:rPr>
                <w:rFonts w:cs="Arial"/>
              </w:rPr>
            </w:pPr>
            <w:r>
              <w:rPr>
                <w:rFonts w:cs="Arial"/>
              </w:rPr>
              <w:t>24</w:t>
            </w:r>
          </w:p>
        </w:tc>
      </w:tr>
      <w:tr w:rsidR="00C92CD8" w14:paraId="751208A5" w14:textId="77777777" w:rsidTr="00044924">
        <w:trPr>
          <w:trHeight w:val="483"/>
        </w:trPr>
        <w:tc>
          <w:tcPr>
            <w:tcW w:w="1452" w:type="dxa"/>
            <w:shd w:val="clear" w:color="auto" w:fill="auto"/>
            <w:vAlign w:val="center"/>
          </w:tcPr>
          <w:p w14:paraId="56048AF7" w14:textId="7E8AE70B" w:rsidR="003E16AD" w:rsidRPr="008A0641" w:rsidRDefault="004A7A82">
            <w:pPr>
              <w:ind w:right="-46"/>
              <w:jc w:val="center"/>
              <w:rPr>
                <w:rFonts w:cs="Arial"/>
              </w:rPr>
            </w:pPr>
            <w:r w:rsidRPr="008A0641">
              <w:rPr>
                <w:rFonts w:cs="Arial"/>
              </w:rPr>
              <w:t>16</w:t>
            </w:r>
          </w:p>
        </w:tc>
        <w:tc>
          <w:tcPr>
            <w:tcW w:w="5489" w:type="dxa"/>
            <w:shd w:val="clear" w:color="auto" w:fill="auto"/>
            <w:vAlign w:val="center"/>
          </w:tcPr>
          <w:p w14:paraId="075400D9" w14:textId="73BDD41A" w:rsidR="003E16AD" w:rsidRPr="008A0641" w:rsidRDefault="004A7A82">
            <w:pPr>
              <w:ind w:right="-46"/>
              <w:rPr>
                <w:rFonts w:cs="Arial"/>
              </w:rPr>
            </w:pPr>
            <w:r w:rsidRPr="008A0641">
              <w:rPr>
                <w:rFonts w:cs="Arial"/>
              </w:rPr>
              <w:t>Capital Strategy</w:t>
            </w:r>
          </w:p>
        </w:tc>
        <w:tc>
          <w:tcPr>
            <w:tcW w:w="2328" w:type="dxa"/>
            <w:shd w:val="clear" w:color="auto" w:fill="auto"/>
            <w:vAlign w:val="center"/>
          </w:tcPr>
          <w:p w14:paraId="3CB13383" w14:textId="1F4783E3" w:rsidR="003E16AD" w:rsidRPr="00044924" w:rsidRDefault="004A7A82" w:rsidP="00044924">
            <w:pPr>
              <w:ind w:right="-46"/>
              <w:jc w:val="center"/>
              <w:rPr>
                <w:rFonts w:cs="Arial"/>
              </w:rPr>
            </w:pPr>
            <w:r>
              <w:rPr>
                <w:rFonts w:cs="Arial"/>
              </w:rPr>
              <w:t>25</w:t>
            </w:r>
          </w:p>
        </w:tc>
      </w:tr>
      <w:tr w:rsidR="00C92CD8" w14:paraId="1FFF5C0D" w14:textId="77777777" w:rsidTr="00044924">
        <w:trPr>
          <w:trHeight w:val="483"/>
        </w:trPr>
        <w:tc>
          <w:tcPr>
            <w:tcW w:w="1452" w:type="dxa"/>
            <w:shd w:val="clear" w:color="auto" w:fill="auto"/>
            <w:vAlign w:val="center"/>
          </w:tcPr>
          <w:p w14:paraId="2FAB3F80" w14:textId="5D03FEEE" w:rsidR="003E16AD" w:rsidRPr="008A0641" w:rsidRDefault="004A7A82">
            <w:pPr>
              <w:ind w:right="-46"/>
              <w:jc w:val="center"/>
              <w:rPr>
                <w:rFonts w:cs="Arial"/>
              </w:rPr>
            </w:pPr>
            <w:r w:rsidRPr="008A0641">
              <w:rPr>
                <w:rFonts w:cs="Arial"/>
              </w:rPr>
              <w:t>17</w:t>
            </w:r>
          </w:p>
        </w:tc>
        <w:tc>
          <w:tcPr>
            <w:tcW w:w="5489" w:type="dxa"/>
            <w:shd w:val="clear" w:color="auto" w:fill="auto"/>
            <w:vAlign w:val="center"/>
          </w:tcPr>
          <w:p w14:paraId="57AFD78F" w14:textId="3B9D78C6" w:rsidR="003E16AD" w:rsidRPr="008A0641" w:rsidRDefault="004A7A82">
            <w:pPr>
              <w:ind w:right="-46"/>
              <w:rPr>
                <w:rFonts w:cs="Arial"/>
              </w:rPr>
            </w:pPr>
            <w:r w:rsidRPr="008A0641">
              <w:rPr>
                <w:rFonts w:cs="Arial"/>
              </w:rPr>
              <w:t xml:space="preserve">Associated </w:t>
            </w:r>
            <w:r w:rsidR="00C625E1" w:rsidRPr="008A0641">
              <w:rPr>
                <w:rFonts w:cs="Arial"/>
              </w:rPr>
              <w:t>Statements and Policies</w:t>
            </w:r>
          </w:p>
        </w:tc>
        <w:tc>
          <w:tcPr>
            <w:tcW w:w="2328" w:type="dxa"/>
            <w:shd w:val="clear" w:color="auto" w:fill="auto"/>
            <w:vAlign w:val="center"/>
          </w:tcPr>
          <w:p w14:paraId="0FED5C6C" w14:textId="02332519" w:rsidR="003E16AD" w:rsidRPr="00044924" w:rsidRDefault="004A7A82" w:rsidP="00044924">
            <w:pPr>
              <w:ind w:right="-46"/>
              <w:jc w:val="center"/>
              <w:rPr>
                <w:rFonts w:cs="Arial"/>
              </w:rPr>
            </w:pPr>
            <w:r>
              <w:rPr>
                <w:rFonts w:cs="Arial"/>
              </w:rPr>
              <w:t>25</w:t>
            </w:r>
          </w:p>
        </w:tc>
      </w:tr>
      <w:tr w:rsidR="00C92CD8" w14:paraId="3D87B0F0" w14:textId="77777777" w:rsidTr="00044924">
        <w:trPr>
          <w:trHeight w:val="483"/>
        </w:trPr>
        <w:tc>
          <w:tcPr>
            <w:tcW w:w="1452" w:type="dxa"/>
            <w:shd w:val="clear" w:color="auto" w:fill="auto"/>
            <w:vAlign w:val="center"/>
          </w:tcPr>
          <w:p w14:paraId="57EED1B2" w14:textId="042CBF0B" w:rsidR="005E415C" w:rsidRPr="008A0641" w:rsidRDefault="004A7A82">
            <w:pPr>
              <w:ind w:right="-46"/>
              <w:jc w:val="center"/>
              <w:rPr>
                <w:rFonts w:cs="Arial"/>
              </w:rPr>
            </w:pPr>
            <w:r>
              <w:rPr>
                <w:rFonts w:cs="Arial"/>
              </w:rPr>
              <w:t>18</w:t>
            </w:r>
          </w:p>
        </w:tc>
        <w:tc>
          <w:tcPr>
            <w:tcW w:w="5489" w:type="dxa"/>
            <w:shd w:val="clear" w:color="auto" w:fill="auto"/>
            <w:vAlign w:val="center"/>
          </w:tcPr>
          <w:p w14:paraId="7FEF7047" w14:textId="3DEDA296" w:rsidR="005E415C" w:rsidRPr="008A0641" w:rsidRDefault="004A7A82">
            <w:pPr>
              <w:ind w:right="-46"/>
              <w:rPr>
                <w:rFonts w:cs="Arial"/>
              </w:rPr>
            </w:pPr>
            <w:r w:rsidRPr="005E415C">
              <w:rPr>
                <w:rFonts w:cs="Arial"/>
              </w:rPr>
              <w:t>Chief Finance Officer – Assurance Statement</w:t>
            </w:r>
          </w:p>
        </w:tc>
        <w:tc>
          <w:tcPr>
            <w:tcW w:w="2328" w:type="dxa"/>
            <w:shd w:val="clear" w:color="auto" w:fill="auto"/>
            <w:vAlign w:val="center"/>
          </w:tcPr>
          <w:p w14:paraId="1FB35319" w14:textId="77D15E82" w:rsidR="005E415C" w:rsidRPr="00044924" w:rsidRDefault="004A7A82" w:rsidP="00044924">
            <w:pPr>
              <w:ind w:right="-46"/>
              <w:jc w:val="center"/>
              <w:rPr>
                <w:rFonts w:cs="Arial"/>
              </w:rPr>
            </w:pPr>
            <w:r>
              <w:rPr>
                <w:rFonts w:cs="Arial"/>
              </w:rPr>
              <w:t>28</w:t>
            </w:r>
          </w:p>
        </w:tc>
      </w:tr>
      <w:tr w:rsidR="00C92CD8" w14:paraId="1593F136" w14:textId="77777777" w:rsidTr="00044924">
        <w:trPr>
          <w:trHeight w:val="397"/>
        </w:trPr>
        <w:tc>
          <w:tcPr>
            <w:tcW w:w="1452" w:type="dxa"/>
            <w:shd w:val="clear" w:color="auto" w:fill="auto"/>
            <w:vAlign w:val="center"/>
          </w:tcPr>
          <w:p w14:paraId="7CCE1EF8" w14:textId="77777777" w:rsidR="003E16AD" w:rsidRPr="008A0641" w:rsidRDefault="003E16AD">
            <w:pPr>
              <w:ind w:right="-46"/>
              <w:jc w:val="center"/>
              <w:rPr>
                <w:rFonts w:cs="Arial"/>
              </w:rPr>
            </w:pPr>
          </w:p>
        </w:tc>
        <w:tc>
          <w:tcPr>
            <w:tcW w:w="5489" w:type="dxa"/>
            <w:shd w:val="clear" w:color="auto" w:fill="auto"/>
            <w:vAlign w:val="center"/>
          </w:tcPr>
          <w:p w14:paraId="0A86FE94" w14:textId="77777777" w:rsidR="003E16AD" w:rsidRPr="008A0641" w:rsidRDefault="003E16AD">
            <w:pPr>
              <w:ind w:right="-46"/>
              <w:rPr>
                <w:rFonts w:cs="Arial"/>
              </w:rPr>
            </w:pPr>
          </w:p>
        </w:tc>
        <w:tc>
          <w:tcPr>
            <w:tcW w:w="2328" w:type="dxa"/>
            <w:shd w:val="clear" w:color="auto" w:fill="auto"/>
            <w:vAlign w:val="center"/>
          </w:tcPr>
          <w:p w14:paraId="77E133FA" w14:textId="77777777" w:rsidR="003E16AD" w:rsidRPr="00044924" w:rsidRDefault="003E16AD" w:rsidP="00044924">
            <w:pPr>
              <w:ind w:right="-46"/>
              <w:jc w:val="center"/>
              <w:rPr>
                <w:rFonts w:cs="Arial"/>
              </w:rPr>
            </w:pPr>
          </w:p>
        </w:tc>
      </w:tr>
      <w:tr w:rsidR="00C92CD8" w14:paraId="10B49E69" w14:textId="77777777" w:rsidTr="00044924">
        <w:trPr>
          <w:trHeight w:val="462"/>
        </w:trPr>
        <w:tc>
          <w:tcPr>
            <w:tcW w:w="1452" w:type="dxa"/>
            <w:shd w:val="clear" w:color="auto" w:fill="auto"/>
            <w:vAlign w:val="center"/>
          </w:tcPr>
          <w:p w14:paraId="3444BD8D" w14:textId="70FCBC3B" w:rsidR="0020071D" w:rsidRPr="008A0641" w:rsidRDefault="004A7A82" w:rsidP="008A0641">
            <w:pPr>
              <w:ind w:right="-46"/>
              <w:jc w:val="center"/>
              <w:rPr>
                <w:rFonts w:cs="Arial"/>
              </w:rPr>
            </w:pPr>
            <w:r w:rsidRPr="008A0641">
              <w:rPr>
                <w:rFonts w:cs="Arial"/>
              </w:rPr>
              <w:t>Annex A</w:t>
            </w:r>
          </w:p>
        </w:tc>
        <w:tc>
          <w:tcPr>
            <w:tcW w:w="5489" w:type="dxa"/>
            <w:shd w:val="clear" w:color="auto" w:fill="auto"/>
            <w:vAlign w:val="center"/>
          </w:tcPr>
          <w:p w14:paraId="4C28869D" w14:textId="3CF9AE14" w:rsidR="0020071D" w:rsidRPr="008A0641" w:rsidRDefault="004A7A82">
            <w:pPr>
              <w:ind w:right="-46"/>
              <w:rPr>
                <w:rFonts w:cs="Arial"/>
              </w:rPr>
            </w:pPr>
            <w:r w:rsidRPr="008A0641">
              <w:rPr>
                <w:rFonts w:cs="Arial"/>
              </w:rPr>
              <w:t>2024/25 Revenue Budget Detail</w:t>
            </w:r>
          </w:p>
        </w:tc>
        <w:tc>
          <w:tcPr>
            <w:tcW w:w="2328" w:type="dxa"/>
            <w:shd w:val="clear" w:color="auto" w:fill="auto"/>
            <w:vAlign w:val="center"/>
          </w:tcPr>
          <w:p w14:paraId="49C11E4F" w14:textId="10C3C166" w:rsidR="0020071D" w:rsidRPr="00044924" w:rsidRDefault="004A7A82" w:rsidP="00044924">
            <w:pPr>
              <w:ind w:right="-46"/>
              <w:jc w:val="center"/>
              <w:rPr>
                <w:rFonts w:cs="Arial"/>
              </w:rPr>
            </w:pPr>
            <w:r>
              <w:rPr>
                <w:rFonts w:cs="Arial"/>
              </w:rPr>
              <w:t>29</w:t>
            </w:r>
          </w:p>
        </w:tc>
      </w:tr>
      <w:tr w:rsidR="00C92CD8" w14:paraId="1C5A10A3" w14:textId="77777777" w:rsidTr="00044924">
        <w:trPr>
          <w:trHeight w:val="462"/>
        </w:trPr>
        <w:tc>
          <w:tcPr>
            <w:tcW w:w="1452" w:type="dxa"/>
            <w:shd w:val="clear" w:color="auto" w:fill="auto"/>
            <w:vAlign w:val="center"/>
          </w:tcPr>
          <w:p w14:paraId="2AC14FAA" w14:textId="268FE8BE" w:rsidR="00C625E1" w:rsidRPr="008A0641" w:rsidRDefault="004A7A82">
            <w:pPr>
              <w:ind w:right="-46"/>
              <w:jc w:val="center"/>
              <w:rPr>
                <w:rFonts w:cs="Arial"/>
              </w:rPr>
            </w:pPr>
            <w:r w:rsidRPr="008A0641">
              <w:rPr>
                <w:rFonts w:cs="Arial"/>
              </w:rPr>
              <w:t>Annex B</w:t>
            </w:r>
          </w:p>
        </w:tc>
        <w:tc>
          <w:tcPr>
            <w:tcW w:w="5489" w:type="dxa"/>
            <w:shd w:val="clear" w:color="auto" w:fill="auto"/>
            <w:vAlign w:val="center"/>
          </w:tcPr>
          <w:p w14:paraId="5519F716" w14:textId="1313AF21" w:rsidR="00C625E1" w:rsidRPr="008A0641" w:rsidRDefault="004A7A82">
            <w:pPr>
              <w:ind w:right="-46"/>
              <w:rPr>
                <w:rFonts w:cs="Arial"/>
              </w:rPr>
            </w:pPr>
            <w:r w:rsidRPr="008A0641">
              <w:rPr>
                <w:rFonts w:cs="Arial"/>
              </w:rPr>
              <w:t>Funding and Expenditure Assumptions</w:t>
            </w:r>
          </w:p>
        </w:tc>
        <w:tc>
          <w:tcPr>
            <w:tcW w:w="2328" w:type="dxa"/>
            <w:shd w:val="clear" w:color="auto" w:fill="auto"/>
            <w:vAlign w:val="center"/>
          </w:tcPr>
          <w:p w14:paraId="6028E806" w14:textId="1854C82D" w:rsidR="00C625E1" w:rsidRPr="00044924" w:rsidRDefault="004A7A82" w:rsidP="00044924">
            <w:pPr>
              <w:ind w:right="-46"/>
              <w:jc w:val="center"/>
              <w:rPr>
                <w:rFonts w:cs="Arial"/>
              </w:rPr>
            </w:pPr>
            <w:r>
              <w:rPr>
                <w:rFonts w:cs="Arial"/>
              </w:rPr>
              <w:t>55</w:t>
            </w:r>
          </w:p>
        </w:tc>
      </w:tr>
      <w:tr w:rsidR="00C92CD8" w14:paraId="7D59EEEA" w14:textId="77777777" w:rsidTr="00044924">
        <w:trPr>
          <w:trHeight w:val="462"/>
        </w:trPr>
        <w:tc>
          <w:tcPr>
            <w:tcW w:w="1452" w:type="dxa"/>
            <w:shd w:val="clear" w:color="auto" w:fill="auto"/>
            <w:vAlign w:val="center"/>
          </w:tcPr>
          <w:p w14:paraId="746F9D36" w14:textId="4320C31F" w:rsidR="00C625E1" w:rsidRPr="008A0641" w:rsidRDefault="004A7A82">
            <w:pPr>
              <w:ind w:right="-46"/>
              <w:jc w:val="center"/>
              <w:rPr>
                <w:rFonts w:cs="Arial"/>
              </w:rPr>
            </w:pPr>
            <w:r w:rsidRPr="008A0641">
              <w:rPr>
                <w:rFonts w:cs="Arial"/>
              </w:rPr>
              <w:t>Annex C</w:t>
            </w:r>
          </w:p>
        </w:tc>
        <w:tc>
          <w:tcPr>
            <w:tcW w:w="5489" w:type="dxa"/>
            <w:shd w:val="clear" w:color="auto" w:fill="auto"/>
            <w:vAlign w:val="center"/>
          </w:tcPr>
          <w:p w14:paraId="78EF1BDF" w14:textId="1EB9FD22" w:rsidR="00C625E1" w:rsidRPr="008A0641" w:rsidRDefault="004A7A82">
            <w:pPr>
              <w:ind w:right="-46"/>
              <w:rPr>
                <w:rFonts w:cs="Arial"/>
              </w:rPr>
            </w:pPr>
            <w:r w:rsidRPr="008A0641">
              <w:rPr>
                <w:rFonts w:cs="Arial"/>
              </w:rPr>
              <w:t>Policy Savings Proposals</w:t>
            </w:r>
          </w:p>
        </w:tc>
        <w:tc>
          <w:tcPr>
            <w:tcW w:w="2328" w:type="dxa"/>
            <w:shd w:val="clear" w:color="auto" w:fill="auto"/>
            <w:vAlign w:val="center"/>
          </w:tcPr>
          <w:p w14:paraId="080D3293" w14:textId="3B07B456" w:rsidR="00C625E1" w:rsidRPr="00044924" w:rsidRDefault="004A7A82" w:rsidP="00044924">
            <w:pPr>
              <w:ind w:right="-46"/>
              <w:jc w:val="center"/>
              <w:rPr>
                <w:rFonts w:cs="Arial"/>
              </w:rPr>
            </w:pPr>
            <w:r>
              <w:rPr>
                <w:rFonts w:cs="Arial"/>
              </w:rPr>
              <w:t>58</w:t>
            </w:r>
          </w:p>
        </w:tc>
      </w:tr>
      <w:tr w:rsidR="00C92CD8" w14:paraId="7FDB40DA" w14:textId="77777777" w:rsidTr="00044924">
        <w:trPr>
          <w:trHeight w:val="483"/>
        </w:trPr>
        <w:tc>
          <w:tcPr>
            <w:tcW w:w="1452" w:type="dxa"/>
            <w:shd w:val="clear" w:color="auto" w:fill="auto"/>
            <w:vAlign w:val="center"/>
          </w:tcPr>
          <w:p w14:paraId="056F7802" w14:textId="15A42CAE" w:rsidR="00C625E1" w:rsidRPr="008A0641" w:rsidRDefault="004A7A82">
            <w:pPr>
              <w:ind w:right="-46"/>
              <w:jc w:val="center"/>
              <w:rPr>
                <w:rFonts w:cs="Arial"/>
              </w:rPr>
            </w:pPr>
            <w:r w:rsidRPr="008A0641">
              <w:rPr>
                <w:rFonts w:cs="Arial"/>
              </w:rPr>
              <w:t>Annex D</w:t>
            </w:r>
          </w:p>
        </w:tc>
        <w:tc>
          <w:tcPr>
            <w:tcW w:w="5489" w:type="dxa"/>
            <w:shd w:val="clear" w:color="auto" w:fill="auto"/>
            <w:vAlign w:val="center"/>
          </w:tcPr>
          <w:p w14:paraId="205B9090" w14:textId="3279A54B" w:rsidR="00BF4BF7" w:rsidRPr="008A0641" w:rsidRDefault="004A7A82" w:rsidP="008A0641">
            <w:pPr>
              <w:ind w:right="-46"/>
              <w:rPr>
                <w:rFonts w:cs="Arial"/>
              </w:rPr>
            </w:pPr>
            <w:r w:rsidRPr="008A0641">
              <w:rPr>
                <w:rFonts w:cs="Arial"/>
              </w:rPr>
              <w:t>Report of the Chief Financial Officer on the robustness of the 2024/25 budget estimates and the adequacy of reserves.</w:t>
            </w:r>
          </w:p>
        </w:tc>
        <w:tc>
          <w:tcPr>
            <w:tcW w:w="2328" w:type="dxa"/>
            <w:shd w:val="clear" w:color="auto" w:fill="auto"/>
            <w:vAlign w:val="center"/>
          </w:tcPr>
          <w:p w14:paraId="73C5A1C0" w14:textId="38F16BCB" w:rsidR="00C625E1" w:rsidRPr="00044924" w:rsidRDefault="004A7A82" w:rsidP="00044924">
            <w:pPr>
              <w:ind w:right="-46"/>
              <w:jc w:val="center"/>
              <w:rPr>
                <w:rFonts w:cs="Arial"/>
              </w:rPr>
            </w:pPr>
            <w:r>
              <w:rPr>
                <w:rFonts w:cs="Arial"/>
              </w:rPr>
              <w:t>60</w:t>
            </w:r>
          </w:p>
        </w:tc>
      </w:tr>
      <w:tr w:rsidR="00C92CD8" w14:paraId="391184AB" w14:textId="77777777" w:rsidTr="00044924">
        <w:trPr>
          <w:trHeight w:val="483"/>
        </w:trPr>
        <w:tc>
          <w:tcPr>
            <w:tcW w:w="1452" w:type="dxa"/>
            <w:shd w:val="clear" w:color="auto" w:fill="auto"/>
            <w:vAlign w:val="center"/>
          </w:tcPr>
          <w:p w14:paraId="1FAA9E55" w14:textId="73F555C7" w:rsidR="00C625E1" w:rsidRPr="008A0641" w:rsidRDefault="004A7A82">
            <w:pPr>
              <w:ind w:right="-46"/>
              <w:jc w:val="center"/>
              <w:rPr>
                <w:rFonts w:cs="Arial"/>
              </w:rPr>
            </w:pPr>
            <w:r w:rsidRPr="008A0641">
              <w:rPr>
                <w:rFonts w:cs="Arial"/>
              </w:rPr>
              <w:t>Annex E</w:t>
            </w:r>
          </w:p>
        </w:tc>
        <w:tc>
          <w:tcPr>
            <w:tcW w:w="5489" w:type="dxa"/>
            <w:shd w:val="clear" w:color="auto" w:fill="auto"/>
            <w:vAlign w:val="center"/>
          </w:tcPr>
          <w:p w14:paraId="6F88D6CD" w14:textId="3AD36C42" w:rsidR="00C625E1" w:rsidRPr="008A0641" w:rsidRDefault="004A7A82">
            <w:pPr>
              <w:ind w:right="-46"/>
              <w:rPr>
                <w:rFonts w:cs="Arial"/>
              </w:rPr>
            </w:pPr>
            <w:r w:rsidRPr="008A0641">
              <w:rPr>
                <w:rFonts w:cs="Arial"/>
              </w:rPr>
              <w:t>Capital Programme 2024/25</w:t>
            </w:r>
          </w:p>
        </w:tc>
        <w:tc>
          <w:tcPr>
            <w:tcW w:w="2328" w:type="dxa"/>
            <w:shd w:val="clear" w:color="auto" w:fill="auto"/>
            <w:vAlign w:val="center"/>
          </w:tcPr>
          <w:p w14:paraId="6FA571F4" w14:textId="3CF6BD47" w:rsidR="00C625E1" w:rsidRPr="00044924" w:rsidRDefault="004A7A82" w:rsidP="00044924">
            <w:pPr>
              <w:ind w:right="-46"/>
              <w:jc w:val="center"/>
              <w:rPr>
                <w:rFonts w:cs="Arial"/>
              </w:rPr>
            </w:pPr>
            <w:r>
              <w:rPr>
                <w:rFonts w:cs="Arial"/>
              </w:rPr>
              <w:t>65</w:t>
            </w:r>
          </w:p>
        </w:tc>
      </w:tr>
      <w:tr w:rsidR="00C92CD8" w14:paraId="327AEB9B" w14:textId="77777777" w:rsidTr="00044924">
        <w:trPr>
          <w:trHeight w:val="483"/>
        </w:trPr>
        <w:tc>
          <w:tcPr>
            <w:tcW w:w="1452" w:type="dxa"/>
            <w:shd w:val="clear" w:color="auto" w:fill="auto"/>
            <w:vAlign w:val="center"/>
          </w:tcPr>
          <w:p w14:paraId="379756BB" w14:textId="1030F560" w:rsidR="00C625E1" w:rsidRPr="008A0641" w:rsidRDefault="004A7A82">
            <w:pPr>
              <w:ind w:right="-46"/>
              <w:jc w:val="center"/>
              <w:rPr>
                <w:rFonts w:cs="Arial"/>
              </w:rPr>
            </w:pPr>
            <w:r w:rsidRPr="008A0641">
              <w:rPr>
                <w:rFonts w:cs="Arial"/>
              </w:rPr>
              <w:t>Annex F</w:t>
            </w:r>
          </w:p>
        </w:tc>
        <w:tc>
          <w:tcPr>
            <w:tcW w:w="5489" w:type="dxa"/>
            <w:shd w:val="clear" w:color="auto" w:fill="auto"/>
            <w:vAlign w:val="center"/>
          </w:tcPr>
          <w:p w14:paraId="43E72471" w14:textId="678A6BC1" w:rsidR="00C625E1" w:rsidRPr="008A0641" w:rsidRDefault="004A7A82">
            <w:pPr>
              <w:ind w:right="-46"/>
              <w:rPr>
                <w:rFonts w:cs="Arial"/>
              </w:rPr>
            </w:pPr>
            <w:r w:rsidRPr="008A0641">
              <w:rPr>
                <w:rFonts w:cs="Arial"/>
              </w:rPr>
              <w:t>Capital Strategy</w:t>
            </w:r>
          </w:p>
        </w:tc>
        <w:tc>
          <w:tcPr>
            <w:tcW w:w="2328" w:type="dxa"/>
            <w:shd w:val="clear" w:color="auto" w:fill="auto"/>
            <w:vAlign w:val="center"/>
          </w:tcPr>
          <w:p w14:paraId="156DDB18" w14:textId="7F5144C8" w:rsidR="00C625E1" w:rsidRPr="00044924" w:rsidRDefault="004A7A82" w:rsidP="00044924">
            <w:pPr>
              <w:ind w:right="-46"/>
              <w:jc w:val="center"/>
              <w:rPr>
                <w:rFonts w:cs="Arial"/>
              </w:rPr>
            </w:pPr>
            <w:r>
              <w:rPr>
                <w:rFonts w:cs="Arial"/>
              </w:rPr>
              <w:t>74</w:t>
            </w:r>
          </w:p>
        </w:tc>
      </w:tr>
      <w:tr w:rsidR="00C92CD8" w14:paraId="2CD2F2D3" w14:textId="77777777" w:rsidTr="00D269FD">
        <w:trPr>
          <w:trHeight w:val="483"/>
        </w:trPr>
        <w:tc>
          <w:tcPr>
            <w:tcW w:w="1452" w:type="dxa"/>
            <w:shd w:val="clear" w:color="auto" w:fill="auto"/>
            <w:vAlign w:val="center"/>
          </w:tcPr>
          <w:p w14:paraId="04BD3FFD" w14:textId="1B00EB5A" w:rsidR="00D269FD" w:rsidRPr="008A0641" w:rsidRDefault="004A7A82" w:rsidP="00D269FD">
            <w:pPr>
              <w:ind w:right="-46"/>
              <w:jc w:val="center"/>
              <w:rPr>
                <w:rFonts w:cs="Arial"/>
              </w:rPr>
            </w:pPr>
            <w:r>
              <w:rPr>
                <w:rFonts w:cs="Arial"/>
              </w:rPr>
              <w:t>Annex G</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14:paraId="6B4C8674" w14:textId="23BD32EA" w:rsidR="00D269FD" w:rsidRPr="008A0641" w:rsidRDefault="004A7A82" w:rsidP="00D269FD">
            <w:pPr>
              <w:ind w:right="-46"/>
              <w:rPr>
                <w:rFonts w:cs="Arial"/>
              </w:rPr>
            </w:pPr>
            <w:r w:rsidRPr="001E50EB">
              <w:rPr>
                <w:bCs/>
              </w:rPr>
              <w:t>Treasury Management Strategy</w:t>
            </w:r>
          </w:p>
        </w:tc>
        <w:tc>
          <w:tcPr>
            <w:tcW w:w="2328" w:type="dxa"/>
            <w:shd w:val="clear" w:color="auto" w:fill="auto"/>
            <w:vAlign w:val="center"/>
          </w:tcPr>
          <w:p w14:paraId="71CEFD29" w14:textId="56CF573C" w:rsidR="00D269FD" w:rsidRPr="00044924" w:rsidRDefault="004A7A82" w:rsidP="00D269FD">
            <w:pPr>
              <w:ind w:right="-46"/>
              <w:jc w:val="center"/>
              <w:rPr>
                <w:rFonts w:cs="Arial"/>
              </w:rPr>
            </w:pPr>
            <w:r>
              <w:rPr>
                <w:rFonts w:cs="Arial"/>
              </w:rPr>
              <w:t>84</w:t>
            </w:r>
          </w:p>
        </w:tc>
      </w:tr>
      <w:tr w:rsidR="00C92CD8" w14:paraId="508B8230" w14:textId="77777777" w:rsidTr="00D269FD">
        <w:trPr>
          <w:trHeight w:val="407"/>
        </w:trPr>
        <w:tc>
          <w:tcPr>
            <w:tcW w:w="1452" w:type="dxa"/>
            <w:shd w:val="clear" w:color="auto" w:fill="auto"/>
            <w:vAlign w:val="center"/>
          </w:tcPr>
          <w:p w14:paraId="6C5C53C5" w14:textId="77777777" w:rsidR="00D269FD" w:rsidRPr="00B75D8C" w:rsidRDefault="004A7A82" w:rsidP="00D269FD">
            <w:pPr>
              <w:ind w:right="-46"/>
              <w:jc w:val="center"/>
              <w:rPr>
                <w:rFonts w:cs="Arial"/>
                <w:b/>
                <w:bCs/>
              </w:rPr>
            </w:pPr>
            <w:r>
              <w:rPr>
                <w:rFonts w:cs="Arial"/>
                <w:b/>
                <w:bCs/>
              </w:rPr>
              <w:lastRenderedPageBreak/>
              <w:t>Section Reference</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14:paraId="2D069026" w14:textId="26A218D9" w:rsidR="00D269FD" w:rsidRPr="00B75D8C" w:rsidRDefault="00D269FD" w:rsidP="00D269FD">
            <w:pPr>
              <w:ind w:right="-46"/>
              <w:rPr>
                <w:rFonts w:cs="Arial"/>
                <w:b/>
                <w:bCs/>
              </w:rPr>
            </w:pPr>
          </w:p>
        </w:tc>
        <w:tc>
          <w:tcPr>
            <w:tcW w:w="2328" w:type="dxa"/>
            <w:shd w:val="clear" w:color="auto" w:fill="auto"/>
            <w:vAlign w:val="center"/>
          </w:tcPr>
          <w:p w14:paraId="6FD4C4B7" w14:textId="77777777" w:rsidR="00D269FD" w:rsidRPr="00B75D8C" w:rsidRDefault="004A7A82" w:rsidP="00D269FD">
            <w:pPr>
              <w:ind w:right="-46"/>
              <w:jc w:val="center"/>
              <w:rPr>
                <w:rFonts w:cs="Arial"/>
                <w:b/>
                <w:bCs/>
              </w:rPr>
            </w:pPr>
            <w:r w:rsidRPr="00B75D8C">
              <w:rPr>
                <w:rFonts w:cs="Arial"/>
                <w:b/>
                <w:bCs/>
              </w:rPr>
              <w:t>Page</w:t>
            </w:r>
          </w:p>
        </w:tc>
      </w:tr>
      <w:tr w:rsidR="00C92CD8" w14:paraId="48E1E045" w14:textId="77777777" w:rsidTr="00D269FD">
        <w:trPr>
          <w:trHeight w:val="483"/>
        </w:trPr>
        <w:tc>
          <w:tcPr>
            <w:tcW w:w="1452" w:type="dxa"/>
            <w:shd w:val="clear" w:color="auto" w:fill="auto"/>
            <w:vAlign w:val="center"/>
          </w:tcPr>
          <w:p w14:paraId="5DE66CA3" w14:textId="1518114B" w:rsidR="00D269FD" w:rsidRPr="008A0641" w:rsidRDefault="004A7A82" w:rsidP="00D269FD">
            <w:pPr>
              <w:ind w:right="-46"/>
              <w:jc w:val="center"/>
              <w:rPr>
                <w:rFonts w:cs="Arial"/>
              </w:rPr>
            </w:pPr>
            <w:r>
              <w:rPr>
                <w:rFonts w:cs="Arial"/>
              </w:rPr>
              <w:t>Annex H</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14:paraId="6BE2890C" w14:textId="23E516A2" w:rsidR="00D269FD" w:rsidRPr="008A0641" w:rsidRDefault="004A7A82" w:rsidP="00D269FD">
            <w:pPr>
              <w:ind w:right="-46"/>
              <w:rPr>
                <w:rFonts w:cs="Arial"/>
              </w:rPr>
            </w:pPr>
            <w:r>
              <w:rPr>
                <w:bCs/>
              </w:rPr>
              <w:t>Investment Strategy</w:t>
            </w:r>
          </w:p>
        </w:tc>
        <w:tc>
          <w:tcPr>
            <w:tcW w:w="2328" w:type="dxa"/>
            <w:shd w:val="clear" w:color="auto" w:fill="auto"/>
            <w:vAlign w:val="center"/>
          </w:tcPr>
          <w:p w14:paraId="6CB07769" w14:textId="14CF03BE" w:rsidR="00D269FD" w:rsidRPr="00044924" w:rsidRDefault="004A7A82" w:rsidP="00D269FD">
            <w:pPr>
              <w:ind w:right="-46"/>
              <w:jc w:val="center"/>
              <w:rPr>
                <w:rFonts w:cs="Arial"/>
              </w:rPr>
            </w:pPr>
            <w:r>
              <w:rPr>
                <w:rFonts w:cs="Arial"/>
              </w:rPr>
              <w:t>105</w:t>
            </w:r>
          </w:p>
        </w:tc>
      </w:tr>
      <w:tr w:rsidR="00C92CD8" w14:paraId="3C3437A2" w14:textId="77777777" w:rsidTr="00D269FD">
        <w:trPr>
          <w:trHeight w:val="483"/>
        </w:trPr>
        <w:tc>
          <w:tcPr>
            <w:tcW w:w="1452" w:type="dxa"/>
            <w:shd w:val="clear" w:color="auto" w:fill="auto"/>
            <w:vAlign w:val="center"/>
          </w:tcPr>
          <w:p w14:paraId="0DC5C360" w14:textId="407C9BAB" w:rsidR="004C6B57" w:rsidRDefault="004A7A82" w:rsidP="004C6B57">
            <w:pPr>
              <w:ind w:right="-46"/>
              <w:jc w:val="center"/>
              <w:rPr>
                <w:rFonts w:cs="Arial"/>
              </w:rPr>
            </w:pPr>
            <w:r>
              <w:rPr>
                <w:rFonts w:cs="Arial"/>
              </w:rPr>
              <w:t>Annex I</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14:paraId="76E4EC99" w14:textId="75C5AA8E" w:rsidR="004C6B57" w:rsidRPr="008A0641" w:rsidRDefault="004A7A82" w:rsidP="004C6B57">
            <w:pPr>
              <w:ind w:right="-46"/>
              <w:rPr>
                <w:rFonts w:cs="Arial"/>
              </w:rPr>
            </w:pPr>
            <w:r>
              <w:rPr>
                <w:bCs/>
              </w:rPr>
              <w:t>Minimum Revenue Provision Policy</w:t>
            </w:r>
          </w:p>
        </w:tc>
        <w:tc>
          <w:tcPr>
            <w:tcW w:w="2328" w:type="dxa"/>
            <w:shd w:val="clear" w:color="auto" w:fill="auto"/>
            <w:vAlign w:val="center"/>
          </w:tcPr>
          <w:p w14:paraId="4755A8A9" w14:textId="13884C30" w:rsidR="004C6B57" w:rsidRPr="00044924" w:rsidRDefault="004A7A82" w:rsidP="004C6B57">
            <w:pPr>
              <w:ind w:right="-46"/>
              <w:jc w:val="center"/>
              <w:rPr>
                <w:rFonts w:cs="Arial"/>
              </w:rPr>
            </w:pPr>
            <w:r>
              <w:rPr>
                <w:rFonts w:cs="Arial"/>
              </w:rPr>
              <w:t>108</w:t>
            </w:r>
          </w:p>
        </w:tc>
      </w:tr>
      <w:tr w:rsidR="00C92CD8" w14:paraId="3A8B4A02" w14:textId="77777777" w:rsidTr="00D269FD">
        <w:trPr>
          <w:trHeight w:val="483"/>
        </w:trPr>
        <w:tc>
          <w:tcPr>
            <w:tcW w:w="1452" w:type="dxa"/>
            <w:shd w:val="clear" w:color="auto" w:fill="auto"/>
            <w:vAlign w:val="center"/>
          </w:tcPr>
          <w:p w14:paraId="39D5F8F2" w14:textId="023C293B" w:rsidR="00116EA4" w:rsidRDefault="004A7A82" w:rsidP="004C6B57">
            <w:pPr>
              <w:ind w:right="-46"/>
              <w:jc w:val="center"/>
              <w:rPr>
                <w:rFonts w:cs="Arial"/>
              </w:rPr>
            </w:pPr>
            <w:r>
              <w:rPr>
                <w:rFonts w:cs="Arial"/>
              </w:rPr>
              <w:t>Annex J</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14:paraId="60BC40FE" w14:textId="1587B940" w:rsidR="00116EA4" w:rsidRDefault="004A7A82" w:rsidP="004C6B57">
            <w:pPr>
              <w:ind w:right="-46"/>
              <w:rPr>
                <w:bCs/>
              </w:rPr>
            </w:pPr>
            <w:r>
              <w:rPr>
                <w:bCs/>
              </w:rPr>
              <w:t>Annual Pay Policy Statement</w:t>
            </w:r>
            <w:r w:rsidR="007C0233">
              <w:rPr>
                <w:bCs/>
              </w:rPr>
              <w:t xml:space="preserve"> 2024/25 (</w:t>
            </w:r>
            <w:r w:rsidR="00EF231D">
              <w:rPr>
                <w:bCs/>
              </w:rPr>
              <w:t xml:space="preserve">The Localism Act </w:t>
            </w:r>
            <w:r w:rsidR="00895067">
              <w:rPr>
                <w:bCs/>
              </w:rPr>
              <w:t>2011)</w:t>
            </w:r>
            <w:r>
              <w:rPr>
                <w:bCs/>
              </w:rPr>
              <w:t xml:space="preserve"> </w:t>
            </w:r>
          </w:p>
        </w:tc>
        <w:tc>
          <w:tcPr>
            <w:tcW w:w="2328" w:type="dxa"/>
            <w:shd w:val="clear" w:color="auto" w:fill="auto"/>
            <w:vAlign w:val="center"/>
          </w:tcPr>
          <w:p w14:paraId="31162B63" w14:textId="0DDE9CCB" w:rsidR="00116EA4" w:rsidRPr="00044924" w:rsidRDefault="004A7A82" w:rsidP="004C6B57">
            <w:pPr>
              <w:ind w:right="-46"/>
              <w:jc w:val="center"/>
              <w:rPr>
                <w:rFonts w:cs="Arial"/>
              </w:rPr>
            </w:pPr>
            <w:r>
              <w:rPr>
                <w:rFonts w:cs="Arial"/>
              </w:rPr>
              <w:t>111</w:t>
            </w:r>
          </w:p>
        </w:tc>
      </w:tr>
      <w:tr w:rsidR="00C92CD8" w14:paraId="029BC3E0" w14:textId="77777777" w:rsidTr="00D269FD">
        <w:trPr>
          <w:trHeight w:val="483"/>
        </w:trPr>
        <w:tc>
          <w:tcPr>
            <w:tcW w:w="1452" w:type="dxa"/>
            <w:shd w:val="clear" w:color="auto" w:fill="auto"/>
            <w:vAlign w:val="center"/>
          </w:tcPr>
          <w:p w14:paraId="01F9D47F" w14:textId="60D7D59F" w:rsidR="004C6B57" w:rsidRDefault="004A7A82" w:rsidP="004C6B57">
            <w:pPr>
              <w:ind w:right="-46"/>
              <w:jc w:val="center"/>
              <w:rPr>
                <w:rFonts w:cs="Arial"/>
              </w:rPr>
            </w:pPr>
            <w:r>
              <w:rPr>
                <w:rFonts w:cs="Arial"/>
              </w:rPr>
              <w:t xml:space="preserve">Annex </w:t>
            </w:r>
            <w:r w:rsidR="00116EA4">
              <w:rPr>
                <w:rFonts w:cs="Arial"/>
              </w:rPr>
              <w:t>K</w:t>
            </w:r>
          </w:p>
        </w:tc>
        <w:tc>
          <w:tcPr>
            <w:tcW w:w="5489" w:type="dxa"/>
            <w:shd w:val="clear" w:color="auto" w:fill="auto"/>
            <w:vAlign w:val="center"/>
          </w:tcPr>
          <w:p w14:paraId="6859AA8E" w14:textId="41C30C82" w:rsidR="004C6B57" w:rsidRPr="008A0641" w:rsidRDefault="004A7A82" w:rsidP="004C6B57">
            <w:pPr>
              <w:ind w:right="-46"/>
              <w:rPr>
                <w:rFonts w:cs="Arial"/>
              </w:rPr>
            </w:pPr>
            <w:r>
              <w:rPr>
                <w:bCs/>
              </w:rPr>
              <w:t xml:space="preserve">Stakeholder </w:t>
            </w:r>
            <w:r w:rsidR="00C771B0">
              <w:rPr>
                <w:bCs/>
              </w:rPr>
              <w:t xml:space="preserve">Budget </w:t>
            </w:r>
            <w:r>
              <w:rPr>
                <w:bCs/>
              </w:rPr>
              <w:t>Consultation 2024/25</w:t>
            </w:r>
          </w:p>
        </w:tc>
        <w:tc>
          <w:tcPr>
            <w:tcW w:w="2328" w:type="dxa"/>
            <w:shd w:val="clear" w:color="auto" w:fill="auto"/>
            <w:vAlign w:val="center"/>
          </w:tcPr>
          <w:p w14:paraId="52F1000D" w14:textId="1D979870" w:rsidR="004C6B57" w:rsidRPr="00044924" w:rsidRDefault="004A7A82" w:rsidP="004C6B57">
            <w:pPr>
              <w:ind w:right="-46"/>
              <w:jc w:val="center"/>
              <w:rPr>
                <w:rFonts w:cs="Arial"/>
              </w:rPr>
            </w:pPr>
            <w:r>
              <w:rPr>
                <w:rFonts w:cs="Arial"/>
              </w:rPr>
              <w:t>123</w:t>
            </w:r>
          </w:p>
        </w:tc>
      </w:tr>
    </w:tbl>
    <w:p w14:paraId="6EF759A8" w14:textId="77777777" w:rsidR="008A0641" w:rsidRDefault="008A0641" w:rsidP="00320643">
      <w:pPr>
        <w:jc w:val="both"/>
        <w:rPr>
          <w:rFonts w:cs="Arial"/>
          <w:b/>
        </w:rPr>
      </w:pPr>
    </w:p>
    <w:p w14:paraId="445C5D08" w14:textId="77777777" w:rsidR="00F810FC" w:rsidRDefault="00F810FC" w:rsidP="00320643">
      <w:pPr>
        <w:jc w:val="both"/>
        <w:rPr>
          <w:rFonts w:cs="Arial"/>
          <w:b/>
        </w:rPr>
      </w:pPr>
    </w:p>
    <w:p w14:paraId="4D6521C1" w14:textId="77777777" w:rsidR="00BE139F" w:rsidRDefault="00BE139F" w:rsidP="00320643">
      <w:pPr>
        <w:jc w:val="both"/>
        <w:rPr>
          <w:rFonts w:cs="Arial"/>
          <w:b/>
        </w:rPr>
      </w:pPr>
    </w:p>
    <w:p w14:paraId="3931DE62" w14:textId="77777777" w:rsidR="00BE139F" w:rsidRDefault="00BE139F" w:rsidP="00320643">
      <w:pPr>
        <w:jc w:val="both"/>
        <w:rPr>
          <w:rFonts w:cs="Arial"/>
          <w:b/>
        </w:rPr>
      </w:pPr>
    </w:p>
    <w:p w14:paraId="63D2A71F" w14:textId="77777777" w:rsidR="00BE139F" w:rsidRDefault="00BE139F" w:rsidP="00320643">
      <w:pPr>
        <w:jc w:val="both"/>
        <w:rPr>
          <w:rFonts w:cs="Arial"/>
          <w:b/>
        </w:rPr>
      </w:pPr>
    </w:p>
    <w:p w14:paraId="088B7265" w14:textId="77777777" w:rsidR="00BE139F" w:rsidRDefault="00BE139F" w:rsidP="00320643">
      <w:pPr>
        <w:jc w:val="both"/>
        <w:rPr>
          <w:rFonts w:cs="Arial"/>
          <w:b/>
        </w:rPr>
      </w:pPr>
    </w:p>
    <w:p w14:paraId="4EEAA8A7" w14:textId="77777777" w:rsidR="00BE139F" w:rsidRDefault="00BE139F" w:rsidP="00320643">
      <w:pPr>
        <w:jc w:val="both"/>
        <w:rPr>
          <w:rFonts w:cs="Arial"/>
          <w:b/>
        </w:rPr>
      </w:pPr>
    </w:p>
    <w:p w14:paraId="22999E36" w14:textId="77777777" w:rsidR="00BE139F" w:rsidRDefault="00BE139F" w:rsidP="00320643">
      <w:pPr>
        <w:jc w:val="both"/>
        <w:rPr>
          <w:rFonts w:cs="Arial"/>
          <w:b/>
        </w:rPr>
      </w:pPr>
    </w:p>
    <w:p w14:paraId="022AC78B" w14:textId="77777777" w:rsidR="00BE139F" w:rsidRDefault="00BE139F" w:rsidP="00320643">
      <w:pPr>
        <w:jc w:val="both"/>
        <w:rPr>
          <w:rFonts w:cs="Arial"/>
          <w:b/>
        </w:rPr>
      </w:pPr>
    </w:p>
    <w:p w14:paraId="334FDC19" w14:textId="77777777" w:rsidR="00BE139F" w:rsidRDefault="00BE139F" w:rsidP="00320643">
      <w:pPr>
        <w:jc w:val="both"/>
        <w:rPr>
          <w:rFonts w:cs="Arial"/>
          <w:b/>
        </w:rPr>
      </w:pPr>
    </w:p>
    <w:p w14:paraId="45B133E7" w14:textId="77777777" w:rsidR="00BE139F" w:rsidRDefault="00BE139F" w:rsidP="00320643">
      <w:pPr>
        <w:jc w:val="both"/>
        <w:rPr>
          <w:rFonts w:cs="Arial"/>
          <w:b/>
        </w:rPr>
      </w:pPr>
    </w:p>
    <w:p w14:paraId="2069B82D" w14:textId="77777777" w:rsidR="00BE139F" w:rsidRDefault="00BE139F" w:rsidP="00320643">
      <w:pPr>
        <w:jc w:val="both"/>
        <w:rPr>
          <w:rFonts w:cs="Arial"/>
          <w:b/>
        </w:rPr>
      </w:pPr>
    </w:p>
    <w:p w14:paraId="1C2F5194" w14:textId="77777777" w:rsidR="00BE139F" w:rsidRDefault="00BE139F" w:rsidP="00320643">
      <w:pPr>
        <w:jc w:val="both"/>
        <w:rPr>
          <w:rFonts w:cs="Arial"/>
          <w:b/>
        </w:rPr>
      </w:pPr>
    </w:p>
    <w:p w14:paraId="22609A9B" w14:textId="77777777" w:rsidR="00BE139F" w:rsidRDefault="00BE139F" w:rsidP="00320643">
      <w:pPr>
        <w:jc w:val="both"/>
        <w:rPr>
          <w:rFonts w:cs="Arial"/>
          <w:b/>
        </w:rPr>
      </w:pPr>
    </w:p>
    <w:p w14:paraId="01C5D5A3" w14:textId="77777777" w:rsidR="00BE139F" w:rsidRDefault="00BE139F" w:rsidP="00320643">
      <w:pPr>
        <w:jc w:val="both"/>
        <w:rPr>
          <w:rFonts w:cs="Arial"/>
          <w:b/>
        </w:rPr>
      </w:pPr>
    </w:p>
    <w:p w14:paraId="55AECF5B" w14:textId="77777777" w:rsidR="00BE139F" w:rsidRDefault="00BE139F" w:rsidP="00320643">
      <w:pPr>
        <w:jc w:val="both"/>
        <w:rPr>
          <w:rFonts w:cs="Arial"/>
          <w:b/>
        </w:rPr>
      </w:pPr>
    </w:p>
    <w:p w14:paraId="2B2C9AFE" w14:textId="77777777" w:rsidR="00BE139F" w:rsidRDefault="00BE139F" w:rsidP="00320643">
      <w:pPr>
        <w:jc w:val="both"/>
        <w:rPr>
          <w:rFonts w:cs="Arial"/>
          <w:b/>
        </w:rPr>
      </w:pPr>
    </w:p>
    <w:p w14:paraId="4173DF34" w14:textId="77777777" w:rsidR="00BE139F" w:rsidRDefault="00BE139F" w:rsidP="00320643">
      <w:pPr>
        <w:jc w:val="both"/>
        <w:rPr>
          <w:rFonts w:cs="Arial"/>
          <w:b/>
        </w:rPr>
      </w:pPr>
    </w:p>
    <w:p w14:paraId="52D9DFE4" w14:textId="77777777" w:rsidR="00BE139F" w:rsidRDefault="00BE139F" w:rsidP="00320643">
      <w:pPr>
        <w:jc w:val="both"/>
        <w:rPr>
          <w:rFonts w:cs="Arial"/>
          <w:b/>
        </w:rPr>
      </w:pPr>
    </w:p>
    <w:p w14:paraId="3BFC2E83" w14:textId="77777777" w:rsidR="00BE139F" w:rsidRDefault="00BE139F" w:rsidP="00320643">
      <w:pPr>
        <w:jc w:val="both"/>
        <w:rPr>
          <w:rFonts w:cs="Arial"/>
          <w:b/>
        </w:rPr>
      </w:pPr>
    </w:p>
    <w:p w14:paraId="5F700E29" w14:textId="77777777" w:rsidR="00BE139F" w:rsidRDefault="00BE139F" w:rsidP="00320643">
      <w:pPr>
        <w:jc w:val="both"/>
        <w:rPr>
          <w:rFonts w:cs="Arial"/>
          <w:b/>
        </w:rPr>
      </w:pPr>
    </w:p>
    <w:p w14:paraId="5F47D421" w14:textId="77777777" w:rsidR="00BE139F" w:rsidRDefault="00BE139F" w:rsidP="00320643">
      <w:pPr>
        <w:jc w:val="both"/>
        <w:rPr>
          <w:rFonts w:cs="Arial"/>
          <w:b/>
        </w:rPr>
      </w:pPr>
    </w:p>
    <w:p w14:paraId="1A8608F8" w14:textId="77777777" w:rsidR="00BE139F" w:rsidRDefault="00BE139F" w:rsidP="00320643">
      <w:pPr>
        <w:jc w:val="both"/>
        <w:rPr>
          <w:rFonts w:cs="Arial"/>
          <w:b/>
        </w:rPr>
      </w:pPr>
    </w:p>
    <w:p w14:paraId="26DB2E0B" w14:textId="77777777" w:rsidR="00BE139F" w:rsidRDefault="00BE139F" w:rsidP="00320643">
      <w:pPr>
        <w:jc w:val="both"/>
        <w:rPr>
          <w:rFonts w:cs="Arial"/>
          <w:b/>
        </w:rPr>
      </w:pPr>
    </w:p>
    <w:p w14:paraId="37F12B9A" w14:textId="77777777" w:rsidR="00BE139F" w:rsidRDefault="00BE139F" w:rsidP="00320643">
      <w:pPr>
        <w:jc w:val="both"/>
        <w:rPr>
          <w:rFonts w:cs="Arial"/>
          <w:b/>
        </w:rPr>
      </w:pPr>
    </w:p>
    <w:p w14:paraId="57D68B57" w14:textId="77777777" w:rsidR="00BE139F" w:rsidRDefault="00BE139F" w:rsidP="00320643">
      <w:pPr>
        <w:jc w:val="both"/>
        <w:rPr>
          <w:rFonts w:cs="Arial"/>
          <w:b/>
        </w:rPr>
      </w:pPr>
    </w:p>
    <w:p w14:paraId="5EDBC378" w14:textId="77777777" w:rsidR="00BE139F" w:rsidRDefault="00BE139F" w:rsidP="00320643">
      <w:pPr>
        <w:jc w:val="both"/>
        <w:rPr>
          <w:rFonts w:cs="Arial"/>
          <w:b/>
        </w:rPr>
      </w:pPr>
    </w:p>
    <w:p w14:paraId="41ADF643" w14:textId="77777777" w:rsidR="00BE139F" w:rsidRDefault="00BE139F" w:rsidP="00320643">
      <w:pPr>
        <w:jc w:val="both"/>
        <w:rPr>
          <w:rFonts w:cs="Arial"/>
          <w:b/>
        </w:rPr>
      </w:pPr>
    </w:p>
    <w:p w14:paraId="6034AA1E" w14:textId="77777777" w:rsidR="00BE139F" w:rsidRDefault="00BE139F" w:rsidP="00320643">
      <w:pPr>
        <w:jc w:val="both"/>
        <w:rPr>
          <w:rFonts w:cs="Arial"/>
          <w:b/>
        </w:rPr>
      </w:pPr>
    </w:p>
    <w:p w14:paraId="467B1E26" w14:textId="77777777" w:rsidR="00BE139F" w:rsidRDefault="00BE139F" w:rsidP="00320643">
      <w:pPr>
        <w:jc w:val="both"/>
        <w:rPr>
          <w:rFonts w:cs="Arial"/>
          <w:b/>
        </w:rPr>
      </w:pPr>
    </w:p>
    <w:p w14:paraId="4EC1FF35" w14:textId="77777777" w:rsidR="00BE139F" w:rsidRDefault="00BE139F" w:rsidP="00320643">
      <w:pPr>
        <w:jc w:val="both"/>
        <w:rPr>
          <w:rFonts w:cs="Arial"/>
          <w:b/>
        </w:rPr>
      </w:pPr>
    </w:p>
    <w:p w14:paraId="5B06415A" w14:textId="77777777" w:rsidR="00BE139F" w:rsidRDefault="00BE139F" w:rsidP="00320643">
      <w:pPr>
        <w:jc w:val="both"/>
        <w:rPr>
          <w:rFonts w:cs="Arial"/>
          <w:b/>
        </w:rPr>
      </w:pPr>
    </w:p>
    <w:p w14:paraId="728D52BB" w14:textId="77777777" w:rsidR="00BE139F" w:rsidRDefault="00BE139F" w:rsidP="00320643">
      <w:pPr>
        <w:jc w:val="both"/>
        <w:rPr>
          <w:rFonts w:cs="Arial"/>
          <w:b/>
        </w:rPr>
      </w:pPr>
    </w:p>
    <w:p w14:paraId="02123AD9" w14:textId="77777777" w:rsidR="00BE139F" w:rsidRDefault="00BE139F" w:rsidP="00320643">
      <w:pPr>
        <w:jc w:val="both"/>
        <w:rPr>
          <w:rFonts w:cs="Arial"/>
          <w:b/>
        </w:rPr>
      </w:pPr>
    </w:p>
    <w:p w14:paraId="0C7324D1" w14:textId="77777777" w:rsidR="00BE139F" w:rsidRDefault="00BE139F" w:rsidP="00320643">
      <w:pPr>
        <w:jc w:val="both"/>
        <w:rPr>
          <w:rFonts w:cs="Arial"/>
          <w:b/>
        </w:rPr>
      </w:pPr>
    </w:p>
    <w:p w14:paraId="26A55829" w14:textId="77777777" w:rsidR="00BE139F" w:rsidRDefault="00BE139F" w:rsidP="00320643">
      <w:pPr>
        <w:jc w:val="both"/>
        <w:rPr>
          <w:rFonts w:cs="Arial"/>
          <w:b/>
        </w:rPr>
      </w:pPr>
    </w:p>
    <w:p w14:paraId="52DE2F5E" w14:textId="77777777" w:rsidR="00BE139F" w:rsidRDefault="00BE139F" w:rsidP="00320643">
      <w:pPr>
        <w:jc w:val="both"/>
        <w:rPr>
          <w:rFonts w:cs="Arial"/>
          <w:b/>
        </w:rPr>
      </w:pPr>
    </w:p>
    <w:p w14:paraId="1E30EEDC" w14:textId="77777777" w:rsidR="00BE139F" w:rsidRDefault="00BE139F" w:rsidP="00320643">
      <w:pPr>
        <w:jc w:val="both"/>
        <w:rPr>
          <w:rFonts w:cs="Arial"/>
          <w:b/>
        </w:rPr>
      </w:pPr>
    </w:p>
    <w:p w14:paraId="2A863D16" w14:textId="77777777" w:rsidR="00BE139F" w:rsidRDefault="00BE139F" w:rsidP="00320643">
      <w:pPr>
        <w:jc w:val="both"/>
        <w:rPr>
          <w:rFonts w:cs="Arial"/>
          <w:b/>
        </w:rPr>
      </w:pPr>
    </w:p>
    <w:p w14:paraId="56281C5C" w14:textId="77777777" w:rsidR="00BE139F" w:rsidRDefault="00BE139F" w:rsidP="00320643">
      <w:pPr>
        <w:jc w:val="both"/>
        <w:rPr>
          <w:rFonts w:cs="Arial"/>
          <w:b/>
        </w:rPr>
      </w:pPr>
    </w:p>
    <w:p w14:paraId="26A6F56C" w14:textId="77777777" w:rsidR="004C6B57" w:rsidRDefault="004C6B57" w:rsidP="00320643">
      <w:pPr>
        <w:jc w:val="both"/>
        <w:rPr>
          <w:rFonts w:cs="Arial"/>
          <w:b/>
        </w:rPr>
      </w:pPr>
    </w:p>
    <w:p w14:paraId="2D43DF3A" w14:textId="23938F90" w:rsidR="00320643" w:rsidRPr="00C15037" w:rsidRDefault="004A7A82" w:rsidP="00320643">
      <w:pPr>
        <w:jc w:val="both"/>
        <w:rPr>
          <w:rFonts w:cs="Arial"/>
          <w:b/>
        </w:rPr>
      </w:pPr>
      <w:r>
        <w:rPr>
          <w:rFonts w:cs="Arial"/>
          <w:b/>
        </w:rPr>
        <w:lastRenderedPageBreak/>
        <w:t>1</w:t>
      </w:r>
      <w:r w:rsidR="00642BD9">
        <w:rPr>
          <w:rFonts w:cs="Arial"/>
          <w:b/>
        </w:rPr>
        <w:t>.</w:t>
      </w:r>
      <w:r>
        <w:rPr>
          <w:rFonts w:cs="Arial"/>
          <w:b/>
        </w:rPr>
        <w:tab/>
      </w:r>
      <w:r w:rsidR="00A42601">
        <w:rPr>
          <w:rFonts w:cs="Arial"/>
          <w:b/>
        </w:rPr>
        <w:t>Executive Summary</w:t>
      </w:r>
    </w:p>
    <w:p w14:paraId="1FD78359" w14:textId="77777777" w:rsidR="00320643" w:rsidRPr="00C15037" w:rsidRDefault="00320643" w:rsidP="00320643">
      <w:pPr>
        <w:jc w:val="both"/>
        <w:rPr>
          <w:rFonts w:cs="Arial"/>
          <w:b/>
        </w:rPr>
      </w:pPr>
    </w:p>
    <w:p w14:paraId="29D6A78E" w14:textId="5F2E9EDD" w:rsidR="00320643" w:rsidRPr="00C15037" w:rsidRDefault="004A7A82" w:rsidP="007779ED">
      <w:pPr>
        <w:autoSpaceDE w:val="0"/>
        <w:autoSpaceDN w:val="0"/>
        <w:adjustRightInd w:val="0"/>
        <w:ind w:left="720" w:hanging="720"/>
        <w:jc w:val="both"/>
        <w:rPr>
          <w:rFonts w:cs="Arial"/>
        </w:rPr>
      </w:pPr>
      <w:r>
        <w:rPr>
          <w:rFonts w:cs="Arial"/>
        </w:rPr>
        <w:t>1.</w:t>
      </w:r>
      <w:r w:rsidR="0053416F">
        <w:rPr>
          <w:rFonts w:cs="Arial"/>
        </w:rPr>
        <w:t>01</w:t>
      </w:r>
      <w:r>
        <w:rPr>
          <w:rFonts w:cs="Arial"/>
        </w:rPr>
        <w:t xml:space="preserve"> </w:t>
      </w:r>
      <w:r w:rsidR="007779ED">
        <w:rPr>
          <w:rFonts w:cs="Arial"/>
        </w:rPr>
        <w:tab/>
      </w:r>
      <w:r w:rsidRPr="00C15037">
        <w:rPr>
          <w:rFonts w:cs="Arial"/>
        </w:rPr>
        <w:t xml:space="preserve">Councils across the country continue to face ongoing pressures, driven by increasing demand and inflation. When compounded with the current workforce challenges, local government </w:t>
      </w:r>
      <w:proofErr w:type="gramStart"/>
      <w:r w:rsidRPr="00C15037">
        <w:rPr>
          <w:rFonts w:cs="Arial"/>
        </w:rPr>
        <w:t>as a whole must</w:t>
      </w:r>
      <w:proofErr w:type="gramEnd"/>
      <w:r w:rsidRPr="00C15037">
        <w:rPr>
          <w:rFonts w:cs="Arial"/>
        </w:rPr>
        <w:t xml:space="preserve"> make difficult decisions and look to be as creative and innovative as possible. At the </w:t>
      </w:r>
      <w:r w:rsidR="000D24BE">
        <w:rPr>
          <w:rFonts w:cs="Arial"/>
        </w:rPr>
        <w:t>c</w:t>
      </w:r>
      <w:r w:rsidRPr="00C15037">
        <w:rPr>
          <w:rFonts w:cs="Arial"/>
        </w:rPr>
        <w:t xml:space="preserve">ounty </w:t>
      </w:r>
      <w:r w:rsidR="000D24BE">
        <w:rPr>
          <w:rFonts w:cs="Arial"/>
        </w:rPr>
        <w:t>c</w:t>
      </w:r>
      <w:r w:rsidRPr="00C15037">
        <w:rPr>
          <w:rFonts w:cs="Arial"/>
        </w:rPr>
        <w:t xml:space="preserve">ouncil we have responded by focussing on productivity and efficiency </w:t>
      </w:r>
      <w:proofErr w:type="gramStart"/>
      <w:r w:rsidRPr="00C15037">
        <w:rPr>
          <w:rFonts w:cs="Arial"/>
        </w:rPr>
        <w:t>in order to</w:t>
      </w:r>
      <w:proofErr w:type="gramEnd"/>
      <w:r w:rsidRPr="00C15037">
        <w:rPr>
          <w:rFonts w:cs="Arial"/>
        </w:rPr>
        <w:t xml:space="preserve"> deliver our priority services. We have a track record of success with such programmes and sound financial stewardship means we </w:t>
      </w:r>
      <w:proofErr w:type="gramStart"/>
      <w:r w:rsidRPr="00C15037">
        <w:rPr>
          <w:rFonts w:cs="Arial"/>
        </w:rPr>
        <w:t>are able to</w:t>
      </w:r>
      <w:proofErr w:type="gramEnd"/>
      <w:r w:rsidRPr="00C15037">
        <w:rPr>
          <w:rFonts w:cs="Arial"/>
        </w:rPr>
        <w:t xml:space="preserve"> take a considered and measured approach.</w:t>
      </w:r>
    </w:p>
    <w:p w14:paraId="2AE6AB3C" w14:textId="77777777" w:rsidR="00320643" w:rsidRPr="00C15037" w:rsidRDefault="00320643" w:rsidP="00320643">
      <w:pPr>
        <w:autoSpaceDE w:val="0"/>
        <w:autoSpaceDN w:val="0"/>
        <w:adjustRightInd w:val="0"/>
        <w:jc w:val="both"/>
        <w:rPr>
          <w:rFonts w:cs="Arial"/>
        </w:rPr>
      </w:pPr>
    </w:p>
    <w:p w14:paraId="224BDD7D" w14:textId="1A9173B5" w:rsidR="00E17B19" w:rsidRDefault="004A7A82" w:rsidP="007779ED">
      <w:pPr>
        <w:autoSpaceDE w:val="0"/>
        <w:autoSpaceDN w:val="0"/>
        <w:adjustRightInd w:val="0"/>
        <w:ind w:left="720" w:hanging="720"/>
        <w:jc w:val="both"/>
        <w:rPr>
          <w:rFonts w:cs="Arial"/>
        </w:rPr>
      </w:pPr>
      <w:r>
        <w:rPr>
          <w:rFonts w:cs="Arial"/>
        </w:rPr>
        <w:t>1.</w:t>
      </w:r>
      <w:r w:rsidR="0053416F">
        <w:rPr>
          <w:rFonts w:cs="Arial"/>
        </w:rPr>
        <w:t>0</w:t>
      </w:r>
      <w:r>
        <w:rPr>
          <w:rFonts w:cs="Arial"/>
        </w:rPr>
        <w:t>2</w:t>
      </w:r>
      <w:r>
        <w:rPr>
          <w:rFonts w:cs="Arial"/>
        </w:rPr>
        <w:tab/>
      </w:r>
      <w:r w:rsidR="00320643" w:rsidRPr="00C15037">
        <w:rPr>
          <w:rFonts w:cs="Arial"/>
        </w:rPr>
        <w:t xml:space="preserve">The current financial year has been marked by volatility and uncertainty in terms of financial forecasting and we have made good progress in planning for and gripping these challenges as demonstrated in the graph below. </w:t>
      </w:r>
    </w:p>
    <w:p w14:paraId="38BED07A" w14:textId="77777777" w:rsidR="00E17B19" w:rsidRDefault="00E17B19" w:rsidP="007779ED">
      <w:pPr>
        <w:autoSpaceDE w:val="0"/>
        <w:autoSpaceDN w:val="0"/>
        <w:adjustRightInd w:val="0"/>
        <w:ind w:left="720" w:hanging="720"/>
        <w:jc w:val="both"/>
        <w:rPr>
          <w:rFonts w:cs="Arial"/>
        </w:rPr>
      </w:pPr>
    </w:p>
    <w:p w14:paraId="6E43DC8F" w14:textId="59109E0D" w:rsidR="00320643" w:rsidRDefault="004A7A82" w:rsidP="007779ED">
      <w:pPr>
        <w:autoSpaceDE w:val="0"/>
        <w:autoSpaceDN w:val="0"/>
        <w:adjustRightInd w:val="0"/>
        <w:ind w:left="720" w:hanging="720"/>
        <w:jc w:val="both"/>
        <w:rPr>
          <w:rFonts w:cs="Arial"/>
        </w:rPr>
      </w:pPr>
      <w:r>
        <w:rPr>
          <w:rFonts w:cs="Arial"/>
        </w:rPr>
        <w:t>1.</w:t>
      </w:r>
      <w:r w:rsidR="0053416F">
        <w:rPr>
          <w:rFonts w:cs="Arial"/>
        </w:rPr>
        <w:t>0</w:t>
      </w:r>
      <w:r>
        <w:rPr>
          <w:rFonts w:cs="Arial"/>
        </w:rPr>
        <w:t xml:space="preserve">3 </w:t>
      </w:r>
      <w:r>
        <w:rPr>
          <w:rFonts w:cs="Arial"/>
        </w:rPr>
        <w:tab/>
      </w:r>
      <w:r w:rsidR="005A474F">
        <w:rPr>
          <w:rFonts w:cs="Arial"/>
        </w:rPr>
        <w:t xml:space="preserve">When setting the 2023/24 budget in February 2023, a surplus was forecast for </w:t>
      </w:r>
      <w:r w:rsidR="00416D07">
        <w:rPr>
          <w:rFonts w:cs="Arial"/>
        </w:rPr>
        <w:t xml:space="preserve">the 2024/25 financial year of c£12m. </w:t>
      </w:r>
      <w:r w:rsidR="009B0718">
        <w:rPr>
          <w:rFonts w:cs="Arial"/>
        </w:rPr>
        <w:t>The forecast deficit in 2024/25 reported to Cabinet in November 2023 was £14.5m</w:t>
      </w:r>
      <w:r w:rsidR="006073CE">
        <w:rPr>
          <w:rFonts w:cs="Arial"/>
        </w:rPr>
        <w:t>, which included £23m of additional "management action" savings.</w:t>
      </w:r>
      <w:r w:rsidR="005E61A5">
        <w:rPr>
          <w:rFonts w:cs="Arial"/>
        </w:rPr>
        <w:t xml:space="preserve"> However, increased pressures exceeded the additional savings put forward. </w:t>
      </w:r>
    </w:p>
    <w:p w14:paraId="11BFF6B1" w14:textId="77777777" w:rsidR="00E17B19" w:rsidRDefault="00E17B19" w:rsidP="007779ED">
      <w:pPr>
        <w:autoSpaceDE w:val="0"/>
        <w:autoSpaceDN w:val="0"/>
        <w:adjustRightInd w:val="0"/>
        <w:ind w:left="720" w:hanging="720"/>
        <w:jc w:val="both"/>
        <w:rPr>
          <w:rFonts w:cs="Arial"/>
        </w:rPr>
      </w:pPr>
    </w:p>
    <w:p w14:paraId="2FECB64B" w14:textId="7BE3E6C0" w:rsidR="00E17B19" w:rsidRDefault="004A7A82" w:rsidP="007779ED">
      <w:pPr>
        <w:autoSpaceDE w:val="0"/>
        <w:autoSpaceDN w:val="0"/>
        <w:adjustRightInd w:val="0"/>
        <w:ind w:left="720" w:hanging="720"/>
        <w:jc w:val="both"/>
        <w:rPr>
          <w:rFonts w:cs="Arial"/>
        </w:rPr>
      </w:pPr>
      <w:r>
        <w:rPr>
          <w:rFonts w:cs="Arial"/>
        </w:rPr>
        <w:t>1.</w:t>
      </w:r>
      <w:r w:rsidR="0053416F">
        <w:rPr>
          <w:rFonts w:cs="Arial"/>
        </w:rPr>
        <w:t>0</w:t>
      </w:r>
      <w:r>
        <w:rPr>
          <w:rFonts w:cs="Arial"/>
        </w:rPr>
        <w:t>4</w:t>
      </w:r>
      <w:r>
        <w:tab/>
      </w:r>
      <w:r w:rsidR="0015342F">
        <w:rPr>
          <w:rFonts w:cs="Arial"/>
        </w:rPr>
        <w:t xml:space="preserve">The </w:t>
      </w:r>
      <w:r w:rsidR="00647807">
        <w:rPr>
          <w:rFonts w:cs="Arial"/>
        </w:rPr>
        <w:t>medium-term</w:t>
      </w:r>
      <w:r w:rsidR="0015342F">
        <w:rPr>
          <w:rFonts w:cs="Arial"/>
        </w:rPr>
        <w:t xml:space="preserve"> financial strategy was</w:t>
      </w:r>
      <w:r w:rsidR="004519E0">
        <w:rPr>
          <w:rFonts w:cs="Arial"/>
        </w:rPr>
        <w:t xml:space="preserve"> updated and</w:t>
      </w:r>
      <w:r w:rsidR="0015342F">
        <w:rPr>
          <w:rFonts w:cs="Arial"/>
        </w:rPr>
        <w:t xml:space="preserve"> reported to Cabinet in January 2024</w:t>
      </w:r>
      <w:r w:rsidR="00525525">
        <w:rPr>
          <w:rFonts w:cs="Arial"/>
        </w:rPr>
        <w:t xml:space="preserve"> </w:t>
      </w:r>
      <w:r w:rsidR="005E20F3">
        <w:rPr>
          <w:rFonts w:cs="Arial"/>
        </w:rPr>
        <w:t>and February 2024</w:t>
      </w:r>
      <w:r w:rsidR="0008467B">
        <w:rPr>
          <w:rFonts w:cs="Arial"/>
        </w:rPr>
        <w:t xml:space="preserve"> and</w:t>
      </w:r>
      <w:r w:rsidR="005E20F3">
        <w:rPr>
          <w:rFonts w:cs="Arial"/>
        </w:rPr>
        <w:t xml:space="preserve"> </w:t>
      </w:r>
      <w:r w:rsidR="00525525">
        <w:rPr>
          <w:rFonts w:cs="Arial"/>
        </w:rPr>
        <w:t xml:space="preserve">forecast a reduction in the budget deficit </w:t>
      </w:r>
      <w:r w:rsidR="00647807">
        <w:rPr>
          <w:rFonts w:cs="Arial"/>
        </w:rPr>
        <w:t>for</w:t>
      </w:r>
      <w:r w:rsidR="00525525">
        <w:rPr>
          <w:rFonts w:cs="Arial"/>
        </w:rPr>
        <w:t xml:space="preserve"> 2024/25</w:t>
      </w:r>
      <w:r w:rsidR="005E61A5">
        <w:rPr>
          <w:rFonts w:cs="Arial"/>
        </w:rPr>
        <w:t xml:space="preserve"> to</w:t>
      </w:r>
      <w:r w:rsidR="00DA5A6B">
        <w:rPr>
          <w:rFonts w:cs="Arial"/>
        </w:rPr>
        <w:t xml:space="preserve"> </w:t>
      </w:r>
      <w:r w:rsidR="00525525">
        <w:rPr>
          <w:rFonts w:cs="Arial"/>
        </w:rPr>
        <w:t>£2.908m. This incorporated the Local Government Provisional Financial Settlement, a review of all assumptions in relation to inflation and demand</w:t>
      </w:r>
      <w:r w:rsidR="009B0718">
        <w:rPr>
          <w:rFonts w:cs="Arial"/>
        </w:rPr>
        <w:t xml:space="preserve"> and included additional savings totalling c£15m. </w:t>
      </w:r>
    </w:p>
    <w:p w14:paraId="283A4B7C" w14:textId="77777777" w:rsidR="004C6B57" w:rsidRDefault="004C6B57" w:rsidP="007779ED">
      <w:pPr>
        <w:autoSpaceDE w:val="0"/>
        <w:autoSpaceDN w:val="0"/>
        <w:adjustRightInd w:val="0"/>
        <w:ind w:left="720" w:hanging="720"/>
        <w:jc w:val="both"/>
        <w:rPr>
          <w:rFonts w:cs="Arial"/>
        </w:rPr>
      </w:pPr>
    </w:p>
    <w:p w14:paraId="32234562" w14:textId="59962C1D" w:rsidR="004C6B57" w:rsidRDefault="004A7A82" w:rsidP="007779ED">
      <w:pPr>
        <w:autoSpaceDE w:val="0"/>
        <w:autoSpaceDN w:val="0"/>
        <w:adjustRightInd w:val="0"/>
        <w:ind w:left="720" w:hanging="720"/>
        <w:jc w:val="both"/>
        <w:rPr>
          <w:rFonts w:cs="Arial"/>
        </w:rPr>
      </w:pPr>
      <w:r>
        <w:rPr>
          <w:rFonts w:cs="Arial"/>
        </w:rPr>
        <w:t>1.</w:t>
      </w:r>
      <w:r w:rsidR="0053416F">
        <w:rPr>
          <w:rFonts w:cs="Arial"/>
        </w:rPr>
        <w:t>0</w:t>
      </w:r>
      <w:r>
        <w:rPr>
          <w:rFonts w:cs="Arial"/>
        </w:rPr>
        <w:t>5</w:t>
      </w:r>
      <w:r>
        <w:tab/>
      </w:r>
      <w:r w:rsidR="00D375FE">
        <w:rPr>
          <w:rFonts w:cs="Arial"/>
        </w:rPr>
        <w:t xml:space="preserve">The </w:t>
      </w:r>
      <w:r w:rsidR="00D375FE" w:rsidRPr="00A777A9">
        <w:rPr>
          <w:rFonts w:cs="Arial"/>
        </w:rPr>
        <w:t xml:space="preserve">updated medium-term financial strategy </w:t>
      </w:r>
      <w:r w:rsidR="00BF4DA1" w:rsidRPr="00A777A9">
        <w:rPr>
          <w:rFonts w:cs="Arial"/>
        </w:rPr>
        <w:t>includes</w:t>
      </w:r>
      <w:r w:rsidR="00BF4DA1">
        <w:rPr>
          <w:rFonts w:cs="Arial"/>
        </w:rPr>
        <w:t xml:space="preserve"> the impact of returns provided by district councils relating to tax base, collection fund and business rates</w:t>
      </w:r>
      <w:r w:rsidR="00ED5FC4">
        <w:rPr>
          <w:rFonts w:cs="Arial"/>
        </w:rPr>
        <w:t xml:space="preserve">. The position also reflects the impact of the Final Local Government Financial Settlement. </w:t>
      </w:r>
      <w:r w:rsidR="00A96052">
        <w:rPr>
          <w:rFonts w:cs="Arial"/>
        </w:rPr>
        <w:t xml:space="preserve">In addition, adjustments have been made in relation to the policy saving proposal related to parking and </w:t>
      </w:r>
      <w:r w:rsidR="00327686">
        <w:rPr>
          <w:rFonts w:cs="Arial"/>
        </w:rPr>
        <w:t xml:space="preserve">also the proposal relating to waste management anaerobic digestion (however </w:t>
      </w:r>
      <w:proofErr w:type="gramStart"/>
      <w:r w:rsidR="00327686">
        <w:rPr>
          <w:rFonts w:cs="Arial"/>
        </w:rPr>
        <w:t xml:space="preserve">this </w:t>
      </w:r>
      <w:r w:rsidR="007C7E0A">
        <w:rPr>
          <w:rFonts w:cs="Arial"/>
        </w:rPr>
        <w:t>impacts</w:t>
      </w:r>
      <w:proofErr w:type="gramEnd"/>
      <w:r w:rsidR="007C7E0A">
        <w:rPr>
          <w:rFonts w:cs="Arial"/>
        </w:rPr>
        <w:t xml:space="preserve"> only from 2025/26 onwards). </w:t>
      </w:r>
    </w:p>
    <w:p w14:paraId="12793EAA" w14:textId="77777777" w:rsidR="007C7E0A" w:rsidRDefault="007C7E0A" w:rsidP="007779ED">
      <w:pPr>
        <w:autoSpaceDE w:val="0"/>
        <w:autoSpaceDN w:val="0"/>
        <w:adjustRightInd w:val="0"/>
        <w:ind w:left="720" w:hanging="720"/>
        <w:jc w:val="both"/>
        <w:rPr>
          <w:rFonts w:cs="Arial"/>
        </w:rPr>
      </w:pPr>
    </w:p>
    <w:p w14:paraId="66F90938" w14:textId="77777777" w:rsidR="007C7E0A" w:rsidRDefault="007C7E0A" w:rsidP="007779ED">
      <w:pPr>
        <w:autoSpaceDE w:val="0"/>
        <w:autoSpaceDN w:val="0"/>
        <w:adjustRightInd w:val="0"/>
        <w:ind w:left="720" w:hanging="720"/>
        <w:jc w:val="both"/>
        <w:rPr>
          <w:rFonts w:cs="Arial"/>
        </w:rPr>
      </w:pPr>
    </w:p>
    <w:p w14:paraId="086B2E60" w14:textId="77777777" w:rsidR="007C7E0A" w:rsidRDefault="007C7E0A" w:rsidP="007779ED">
      <w:pPr>
        <w:autoSpaceDE w:val="0"/>
        <w:autoSpaceDN w:val="0"/>
        <w:adjustRightInd w:val="0"/>
        <w:ind w:left="720" w:hanging="720"/>
        <w:jc w:val="both"/>
        <w:rPr>
          <w:rFonts w:cs="Arial"/>
        </w:rPr>
      </w:pPr>
    </w:p>
    <w:p w14:paraId="0801EDFE" w14:textId="77777777" w:rsidR="007C7E0A" w:rsidRDefault="007C7E0A" w:rsidP="007779ED">
      <w:pPr>
        <w:autoSpaceDE w:val="0"/>
        <w:autoSpaceDN w:val="0"/>
        <w:adjustRightInd w:val="0"/>
        <w:ind w:left="720" w:hanging="720"/>
        <w:jc w:val="both"/>
        <w:rPr>
          <w:rFonts w:cs="Arial"/>
        </w:rPr>
      </w:pPr>
    </w:p>
    <w:p w14:paraId="0E02C3AF" w14:textId="77777777" w:rsidR="007C7E0A" w:rsidRDefault="007C7E0A" w:rsidP="007779ED">
      <w:pPr>
        <w:autoSpaceDE w:val="0"/>
        <w:autoSpaceDN w:val="0"/>
        <w:adjustRightInd w:val="0"/>
        <w:ind w:left="720" w:hanging="720"/>
        <w:jc w:val="both"/>
        <w:rPr>
          <w:rFonts w:cs="Arial"/>
        </w:rPr>
      </w:pPr>
    </w:p>
    <w:p w14:paraId="47ADEAF2" w14:textId="77777777" w:rsidR="007C7E0A" w:rsidRDefault="007C7E0A" w:rsidP="007779ED">
      <w:pPr>
        <w:autoSpaceDE w:val="0"/>
        <w:autoSpaceDN w:val="0"/>
        <w:adjustRightInd w:val="0"/>
        <w:ind w:left="720" w:hanging="720"/>
        <w:jc w:val="both"/>
        <w:rPr>
          <w:rFonts w:cs="Arial"/>
        </w:rPr>
      </w:pPr>
    </w:p>
    <w:p w14:paraId="088FCCF2" w14:textId="77777777" w:rsidR="007C7E0A" w:rsidRDefault="007C7E0A" w:rsidP="007779ED">
      <w:pPr>
        <w:autoSpaceDE w:val="0"/>
        <w:autoSpaceDN w:val="0"/>
        <w:adjustRightInd w:val="0"/>
        <w:ind w:left="720" w:hanging="720"/>
        <w:jc w:val="both"/>
        <w:rPr>
          <w:rFonts w:cs="Arial"/>
        </w:rPr>
      </w:pPr>
    </w:p>
    <w:p w14:paraId="57912F4F" w14:textId="77777777" w:rsidR="007C7E0A" w:rsidRDefault="007C7E0A" w:rsidP="007779ED">
      <w:pPr>
        <w:autoSpaceDE w:val="0"/>
        <w:autoSpaceDN w:val="0"/>
        <w:adjustRightInd w:val="0"/>
        <w:ind w:left="720" w:hanging="720"/>
        <w:jc w:val="both"/>
        <w:rPr>
          <w:rFonts w:cs="Arial"/>
        </w:rPr>
      </w:pPr>
    </w:p>
    <w:p w14:paraId="206B857A" w14:textId="77777777" w:rsidR="007C7E0A" w:rsidRDefault="007C7E0A" w:rsidP="007779ED">
      <w:pPr>
        <w:autoSpaceDE w:val="0"/>
        <w:autoSpaceDN w:val="0"/>
        <w:adjustRightInd w:val="0"/>
        <w:ind w:left="720" w:hanging="720"/>
        <w:jc w:val="both"/>
        <w:rPr>
          <w:rFonts w:cs="Arial"/>
        </w:rPr>
      </w:pPr>
    </w:p>
    <w:p w14:paraId="22B4D878" w14:textId="77777777" w:rsidR="007C7E0A" w:rsidRDefault="007C7E0A" w:rsidP="007779ED">
      <w:pPr>
        <w:autoSpaceDE w:val="0"/>
        <w:autoSpaceDN w:val="0"/>
        <w:adjustRightInd w:val="0"/>
        <w:ind w:left="720" w:hanging="720"/>
        <w:jc w:val="both"/>
        <w:rPr>
          <w:rFonts w:cs="Arial"/>
        </w:rPr>
      </w:pPr>
    </w:p>
    <w:p w14:paraId="708D5939" w14:textId="77777777" w:rsidR="007C7E0A" w:rsidRDefault="007C7E0A" w:rsidP="007779ED">
      <w:pPr>
        <w:autoSpaceDE w:val="0"/>
        <w:autoSpaceDN w:val="0"/>
        <w:adjustRightInd w:val="0"/>
        <w:ind w:left="720" w:hanging="720"/>
        <w:jc w:val="both"/>
        <w:rPr>
          <w:rFonts w:cs="Arial"/>
        </w:rPr>
      </w:pPr>
    </w:p>
    <w:p w14:paraId="439C517F" w14:textId="77777777" w:rsidR="007C7E0A" w:rsidRDefault="007C7E0A" w:rsidP="007779ED">
      <w:pPr>
        <w:autoSpaceDE w:val="0"/>
        <w:autoSpaceDN w:val="0"/>
        <w:adjustRightInd w:val="0"/>
        <w:ind w:left="720" w:hanging="720"/>
        <w:jc w:val="both"/>
        <w:rPr>
          <w:rFonts w:cs="Arial"/>
        </w:rPr>
      </w:pPr>
    </w:p>
    <w:p w14:paraId="1EEC1087" w14:textId="77777777" w:rsidR="007C7E0A" w:rsidRDefault="007C7E0A" w:rsidP="007779ED">
      <w:pPr>
        <w:autoSpaceDE w:val="0"/>
        <w:autoSpaceDN w:val="0"/>
        <w:adjustRightInd w:val="0"/>
        <w:ind w:left="720" w:hanging="720"/>
        <w:jc w:val="both"/>
        <w:rPr>
          <w:rFonts w:cs="Arial"/>
        </w:rPr>
      </w:pPr>
    </w:p>
    <w:p w14:paraId="5ACCEC61" w14:textId="77777777" w:rsidR="007C7E0A" w:rsidRDefault="007C7E0A" w:rsidP="007779ED">
      <w:pPr>
        <w:autoSpaceDE w:val="0"/>
        <w:autoSpaceDN w:val="0"/>
        <w:adjustRightInd w:val="0"/>
        <w:ind w:left="720" w:hanging="720"/>
        <w:jc w:val="both"/>
        <w:rPr>
          <w:rFonts w:cs="Arial"/>
        </w:rPr>
      </w:pPr>
    </w:p>
    <w:p w14:paraId="31F7E459" w14:textId="77777777" w:rsidR="007C7E0A" w:rsidRDefault="007C7E0A" w:rsidP="007779ED">
      <w:pPr>
        <w:autoSpaceDE w:val="0"/>
        <w:autoSpaceDN w:val="0"/>
        <w:adjustRightInd w:val="0"/>
        <w:ind w:left="720" w:hanging="720"/>
        <w:jc w:val="both"/>
        <w:rPr>
          <w:rFonts w:cs="Arial"/>
        </w:rPr>
      </w:pPr>
    </w:p>
    <w:p w14:paraId="1B35B74D" w14:textId="77777777" w:rsidR="00B5030E" w:rsidRDefault="00B5030E" w:rsidP="00320643">
      <w:pPr>
        <w:autoSpaceDE w:val="0"/>
        <w:autoSpaceDN w:val="0"/>
        <w:adjustRightInd w:val="0"/>
        <w:jc w:val="both"/>
        <w:rPr>
          <w:rFonts w:cs="Arial"/>
        </w:rPr>
      </w:pPr>
    </w:p>
    <w:p w14:paraId="1CB76921" w14:textId="094C6BFA" w:rsidR="00B5030E" w:rsidRPr="00470894" w:rsidRDefault="004A7A82" w:rsidP="00320643">
      <w:pPr>
        <w:autoSpaceDE w:val="0"/>
        <w:autoSpaceDN w:val="0"/>
        <w:adjustRightInd w:val="0"/>
        <w:jc w:val="both"/>
        <w:rPr>
          <w:rFonts w:cs="Arial"/>
          <w:b/>
          <w:bCs/>
          <w:i/>
          <w:iCs/>
          <w:u w:val="single"/>
        </w:rPr>
      </w:pPr>
      <w:r w:rsidRPr="00470894">
        <w:rPr>
          <w:rFonts w:cs="Arial"/>
          <w:b/>
          <w:bCs/>
          <w:i/>
          <w:iCs/>
          <w:u w:val="single"/>
        </w:rPr>
        <w:lastRenderedPageBreak/>
        <w:t>Graph 1</w:t>
      </w:r>
    </w:p>
    <w:p w14:paraId="5D382A1F" w14:textId="77777777" w:rsidR="00B5030E" w:rsidRDefault="00B5030E" w:rsidP="00320643">
      <w:pPr>
        <w:autoSpaceDE w:val="0"/>
        <w:autoSpaceDN w:val="0"/>
        <w:adjustRightInd w:val="0"/>
        <w:jc w:val="both"/>
        <w:rPr>
          <w:rFonts w:cs="Arial"/>
        </w:rPr>
      </w:pPr>
    </w:p>
    <w:p w14:paraId="69DFEBF3" w14:textId="205C148B" w:rsidR="0071160D" w:rsidRDefault="004A7A82" w:rsidP="0053416F">
      <w:pPr>
        <w:autoSpaceDE w:val="0"/>
        <w:autoSpaceDN w:val="0"/>
        <w:adjustRightInd w:val="0"/>
        <w:jc w:val="center"/>
        <w:rPr>
          <w:rFonts w:cs="Arial"/>
        </w:rPr>
      </w:pPr>
      <w:r>
        <w:rPr>
          <w:rFonts w:cs="Arial"/>
          <w:noProof/>
        </w:rPr>
        <w:drawing>
          <wp:inline distT="0" distB="0" distL="0" distR="0">
            <wp:extent cx="4584700" cy="261556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584700" cy="2615565"/>
                    </a:xfrm>
                    <a:prstGeom prst="rect">
                      <a:avLst/>
                    </a:prstGeom>
                    <a:noFill/>
                  </pic:spPr>
                </pic:pic>
              </a:graphicData>
            </a:graphic>
          </wp:inline>
        </w:drawing>
      </w:r>
    </w:p>
    <w:p w14:paraId="2E8DD89D" w14:textId="77777777" w:rsidR="007C7E0A" w:rsidRPr="0053416F" w:rsidRDefault="007C7E0A" w:rsidP="0053416F">
      <w:pPr>
        <w:autoSpaceDE w:val="0"/>
        <w:autoSpaceDN w:val="0"/>
        <w:adjustRightInd w:val="0"/>
        <w:jc w:val="center"/>
        <w:rPr>
          <w:rFonts w:cs="Arial"/>
        </w:rPr>
      </w:pPr>
    </w:p>
    <w:p w14:paraId="45D44E25" w14:textId="47F3C231" w:rsidR="00320643" w:rsidRDefault="004A7A82" w:rsidP="00850AE5">
      <w:pPr>
        <w:autoSpaceDE w:val="0"/>
        <w:autoSpaceDN w:val="0"/>
        <w:adjustRightInd w:val="0"/>
        <w:ind w:left="720" w:hanging="720"/>
        <w:jc w:val="both"/>
        <w:rPr>
          <w:rFonts w:cs="Arial"/>
        </w:rPr>
      </w:pPr>
      <w:r w:rsidRPr="00850AE5">
        <w:rPr>
          <w:rFonts w:cs="Arial"/>
        </w:rPr>
        <w:t>1.</w:t>
      </w:r>
      <w:r w:rsidR="0053416F">
        <w:rPr>
          <w:rFonts w:cs="Arial"/>
        </w:rPr>
        <w:t>06</w:t>
      </w:r>
      <w:r w:rsidRPr="00850AE5">
        <w:rPr>
          <w:rFonts w:cs="Arial"/>
        </w:rPr>
        <w:t xml:space="preserve"> </w:t>
      </w:r>
      <w:r>
        <w:tab/>
      </w:r>
      <w:r w:rsidRPr="00563CDF">
        <w:rPr>
          <w:rFonts w:cs="Arial"/>
        </w:rPr>
        <w:t xml:space="preserve">The </w:t>
      </w:r>
      <w:r w:rsidR="007D2BED">
        <w:rPr>
          <w:rFonts w:cs="Arial"/>
        </w:rPr>
        <w:t xml:space="preserve">Final </w:t>
      </w:r>
      <w:r w:rsidRPr="00563CDF">
        <w:rPr>
          <w:rFonts w:cs="Arial"/>
        </w:rPr>
        <w:t xml:space="preserve">Local Government </w:t>
      </w:r>
      <w:r w:rsidR="003056DD">
        <w:rPr>
          <w:rFonts w:cs="Arial"/>
        </w:rPr>
        <w:t>F</w:t>
      </w:r>
      <w:r w:rsidR="007D2BED">
        <w:rPr>
          <w:rFonts w:cs="Arial"/>
        </w:rPr>
        <w:t>inancial</w:t>
      </w:r>
      <w:r w:rsidRPr="00563CDF">
        <w:rPr>
          <w:rFonts w:cs="Arial"/>
        </w:rPr>
        <w:t xml:space="preserve"> Settlement announced on </w:t>
      </w:r>
      <w:r w:rsidR="007D2BED">
        <w:rPr>
          <w:rFonts w:cs="Arial"/>
        </w:rPr>
        <w:t>5</w:t>
      </w:r>
      <w:r w:rsidRPr="00563CDF">
        <w:rPr>
          <w:rFonts w:cs="Arial"/>
        </w:rPr>
        <w:t xml:space="preserve"> </w:t>
      </w:r>
      <w:r w:rsidR="007D2BED">
        <w:rPr>
          <w:rFonts w:cs="Arial"/>
        </w:rPr>
        <w:t>February 2024</w:t>
      </w:r>
      <w:r w:rsidRPr="00563CDF">
        <w:rPr>
          <w:rFonts w:cs="Arial"/>
        </w:rPr>
        <w:t xml:space="preserve">, </w:t>
      </w:r>
      <w:r w:rsidR="006364B3">
        <w:rPr>
          <w:rFonts w:cs="Arial"/>
        </w:rPr>
        <w:t>provided</w:t>
      </w:r>
      <w:r w:rsidR="00A31D4E" w:rsidRPr="00563CDF">
        <w:rPr>
          <w:rFonts w:cs="Arial"/>
        </w:rPr>
        <w:t xml:space="preserve"> confirmation </w:t>
      </w:r>
      <w:r w:rsidR="007D2BED">
        <w:rPr>
          <w:rFonts w:cs="Arial"/>
        </w:rPr>
        <w:t xml:space="preserve">of levels of grant funding included within the </w:t>
      </w:r>
      <w:r w:rsidR="00A65ACF">
        <w:rPr>
          <w:rFonts w:cs="Arial"/>
        </w:rPr>
        <w:t>budget report</w:t>
      </w:r>
      <w:r w:rsidR="007D2BED">
        <w:rPr>
          <w:rFonts w:cs="Arial"/>
        </w:rPr>
        <w:t xml:space="preserve"> provided to </w:t>
      </w:r>
      <w:r w:rsidR="00A65ACF">
        <w:rPr>
          <w:rFonts w:cs="Arial"/>
        </w:rPr>
        <w:t>Cabinet on 8 February</w:t>
      </w:r>
      <w:r w:rsidR="00117069">
        <w:rPr>
          <w:rFonts w:cs="Arial"/>
        </w:rPr>
        <w:t xml:space="preserve"> 2024</w:t>
      </w:r>
      <w:r w:rsidR="00F375DA" w:rsidRPr="00563CDF">
        <w:rPr>
          <w:rFonts w:cs="Arial"/>
        </w:rPr>
        <w:t xml:space="preserve">. </w:t>
      </w:r>
      <w:r w:rsidR="00A65ACF">
        <w:rPr>
          <w:rFonts w:cs="Arial"/>
        </w:rPr>
        <w:t xml:space="preserve">The final settlement included additional </w:t>
      </w:r>
      <w:r w:rsidR="004E0AF4">
        <w:rPr>
          <w:rFonts w:cs="Arial"/>
        </w:rPr>
        <w:t xml:space="preserve">social care funding totalling c£11.5m and small increases to the services grant and new homes bonus </w:t>
      </w:r>
      <w:r w:rsidR="00117069">
        <w:rPr>
          <w:rFonts w:cs="Arial"/>
        </w:rPr>
        <w:t xml:space="preserve">funding </w:t>
      </w:r>
      <w:r w:rsidR="004E0AF4">
        <w:rPr>
          <w:rFonts w:cs="Arial"/>
        </w:rPr>
        <w:t xml:space="preserve">compared to the provisional settlement announced in December 2023. </w:t>
      </w:r>
    </w:p>
    <w:p w14:paraId="3CF8E95D" w14:textId="77777777" w:rsidR="004E0AF4" w:rsidRDefault="004E0AF4" w:rsidP="00850AE5">
      <w:pPr>
        <w:autoSpaceDE w:val="0"/>
        <w:autoSpaceDN w:val="0"/>
        <w:adjustRightInd w:val="0"/>
        <w:ind w:left="720" w:hanging="720"/>
        <w:jc w:val="both"/>
        <w:rPr>
          <w:rFonts w:cs="Arial"/>
        </w:rPr>
      </w:pPr>
    </w:p>
    <w:p w14:paraId="69299649" w14:textId="6D6DAB0A" w:rsidR="004E0AF4" w:rsidRPr="00850AE5" w:rsidRDefault="004A7A82" w:rsidP="00850AE5">
      <w:pPr>
        <w:autoSpaceDE w:val="0"/>
        <w:autoSpaceDN w:val="0"/>
        <w:adjustRightInd w:val="0"/>
        <w:ind w:left="720" w:hanging="720"/>
        <w:jc w:val="both"/>
        <w:rPr>
          <w:rFonts w:cs="Arial"/>
        </w:rPr>
      </w:pPr>
      <w:r>
        <w:rPr>
          <w:rFonts w:cs="Arial"/>
        </w:rPr>
        <w:t>1.07</w:t>
      </w:r>
      <w:r>
        <w:tab/>
      </w:r>
      <w:r>
        <w:rPr>
          <w:rFonts w:cs="Arial"/>
        </w:rPr>
        <w:t xml:space="preserve">A further update </w:t>
      </w:r>
      <w:r w:rsidR="00C16009">
        <w:rPr>
          <w:rFonts w:cs="Arial"/>
        </w:rPr>
        <w:t xml:space="preserve">compared to the budget report provided to Cabinet on 8 February 2024 relates to </w:t>
      </w:r>
      <w:r w:rsidR="001F42A5">
        <w:rPr>
          <w:rFonts w:cs="Arial"/>
        </w:rPr>
        <w:t xml:space="preserve">information provided by </w:t>
      </w:r>
      <w:r w:rsidR="002C3364">
        <w:rPr>
          <w:rFonts w:cs="Arial"/>
        </w:rPr>
        <w:t>dist</w:t>
      </w:r>
      <w:r w:rsidR="003A7F1E">
        <w:rPr>
          <w:rFonts w:cs="Arial"/>
        </w:rPr>
        <w:t xml:space="preserve">rict councils in respect of their tax base, business rates and collection fund position. </w:t>
      </w:r>
      <w:r w:rsidR="00366F5E">
        <w:rPr>
          <w:rFonts w:cs="Arial"/>
        </w:rPr>
        <w:t>T</w:t>
      </w:r>
      <w:r w:rsidR="005A4BD5">
        <w:rPr>
          <w:rFonts w:cs="Arial"/>
        </w:rPr>
        <w:t>his position has not achieved the target built into the 2024/25 budget and therefore has resulted in a pressure of £</w:t>
      </w:r>
      <w:r w:rsidR="004D411A">
        <w:rPr>
          <w:rFonts w:cs="Arial"/>
        </w:rPr>
        <w:t xml:space="preserve">10.2m that must be reflected in the 2024/25 budget and will also have an impact on later years. More details on the changes to the position are included in Section 10. </w:t>
      </w:r>
    </w:p>
    <w:p w14:paraId="7CC6AADE" w14:textId="77777777" w:rsidR="00320643" w:rsidRPr="001250CB" w:rsidRDefault="00320643" w:rsidP="00320643">
      <w:pPr>
        <w:autoSpaceDE w:val="0"/>
        <w:autoSpaceDN w:val="0"/>
        <w:adjustRightInd w:val="0"/>
        <w:jc w:val="both"/>
        <w:rPr>
          <w:rFonts w:cs="Arial"/>
        </w:rPr>
      </w:pPr>
    </w:p>
    <w:p w14:paraId="6C960726" w14:textId="058B4FE3" w:rsidR="00320643" w:rsidRDefault="004A7A82" w:rsidP="001250CB">
      <w:pPr>
        <w:ind w:left="720" w:hanging="720"/>
        <w:jc w:val="both"/>
        <w:rPr>
          <w:rFonts w:eastAsia="Arial" w:cs="Arial"/>
        </w:rPr>
      </w:pPr>
      <w:r w:rsidRPr="001250CB">
        <w:rPr>
          <w:rFonts w:cs="Arial"/>
        </w:rPr>
        <w:t>1.</w:t>
      </w:r>
      <w:r w:rsidR="0053416F">
        <w:rPr>
          <w:rFonts w:cs="Arial"/>
        </w:rPr>
        <w:t>07</w:t>
      </w:r>
      <w:r w:rsidRPr="001250CB">
        <w:rPr>
          <w:rFonts w:cs="Arial"/>
        </w:rPr>
        <w:tab/>
        <w:t xml:space="preserve">The </w:t>
      </w:r>
      <w:r w:rsidR="007D6510">
        <w:rPr>
          <w:rFonts w:cs="Arial"/>
        </w:rPr>
        <w:t>C</w:t>
      </w:r>
      <w:r w:rsidRPr="001250CB">
        <w:rPr>
          <w:rFonts w:cs="Arial"/>
        </w:rPr>
        <w:t>ouncil continues to retain relatively healthy reserves</w:t>
      </w:r>
      <w:r w:rsidR="00DB7007">
        <w:rPr>
          <w:rFonts w:cs="Arial"/>
        </w:rPr>
        <w:t>,</w:t>
      </w:r>
      <w:r w:rsidRPr="001250CB">
        <w:rPr>
          <w:rFonts w:cs="Arial"/>
        </w:rPr>
        <w:t xml:space="preserve"> with the current uncommitted transitional reserve being sufficient to meet the forecast funding gap for the next </w:t>
      </w:r>
      <w:r>
        <w:rPr>
          <w:rFonts w:cs="Arial"/>
        </w:rPr>
        <w:t>3</w:t>
      </w:r>
      <w:r w:rsidRPr="001250CB">
        <w:rPr>
          <w:rFonts w:cs="Arial"/>
        </w:rPr>
        <w:t xml:space="preserve"> years. </w:t>
      </w:r>
      <w:r w:rsidR="005F2B25">
        <w:rPr>
          <w:rFonts w:cs="Arial"/>
        </w:rPr>
        <w:t>A bala</w:t>
      </w:r>
      <w:r w:rsidR="0086019E">
        <w:rPr>
          <w:rFonts w:cs="Arial"/>
        </w:rPr>
        <w:t xml:space="preserve">nce of £165m </w:t>
      </w:r>
      <w:r w:rsidR="00DA7B76">
        <w:rPr>
          <w:rFonts w:cs="Arial"/>
        </w:rPr>
        <w:t xml:space="preserve">is forecast for the end of the 2023/24 financial year. </w:t>
      </w:r>
      <w:r w:rsidRPr="001250CB">
        <w:rPr>
          <w:rFonts w:eastAsia="Arial" w:cs="Arial"/>
        </w:rPr>
        <w:t>However, the intention remains to identify further savings and/or deliver agreed savings earlier than currently planned</w:t>
      </w:r>
      <w:r w:rsidR="00C36FF5">
        <w:rPr>
          <w:rFonts w:eastAsia="Arial" w:cs="Arial"/>
        </w:rPr>
        <w:t>,</w:t>
      </w:r>
      <w:r w:rsidRPr="001250CB">
        <w:rPr>
          <w:rFonts w:eastAsia="Arial" w:cs="Arial"/>
        </w:rPr>
        <w:t xml:space="preserve"> to reduce the forecast funding gap enabling further investment to be made into priority services.</w:t>
      </w:r>
    </w:p>
    <w:p w14:paraId="26C45E60" w14:textId="77777777" w:rsidR="005A3943" w:rsidRDefault="005A3943" w:rsidP="001250CB">
      <w:pPr>
        <w:ind w:left="720" w:hanging="720"/>
        <w:jc w:val="both"/>
        <w:rPr>
          <w:rFonts w:eastAsia="Arial" w:cs="Arial"/>
        </w:rPr>
      </w:pPr>
    </w:p>
    <w:p w14:paraId="04F9F82C" w14:textId="1B5F67BC" w:rsidR="005A3943" w:rsidRDefault="004A7A82" w:rsidP="001250CB">
      <w:pPr>
        <w:ind w:left="720" w:hanging="720"/>
        <w:jc w:val="both"/>
      </w:pPr>
      <w:r>
        <w:rPr>
          <w:rFonts w:eastAsia="Arial" w:cs="Arial"/>
        </w:rPr>
        <w:t>1.</w:t>
      </w:r>
      <w:r w:rsidR="0053416F">
        <w:rPr>
          <w:rFonts w:eastAsia="Arial" w:cs="Arial"/>
        </w:rPr>
        <w:t>08</w:t>
      </w:r>
      <w:r>
        <w:rPr>
          <w:rFonts w:eastAsia="Arial" w:cs="Arial"/>
        </w:rPr>
        <w:tab/>
      </w:r>
      <w:proofErr w:type="gramStart"/>
      <w:r w:rsidR="008B09C7">
        <w:t>A number of</w:t>
      </w:r>
      <w:proofErr w:type="gramEnd"/>
      <w:r w:rsidR="008B09C7">
        <w:t xml:space="preserve"> </w:t>
      </w:r>
      <w:r w:rsidR="007D6510">
        <w:t>c</w:t>
      </w:r>
      <w:r w:rsidR="008B09C7">
        <w:t xml:space="preserve">ouncils across the country are experiencing extreme financial challenges and whilst this </w:t>
      </w:r>
      <w:r w:rsidR="007D6510">
        <w:t>c</w:t>
      </w:r>
      <w:r w:rsidR="008B09C7">
        <w:t>ouncil is not in that position it does have growing demand for its services in a number of key areas</w:t>
      </w:r>
      <w:r w:rsidR="0038171A">
        <w:t xml:space="preserve">. </w:t>
      </w:r>
      <w:r w:rsidR="008B09C7">
        <w:t xml:space="preserve"> </w:t>
      </w:r>
    </w:p>
    <w:p w14:paraId="35A03083" w14:textId="77777777" w:rsidR="000A5D0A" w:rsidRDefault="000A5D0A" w:rsidP="001250CB">
      <w:pPr>
        <w:ind w:left="720" w:hanging="720"/>
        <w:jc w:val="both"/>
        <w:rPr>
          <w:rFonts w:eastAsia="Arial" w:cs="Arial"/>
        </w:rPr>
      </w:pPr>
    </w:p>
    <w:p w14:paraId="09D115AB" w14:textId="77777777" w:rsidR="00117069" w:rsidRDefault="00117069" w:rsidP="001250CB">
      <w:pPr>
        <w:ind w:left="720" w:hanging="720"/>
        <w:jc w:val="both"/>
        <w:rPr>
          <w:rFonts w:eastAsia="Arial" w:cs="Arial"/>
        </w:rPr>
      </w:pPr>
    </w:p>
    <w:p w14:paraId="041C687F" w14:textId="77777777" w:rsidR="00117069" w:rsidRDefault="00117069" w:rsidP="001250CB">
      <w:pPr>
        <w:ind w:left="720" w:hanging="720"/>
        <w:jc w:val="both"/>
        <w:rPr>
          <w:rFonts w:eastAsia="Arial" w:cs="Arial"/>
        </w:rPr>
      </w:pPr>
    </w:p>
    <w:p w14:paraId="56D88968" w14:textId="77777777" w:rsidR="00117069" w:rsidRDefault="00117069" w:rsidP="001250CB">
      <w:pPr>
        <w:ind w:left="720" w:hanging="720"/>
        <w:jc w:val="both"/>
        <w:rPr>
          <w:rFonts w:eastAsia="Arial" w:cs="Arial"/>
        </w:rPr>
      </w:pPr>
    </w:p>
    <w:p w14:paraId="7678AB98" w14:textId="6FF69469" w:rsidR="000A5D0A" w:rsidRDefault="004A7A82" w:rsidP="001250CB">
      <w:pPr>
        <w:ind w:left="720" w:hanging="720"/>
        <w:jc w:val="both"/>
        <w:rPr>
          <w:rFonts w:eastAsia="Arial" w:cs="Arial"/>
        </w:rPr>
      </w:pPr>
      <w:r>
        <w:rPr>
          <w:rFonts w:eastAsia="Arial" w:cs="Arial"/>
        </w:rPr>
        <w:lastRenderedPageBreak/>
        <w:t>1.</w:t>
      </w:r>
      <w:r w:rsidR="0053416F">
        <w:rPr>
          <w:rFonts w:eastAsia="Arial" w:cs="Arial"/>
        </w:rPr>
        <w:t>09</w:t>
      </w:r>
      <w:r>
        <w:rPr>
          <w:rFonts w:eastAsia="Arial" w:cs="Arial"/>
        </w:rPr>
        <w:tab/>
        <w:t xml:space="preserve">The </w:t>
      </w:r>
      <w:r w:rsidR="00105B23">
        <w:rPr>
          <w:rFonts w:eastAsia="Arial" w:cs="Arial"/>
        </w:rPr>
        <w:t>2024</w:t>
      </w:r>
      <w:r w:rsidR="00631871">
        <w:rPr>
          <w:rFonts w:eastAsia="Arial" w:cs="Arial"/>
        </w:rPr>
        <w:t>/25</w:t>
      </w:r>
      <w:r w:rsidR="00105B23">
        <w:rPr>
          <w:rFonts w:eastAsia="Arial" w:cs="Arial"/>
        </w:rPr>
        <w:t xml:space="preserve"> </w:t>
      </w:r>
      <w:r w:rsidR="00631871">
        <w:rPr>
          <w:rFonts w:eastAsia="Arial" w:cs="Arial"/>
        </w:rPr>
        <w:t>b</w:t>
      </w:r>
      <w:r w:rsidR="00105B23">
        <w:rPr>
          <w:rFonts w:eastAsia="Arial" w:cs="Arial"/>
        </w:rPr>
        <w:t>udget and the medium-term financial strategy for future years</w:t>
      </w:r>
      <w:r w:rsidR="00C856CE">
        <w:rPr>
          <w:rFonts w:eastAsia="Arial" w:cs="Arial"/>
        </w:rPr>
        <w:t xml:space="preserve">, whilst focussing on the </w:t>
      </w:r>
      <w:r w:rsidR="00F472B9">
        <w:rPr>
          <w:rFonts w:eastAsia="Arial" w:cs="Arial"/>
        </w:rPr>
        <w:t>revenue budget</w:t>
      </w:r>
      <w:r w:rsidR="00F17C4A">
        <w:rPr>
          <w:rFonts w:eastAsia="Arial" w:cs="Arial"/>
        </w:rPr>
        <w:t>,</w:t>
      </w:r>
      <w:r w:rsidR="00F472B9">
        <w:rPr>
          <w:rFonts w:eastAsia="Arial" w:cs="Arial"/>
        </w:rPr>
        <w:t xml:space="preserve"> </w:t>
      </w:r>
      <w:r w:rsidR="005D1EA8">
        <w:rPr>
          <w:rFonts w:eastAsia="Arial" w:cs="Arial"/>
        </w:rPr>
        <w:t xml:space="preserve">is considered alongside other significant areas affecting the </w:t>
      </w:r>
      <w:r w:rsidR="00140841">
        <w:rPr>
          <w:rFonts w:eastAsia="Arial" w:cs="Arial"/>
        </w:rPr>
        <w:t>C</w:t>
      </w:r>
      <w:r w:rsidR="005D1EA8">
        <w:rPr>
          <w:rFonts w:eastAsia="Arial" w:cs="Arial"/>
        </w:rPr>
        <w:t xml:space="preserve">ouncil's </w:t>
      </w:r>
      <w:r w:rsidR="00F87227">
        <w:rPr>
          <w:rFonts w:eastAsia="Arial" w:cs="Arial"/>
        </w:rPr>
        <w:t>financial affairs including</w:t>
      </w:r>
      <w:r w:rsidR="00631871">
        <w:rPr>
          <w:rFonts w:eastAsia="Arial" w:cs="Arial"/>
        </w:rPr>
        <w:t>:</w:t>
      </w:r>
    </w:p>
    <w:p w14:paraId="2B326838" w14:textId="77777777" w:rsidR="00631871" w:rsidRDefault="00631871" w:rsidP="001250CB">
      <w:pPr>
        <w:ind w:left="720" w:hanging="720"/>
        <w:jc w:val="both"/>
        <w:rPr>
          <w:rFonts w:eastAsia="Arial" w:cs="Arial"/>
        </w:rPr>
      </w:pPr>
    </w:p>
    <w:p w14:paraId="1EDE680F" w14:textId="3656A75F" w:rsidR="00F87227" w:rsidRDefault="004A7A82" w:rsidP="00E02FB2">
      <w:pPr>
        <w:pStyle w:val="ListParagraph"/>
        <w:numPr>
          <w:ilvl w:val="0"/>
          <w:numId w:val="3"/>
        </w:numPr>
        <w:jc w:val="both"/>
        <w:rPr>
          <w:rFonts w:eastAsia="Arial" w:cs="Arial"/>
        </w:rPr>
      </w:pPr>
      <w:r>
        <w:rPr>
          <w:rFonts w:eastAsia="Arial" w:cs="Arial"/>
        </w:rPr>
        <w:t>The development of the capital programme</w:t>
      </w:r>
    </w:p>
    <w:p w14:paraId="332806C9" w14:textId="33AC0029" w:rsidR="001D7A93" w:rsidRDefault="004A7A82" w:rsidP="00E02FB2">
      <w:pPr>
        <w:pStyle w:val="ListParagraph"/>
        <w:numPr>
          <w:ilvl w:val="0"/>
          <w:numId w:val="3"/>
        </w:numPr>
        <w:jc w:val="both"/>
        <w:rPr>
          <w:rFonts w:eastAsia="Arial" w:cs="Arial"/>
        </w:rPr>
      </w:pPr>
      <w:r>
        <w:rPr>
          <w:rFonts w:eastAsia="Arial" w:cs="Arial"/>
        </w:rPr>
        <w:t>The treasury management strategy</w:t>
      </w:r>
    </w:p>
    <w:p w14:paraId="50454A2D" w14:textId="32D64A3B" w:rsidR="001D7A93" w:rsidRDefault="004A7A82" w:rsidP="00E02FB2">
      <w:pPr>
        <w:pStyle w:val="ListParagraph"/>
        <w:numPr>
          <w:ilvl w:val="0"/>
          <w:numId w:val="3"/>
        </w:numPr>
        <w:jc w:val="both"/>
        <w:rPr>
          <w:rFonts w:eastAsia="Arial" w:cs="Arial"/>
        </w:rPr>
      </w:pPr>
      <w:r>
        <w:rPr>
          <w:rFonts w:eastAsia="Arial" w:cs="Arial"/>
        </w:rPr>
        <w:t xml:space="preserve">The </w:t>
      </w:r>
      <w:r w:rsidR="00140841">
        <w:rPr>
          <w:rFonts w:eastAsia="Arial" w:cs="Arial"/>
        </w:rPr>
        <w:t>C</w:t>
      </w:r>
      <w:r>
        <w:rPr>
          <w:rFonts w:eastAsia="Arial" w:cs="Arial"/>
        </w:rPr>
        <w:t xml:space="preserve">ouncil's position </w:t>
      </w:r>
      <w:proofErr w:type="gramStart"/>
      <w:r w:rsidR="00B550C5">
        <w:rPr>
          <w:rFonts w:eastAsia="Arial" w:cs="Arial"/>
        </w:rPr>
        <w:t>with regard to</w:t>
      </w:r>
      <w:proofErr w:type="gramEnd"/>
      <w:r w:rsidR="00B550C5">
        <w:rPr>
          <w:rFonts w:eastAsia="Arial" w:cs="Arial"/>
        </w:rPr>
        <w:t xml:space="preserve"> </w:t>
      </w:r>
      <w:r w:rsidR="00631871">
        <w:rPr>
          <w:rFonts w:eastAsia="Arial" w:cs="Arial"/>
        </w:rPr>
        <w:t>the High Needs Block within Education and Children's Services</w:t>
      </w:r>
    </w:p>
    <w:p w14:paraId="185240F5" w14:textId="7E2C6117" w:rsidR="00631871" w:rsidRPr="00F87227" w:rsidRDefault="004A7A82" w:rsidP="00E02FB2">
      <w:pPr>
        <w:pStyle w:val="ListParagraph"/>
        <w:numPr>
          <w:ilvl w:val="0"/>
          <w:numId w:val="3"/>
        </w:numPr>
        <w:jc w:val="both"/>
        <w:rPr>
          <w:rFonts w:eastAsia="Arial" w:cs="Arial"/>
        </w:rPr>
      </w:pPr>
      <w:r>
        <w:rPr>
          <w:rFonts w:eastAsia="Arial" w:cs="Arial"/>
        </w:rPr>
        <w:t xml:space="preserve">The </w:t>
      </w:r>
      <w:r w:rsidR="00140841">
        <w:rPr>
          <w:rFonts w:eastAsia="Arial" w:cs="Arial"/>
        </w:rPr>
        <w:t>C</w:t>
      </w:r>
      <w:r>
        <w:rPr>
          <w:rFonts w:eastAsia="Arial" w:cs="Arial"/>
        </w:rPr>
        <w:t>ouncil's commitments to major projects</w:t>
      </w:r>
    </w:p>
    <w:p w14:paraId="31A33D87" w14:textId="77777777" w:rsidR="001250CB" w:rsidRDefault="001250CB" w:rsidP="001250CB">
      <w:pPr>
        <w:jc w:val="both"/>
        <w:rPr>
          <w:rFonts w:eastAsia="Arial" w:cs="Arial"/>
        </w:rPr>
      </w:pPr>
    </w:p>
    <w:p w14:paraId="41060F57" w14:textId="22C36F9D" w:rsidR="004D411A" w:rsidRDefault="004A7A82" w:rsidP="00117069">
      <w:pPr>
        <w:ind w:left="720" w:hanging="720"/>
        <w:jc w:val="both"/>
        <w:rPr>
          <w:rFonts w:cs="Arial"/>
        </w:rPr>
      </w:pPr>
      <w:r>
        <w:rPr>
          <w:rFonts w:eastAsia="Arial" w:cs="Arial"/>
        </w:rPr>
        <w:t>1.</w:t>
      </w:r>
      <w:r w:rsidR="0053416F">
        <w:rPr>
          <w:rFonts w:eastAsia="Arial" w:cs="Arial"/>
        </w:rPr>
        <w:t>10</w:t>
      </w:r>
      <w:r>
        <w:rPr>
          <w:rFonts w:eastAsia="Arial" w:cs="Arial"/>
        </w:rPr>
        <w:tab/>
      </w:r>
      <w:r w:rsidR="005448B2">
        <w:rPr>
          <w:rFonts w:eastAsia="Arial" w:cs="Arial"/>
        </w:rPr>
        <w:t>A</w:t>
      </w:r>
      <w:r w:rsidRPr="00213143">
        <w:rPr>
          <w:rFonts w:eastAsia="Calibri" w:cs="Helvetica-Light"/>
          <w:color w:val="000000" w:themeColor="text1"/>
        </w:rPr>
        <w:t xml:space="preserve"> series of </w:t>
      </w:r>
      <w:r w:rsidR="0025412B">
        <w:rPr>
          <w:rFonts w:eastAsia="Calibri" w:cs="Helvetica-Light"/>
          <w:color w:val="000000" w:themeColor="text1"/>
        </w:rPr>
        <w:t>'</w:t>
      </w:r>
      <w:r w:rsidRPr="00213143">
        <w:rPr>
          <w:rFonts w:eastAsia="Calibri" w:cs="Helvetica-Light"/>
          <w:color w:val="000000" w:themeColor="text1"/>
        </w:rPr>
        <w:t>service challenge' events will be carried out during the 2024/25 financial year to identify further savings and efficiencies that could be brought forward during 2024/25 and 2025/26</w:t>
      </w:r>
      <w:r w:rsidR="005448B2">
        <w:rPr>
          <w:rFonts w:eastAsia="Calibri" w:cs="Helvetica-Light"/>
          <w:color w:val="000000" w:themeColor="text1"/>
        </w:rPr>
        <w:t>.</w:t>
      </w:r>
    </w:p>
    <w:p w14:paraId="0539CC00" w14:textId="77777777" w:rsidR="004D411A" w:rsidRPr="00564672" w:rsidRDefault="004D411A" w:rsidP="00320643">
      <w:pPr>
        <w:jc w:val="both"/>
        <w:rPr>
          <w:rFonts w:cs="Arial"/>
        </w:rPr>
      </w:pPr>
    </w:p>
    <w:p w14:paraId="6AE9CC60" w14:textId="77A40D15" w:rsidR="00631871" w:rsidRDefault="004A7A82" w:rsidP="00864600">
      <w:pPr>
        <w:ind w:left="720" w:hanging="720"/>
        <w:jc w:val="both"/>
        <w:rPr>
          <w:rFonts w:cs="Arial"/>
        </w:rPr>
      </w:pPr>
      <w:r>
        <w:rPr>
          <w:rFonts w:cs="Arial"/>
        </w:rPr>
        <w:t>1</w:t>
      </w:r>
      <w:r w:rsidR="005448B2">
        <w:rPr>
          <w:rFonts w:cs="Arial"/>
        </w:rPr>
        <w:t>.</w:t>
      </w:r>
      <w:r>
        <w:rPr>
          <w:rFonts w:cs="Arial"/>
        </w:rPr>
        <w:t>11</w:t>
      </w:r>
      <w:r w:rsidR="00C41A44" w:rsidRPr="00564672">
        <w:rPr>
          <w:rFonts w:cs="Arial"/>
        </w:rPr>
        <w:t xml:space="preserve"> </w:t>
      </w:r>
      <w:r w:rsidR="00864600">
        <w:rPr>
          <w:rFonts w:cs="Arial"/>
        </w:rPr>
        <w:tab/>
      </w:r>
      <w:r w:rsidR="00C41A44" w:rsidRPr="00564672">
        <w:rPr>
          <w:rFonts w:cs="Arial"/>
        </w:rPr>
        <w:t xml:space="preserve">To review the proposed </w:t>
      </w:r>
      <w:r w:rsidR="00432B4C" w:rsidRPr="00564672">
        <w:rPr>
          <w:rFonts w:cs="Arial"/>
        </w:rPr>
        <w:t>budgets</w:t>
      </w:r>
      <w:r w:rsidR="00767A98" w:rsidRPr="00564672">
        <w:rPr>
          <w:rFonts w:cs="Arial"/>
        </w:rPr>
        <w:t>, the report is split into the following sections:</w:t>
      </w:r>
    </w:p>
    <w:p w14:paraId="70C110F1" w14:textId="1267107E" w:rsidR="00D14DDF" w:rsidRPr="00D14DDF" w:rsidRDefault="00D14DDF" w:rsidP="00D14DDF">
      <w:pPr>
        <w:jc w:val="both"/>
        <w:rPr>
          <w:rFonts w:cs="Arial"/>
        </w:rPr>
      </w:pPr>
    </w:p>
    <w:p w14:paraId="5B0C50A4" w14:textId="6EB2F0AC" w:rsidR="001C6127" w:rsidRPr="00A42601" w:rsidRDefault="004A7A82" w:rsidP="00E02FB2">
      <w:pPr>
        <w:pStyle w:val="ListParagraph"/>
        <w:numPr>
          <w:ilvl w:val="0"/>
          <w:numId w:val="4"/>
        </w:numPr>
        <w:jc w:val="both"/>
        <w:rPr>
          <w:rFonts w:cs="Arial"/>
        </w:rPr>
      </w:pPr>
      <w:r>
        <w:rPr>
          <w:rFonts w:cs="Arial"/>
        </w:rPr>
        <w:t xml:space="preserve">Overall </w:t>
      </w:r>
      <w:r w:rsidR="59B12308" w:rsidRPr="2165DDB2">
        <w:rPr>
          <w:rFonts w:cs="Arial"/>
        </w:rPr>
        <w:t xml:space="preserve">financial </w:t>
      </w:r>
      <w:r>
        <w:rPr>
          <w:rFonts w:cs="Arial"/>
        </w:rPr>
        <w:t xml:space="preserve">position </w:t>
      </w:r>
      <w:r w:rsidR="59B12308" w:rsidRPr="2165DDB2">
        <w:rPr>
          <w:rFonts w:cs="Arial"/>
        </w:rPr>
        <w:t>for the years</w:t>
      </w:r>
      <w:r>
        <w:rPr>
          <w:rFonts w:cs="Arial"/>
        </w:rPr>
        <w:t xml:space="preserve"> 2024</w:t>
      </w:r>
      <w:r w:rsidR="00A42601">
        <w:rPr>
          <w:rFonts w:cs="Arial"/>
        </w:rPr>
        <w:t>/</w:t>
      </w:r>
      <w:r>
        <w:rPr>
          <w:rFonts w:cs="Arial"/>
        </w:rPr>
        <w:t>25 to 2026/27</w:t>
      </w:r>
    </w:p>
    <w:p w14:paraId="5FE2345E" w14:textId="0ACE4086" w:rsidR="00D14DDF" w:rsidRDefault="004A7A82" w:rsidP="00E02FB2">
      <w:pPr>
        <w:pStyle w:val="ListParagraph"/>
        <w:numPr>
          <w:ilvl w:val="0"/>
          <w:numId w:val="4"/>
        </w:numPr>
        <w:jc w:val="both"/>
        <w:rPr>
          <w:rFonts w:cs="Arial"/>
        </w:rPr>
      </w:pPr>
      <w:r>
        <w:rPr>
          <w:rFonts w:cs="Arial"/>
        </w:rPr>
        <w:t>Revenue Budget</w:t>
      </w:r>
      <w:r w:rsidR="00256A1B">
        <w:rPr>
          <w:rFonts w:cs="Arial"/>
        </w:rPr>
        <w:t xml:space="preserve"> 2024/25 </w:t>
      </w:r>
    </w:p>
    <w:p w14:paraId="0AC2367A" w14:textId="77777777" w:rsidR="00DD4044" w:rsidRDefault="004A7A82" w:rsidP="00E02FB2">
      <w:pPr>
        <w:pStyle w:val="ListParagraph"/>
        <w:numPr>
          <w:ilvl w:val="1"/>
          <w:numId w:val="4"/>
        </w:numPr>
        <w:jc w:val="both"/>
        <w:rPr>
          <w:rFonts w:cs="Arial"/>
        </w:rPr>
      </w:pPr>
      <w:r>
        <w:rPr>
          <w:rFonts w:cs="Arial"/>
        </w:rPr>
        <w:t>Approved budget and spending plans</w:t>
      </w:r>
    </w:p>
    <w:p w14:paraId="3865F0E6" w14:textId="77777777" w:rsidR="00DD4044" w:rsidRPr="00564672" w:rsidRDefault="004A7A82" w:rsidP="00E02FB2">
      <w:pPr>
        <w:pStyle w:val="ListParagraph"/>
        <w:numPr>
          <w:ilvl w:val="2"/>
          <w:numId w:val="4"/>
        </w:numPr>
        <w:jc w:val="both"/>
        <w:rPr>
          <w:rFonts w:cs="Arial"/>
        </w:rPr>
      </w:pPr>
      <w:r w:rsidRPr="00564672">
        <w:rPr>
          <w:rFonts w:cs="Arial"/>
        </w:rPr>
        <w:t>Pay</w:t>
      </w:r>
      <w:r>
        <w:rPr>
          <w:rFonts w:cs="Arial"/>
        </w:rPr>
        <w:t xml:space="preserve"> and Pensions</w:t>
      </w:r>
    </w:p>
    <w:p w14:paraId="39D77914" w14:textId="77777777" w:rsidR="00DD4044" w:rsidRPr="00564672" w:rsidRDefault="004A7A82" w:rsidP="00E02FB2">
      <w:pPr>
        <w:pStyle w:val="ListParagraph"/>
        <w:numPr>
          <w:ilvl w:val="2"/>
          <w:numId w:val="4"/>
        </w:numPr>
        <w:jc w:val="both"/>
        <w:rPr>
          <w:rFonts w:cs="Arial"/>
        </w:rPr>
      </w:pPr>
      <w:r w:rsidRPr="00564672">
        <w:rPr>
          <w:rFonts w:cs="Arial"/>
        </w:rPr>
        <w:t>Inflation</w:t>
      </w:r>
      <w:r>
        <w:rPr>
          <w:rFonts w:cs="Arial"/>
        </w:rPr>
        <w:t xml:space="preserve"> and Cost Changes</w:t>
      </w:r>
    </w:p>
    <w:p w14:paraId="1A4CBFB9" w14:textId="0ACFA0B1" w:rsidR="00DD4044" w:rsidRPr="00564672" w:rsidRDefault="004A7A82" w:rsidP="00E02FB2">
      <w:pPr>
        <w:pStyle w:val="ListParagraph"/>
        <w:numPr>
          <w:ilvl w:val="2"/>
          <w:numId w:val="4"/>
        </w:numPr>
        <w:jc w:val="both"/>
        <w:rPr>
          <w:rFonts w:cs="Arial"/>
        </w:rPr>
      </w:pPr>
      <w:r>
        <w:rPr>
          <w:rFonts w:cs="Arial"/>
        </w:rPr>
        <w:t>D</w:t>
      </w:r>
      <w:r w:rsidRPr="00B6455B">
        <w:rPr>
          <w:rFonts w:cs="Arial"/>
        </w:rPr>
        <w:t>emand and Volume Pressures</w:t>
      </w:r>
    </w:p>
    <w:p w14:paraId="0D63CC50" w14:textId="77777777" w:rsidR="00DD4044" w:rsidRDefault="004A7A82" w:rsidP="00E02FB2">
      <w:pPr>
        <w:pStyle w:val="ListParagraph"/>
        <w:numPr>
          <w:ilvl w:val="2"/>
          <w:numId w:val="4"/>
        </w:numPr>
        <w:jc w:val="both"/>
        <w:rPr>
          <w:rFonts w:cs="Arial"/>
        </w:rPr>
      </w:pPr>
      <w:r w:rsidRPr="00564672">
        <w:rPr>
          <w:rFonts w:cs="Arial"/>
        </w:rPr>
        <w:t>Savings</w:t>
      </w:r>
    </w:p>
    <w:p w14:paraId="44790147" w14:textId="0084E510" w:rsidR="00B073D5" w:rsidRDefault="004A7A82" w:rsidP="00E02FB2">
      <w:pPr>
        <w:pStyle w:val="ListParagraph"/>
        <w:numPr>
          <w:ilvl w:val="2"/>
          <w:numId w:val="4"/>
        </w:numPr>
        <w:jc w:val="both"/>
        <w:rPr>
          <w:rFonts w:cs="Arial"/>
        </w:rPr>
      </w:pPr>
      <w:r>
        <w:rPr>
          <w:rFonts w:cs="Arial"/>
        </w:rPr>
        <w:t>Additional Grants</w:t>
      </w:r>
    </w:p>
    <w:p w14:paraId="0AF56A1D" w14:textId="7BCE792C" w:rsidR="00B073D5" w:rsidRDefault="004A7A82" w:rsidP="00E02FB2">
      <w:pPr>
        <w:pStyle w:val="ListParagraph"/>
        <w:numPr>
          <w:ilvl w:val="2"/>
          <w:numId w:val="4"/>
        </w:numPr>
        <w:jc w:val="both"/>
        <w:rPr>
          <w:rFonts w:cs="Arial"/>
        </w:rPr>
      </w:pPr>
      <w:r>
        <w:rPr>
          <w:rFonts w:cs="Arial"/>
        </w:rPr>
        <w:t>Capital Financing Costs</w:t>
      </w:r>
    </w:p>
    <w:p w14:paraId="37D318BD" w14:textId="1DB6D97C" w:rsidR="00767A98" w:rsidRPr="00564672" w:rsidRDefault="004A7A82" w:rsidP="00E02FB2">
      <w:pPr>
        <w:pStyle w:val="ListParagraph"/>
        <w:numPr>
          <w:ilvl w:val="1"/>
          <w:numId w:val="4"/>
        </w:numPr>
        <w:jc w:val="both"/>
        <w:rPr>
          <w:rFonts w:cs="Arial"/>
        </w:rPr>
      </w:pPr>
      <w:r w:rsidRPr="00564672">
        <w:rPr>
          <w:rFonts w:cs="Arial"/>
        </w:rPr>
        <w:t xml:space="preserve">Funding </w:t>
      </w:r>
      <w:r w:rsidR="00927CEC" w:rsidRPr="006C53B4">
        <w:rPr>
          <w:rFonts w:eastAsia="Times New Roman" w:cs="Arial"/>
          <w:color w:val="000000"/>
        </w:rPr>
        <w:t>(Council Tax, Business Rates and Government Grants)</w:t>
      </w:r>
    </w:p>
    <w:p w14:paraId="222E2DD8" w14:textId="41716D55" w:rsidR="001C6127" w:rsidRPr="00564672" w:rsidRDefault="004A7A82" w:rsidP="00E02FB2">
      <w:pPr>
        <w:pStyle w:val="ListParagraph"/>
        <w:numPr>
          <w:ilvl w:val="1"/>
          <w:numId w:val="4"/>
        </w:numPr>
        <w:jc w:val="both"/>
        <w:rPr>
          <w:rFonts w:cs="Arial"/>
        </w:rPr>
      </w:pPr>
      <w:r>
        <w:rPr>
          <w:rFonts w:cs="Arial"/>
        </w:rPr>
        <w:t xml:space="preserve">Developing Future </w:t>
      </w:r>
      <w:r w:rsidR="00E75FB3">
        <w:rPr>
          <w:rFonts w:cs="Arial"/>
        </w:rPr>
        <w:t>Y</w:t>
      </w:r>
      <w:r>
        <w:rPr>
          <w:rFonts w:cs="Arial"/>
        </w:rPr>
        <w:t>ear</w:t>
      </w:r>
      <w:r w:rsidR="00E75FB3">
        <w:rPr>
          <w:rFonts w:cs="Arial"/>
        </w:rPr>
        <w:t>'</w:t>
      </w:r>
      <w:r>
        <w:rPr>
          <w:rFonts w:cs="Arial"/>
        </w:rPr>
        <w:t>s Budgets</w:t>
      </w:r>
    </w:p>
    <w:p w14:paraId="2F2444EC" w14:textId="1D1D76C7" w:rsidR="00180F82" w:rsidRDefault="004A7A82" w:rsidP="00E02FB2">
      <w:pPr>
        <w:pStyle w:val="ListParagraph"/>
        <w:numPr>
          <w:ilvl w:val="0"/>
          <w:numId w:val="4"/>
        </w:numPr>
        <w:jc w:val="both"/>
        <w:rPr>
          <w:rFonts w:cs="Arial"/>
        </w:rPr>
      </w:pPr>
      <w:r>
        <w:rPr>
          <w:rFonts w:cs="Arial"/>
        </w:rPr>
        <w:t>Reserves</w:t>
      </w:r>
    </w:p>
    <w:p w14:paraId="56A5E236" w14:textId="4954376D" w:rsidR="00CA58BA" w:rsidRDefault="004A7A82" w:rsidP="00E02FB2">
      <w:pPr>
        <w:pStyle w:val="ListParagraph"/>
        <w:numPr>
          <w:ilvl w:val="0"/>
          <w:numId w:val="4"/>
        </w:numPr>
        <w:jc w:val="both"/>
        <w:rPr>
          <w:rFonts w:cs="Arial"/>
        </w:rPr>
      </w:pPr>
      <w:r>
        <w:rPr>
          <w:rFonts w:cs="Arial"/>
        </w:rPr>
        <w:t>Fees and Charges</w:t>
      </w:r>
    </w:p>
    <w:p w14:paraId="04AE6B32" w14:textId="708E04AE" w:rsidR="001C6127" w:rsidRDefault="004A7A82" w:rsidP="00E02FB2">
      <w:pPr>
        <w:pStyle w:val="ListParagraph"/>
        <w:numPr>
          <w:ilvl w:val="0"/>
          <w:numId w:val="4"/>
        </w:numPr>
        <w:jc w:val="both"/>
        <w:rPr>
          <w:rFonts w:cs="Arial"/>
        </w:rPr>
      </w:pPr>
      <w:r>
        <w:rPr>
          <w:rFonts w:cs="Arial"/>
        </w:rPr>
        <w:t xml:space="preserve">Capital </w:t>
      </w:r>
      <w:r w:rsidR="002C3767">
        <w:rPr>
          <w:rFonts w:cs="Arial"/>
        </w:rPr>
        <w:t xml:space="preserve">Delivery </w:t>
      </w:r>
      <w:r>
        <w:rPr>
          <w:rFonts w:cs="Arial"/>
        </w:rPr>
        <w:t>Programme</w:t>
      </w:r>
    </w:p>
    <w:p w14:paraId="4CF022A2" w14:textId="1D30706D" w:rsidR="006E28BC" w:rsidRDefault="004A7A82" w:rsidP="00E02FB2">
      <w:pPr>
        <w:pStyle w:val="ListParagraph"/>
        <w:numPr>
          <w:ilvl w:val="0"/>
          <w:numId w:val="4"/>
        </w:numPr>
        <w:jc w:val="both"/>
        <w:rPr>
          <w:rFonts w:cs="Arial"/>
        </w:rPr>
      </w:pPr>
      <w:r>
        <w:rPr>
          <w:rFonts w:cs="Arial"/>
        </w:rPr>
        <w:t>Capital Strategy</w:t>
      </w:r>
    </w:p>
    <w:p w14:paraId="5BD50A37" w14:textId="4F912F1C" w:rsidR="001C6127" w:rsidRDefault="004A7A82" w:rsidP="00E02FB2">
      <w:pPr>
        <w:pStyle w:val="ListParagraph"/>
        <w:numPr>
          <w:ilvl w:val="0"/>
          <w:numId w:val="4"/>
        </w:numPr>
        <w:jc w:val="both"/>
        <w:rPr>
          <w:rFonts w:cs="Arial"/>
        </w:rPr>
      </w:pPr>
      <w:r>
        <w:rPr>
          <w:rFonts w:cs="Arial"/>
        </w:rPr>
        <w:t xml:space="preserve">Treasury Management </w:t>
      </w:r>
      <w:r w:rsidR="00B63094">
        <w:rPr>
          <w:rFonts w:cs="Arial"/>
        </w:rPr>
        <w:t>Strategy</w:t>
      </w:r>
    </w:p>
    <w:p w14:paraId="31DCE615" w14:textId="66F8FF3A" w:rsidR="00B63094" w:rsidRDefault="004A7A82" w:rsidP="00E02FB2">
      <w:pPr>
        <w:pStyle w:val="ListParagraph"/>
        <w:numPr>
          <w:ilvl w:val="0"/>
          <w:numId w:val="4"/>
        </w:numPr>
        <w:jc w:val="both"/>
        <w:rPr>
          <w:rFonts w:cs="Arial"/>
        </w:rPr>
      </w:pPr>
      <w:r>
        <w:rPr>
          <w:rFonts w:cs="Arial"/>
        </w:rPr>
        <w:t>Investment Strategy</w:t>
      </w:r>
    </w:p>
    <w:p w14:paraId="18219D31" w14:textId="7CD52D28" w:rsidR="00CD5094" w:rsidRDefault="004A7A82" w:rsidP="00E02FB2">
      <w:pPr>
        <w:pStyle w:val="ListParagraph"/>
        <w:numPr>
          <w:ilvl w:val="0"/>
          <w:numId w:val="4"/>
        </w:numPr>
        <w:jc w:val="both"/>
        <w:rPr>
          <w:rFonts w:cs="Arial"/>
        </w:rPr>
      </w:pPr>
      <w:r>
        <w:rPr>
          <w:rFonts w:cs="Arial"/>
        </w:rPr>
        <w:t xml:space="preserve">Minimum </w:t>
      </w:r>
      <w:r w:rsidR="00265357">
        <w:rPr>
          <w:rFonts w:cs="Arial"/>
        </w:rPr>
        <w:t xml:space="preserve">Revenue Provision Policy </w:t>
      </w:r>
    </w:p>
    <w:p w14:paraId="5DD398B9" w14:textId="7AFE3172" w:rsidR="00152EE4" w:rsidRDefault="004A7A82" w:rsidP="00E02FB2">
      <w:pPr>
        <w:pStyle w:val="ListParagraph"/>
        <w:numPr>
          <w:ilvl w:val="0"/>
          <w:numId w:val="4"/>
        </w:numPr>
        <w:jc w:val="both"/>
        <w:rPr>
          <w:rFonts w:cs="Arial"/>
        </w:rPr>
      </w:pPr>
      <w:r>
        <w:rPr>
          <w:rFonts w:cs="Arial"/>
        </w:rPr>
        <w:t xml:space="preserve">Annual </w:t>
      </w:r>
      <w:r w:rsidR="009874DC">
        <w:rPr>
          <w:rFonts w:cs="Arial"/>
        </w:rPr>
        <w:t>Pay Policy Statement (</w:t>
      </w:r>
      <w:r w:rsidR="005A58E2">
        <w:rPr>
          <w:rFonts w:cs="Arial"/>
        </w:rPr>
        <w:t>The Localism Act 2011)</w:t>
      </w:r>
    </w:p>
    <w:p w14:paraId="6DB2D8C5" w14:textId="49102408" w:rsidR="001C6127" w:rsidRDefault="004A7A82" w:rsidP="00E02FB2">
      <w:pPr>
        <w:pStyle w:val="ListParagraph"/>
        <w:numPr>
          <w:ilvl w:val="0"/>
          <w:numId w:val="4"/>
        </w:numPr>
        <w:jc w:val="both"/>
        <w:rPr>
          <w:rFonts w:cs="Arial"/>
        </w:rPr>
      </w:pPr>
      <w:r>
        <w:rPr>
          <w:rFonts w:cs="Arial"/>
        </w:rPr>
        <w:t xml:space="preserve">S25 statement </w:t>
      </w:r>
    </w:p>
    <w:p w14:paraId="4E797BEF" w14:textId="37202C11" w:rsidR="00B63094" w:rsidRPr="00864600" w:rsidRDefault="004A7A82" w:rsidP="00E02FB2">
      <w:pPr>
        <w:pStyle w:val="ListParagraph"/>
        <w:numPr>
          <w:ilvl w:val="0"/>
          <w:numId w:val="4"/>
        </w:numPr>
        <w:jc w:val="both"/>
        <w:rPr>
          <w:rFonts w:cs="Arial"/>
        </w:rPr>
      </w:pPr>
      <w:r>
        <w:rPr>
          <w:rFonts w:cs="Arial"/>
        </w:rPr>
        <w:t>Budget Consultation</w:t>
      </w:r>
    </w:p>
    <w:p w14:paraId="6BA2E227" w14:textId="77777777" w:rsidR="00882B26" w:rsidRDefault="00882B26" w:rsidP="00320643">
      <w:pPr>
        <w:jc w:val="both"/>
        <w:rPr>
          <w:rFonts w:cs="Arial"/>
          <w:b/>
        </w:rPr>
      </w:pPr>
    </w:p>
    <w:p w14:paraId="2258DCBC" w14:textId="5D562736" w:rsidR="00642BD9" w:rsidRPr="00C15037" w:rsidRDefault="004A7A82" w:rsidP="00642BD9">
      <w:pPr>
        <w:jc w:val="both"/>
        <w:rPr>
          <w:rFonts w:cs="Arial"/>
          <w:b/>
        </w:rPr>
      </w:pPr>
      <w:r>
        <w:rPr>
          <w:rFonts w:cs="Arial"/>
          <w:b/>
        </w:rPr>
        <w:t>2.</w:t>
      </w:r>
      <w:r>
        <w:rPr>
          <w:rFonts w:cs="Arial"/>
          <w:b/>
        </w:rPr>
        <w:tab/>
      </w:r>
      <w:r w:rsidR="00C102CB">
        <w:rPr>
          <w:rFonts w:cs="Arial"/>
          <w:b/>
        </w:rPr>
        <w:t xml:space="preserve">Overall Budget Position </w:t>
      </w:r>
    </w:p>
    <w:p w14:paraId="60899389" w14:textId="77777777" w:rsidR="00882B26" w:rsidRDefault="00882B26" w:rsidP="00320643">
      <w:pPr>
        <w:jc w:val="both"/>
        <w:rPr>
          <w:rFonts w:cs="Arial"/>
          <w:b/>
        </w:rPr>
      </w:pPr>
    </w:p>
    <w:p w14:paraId="32CAFCA4" w14:textId="152C2ABC" w:rsidR="00882B26" w:rsidRDefault="004A7A82" w:rsidP="1296B87A">
      <w:pPr>
        <w:ind w:left="720" w:hanging="720"/>
        <w:jc w:val="both"/>
        <w:rPr>
          <w:rFonts w:cs="Arial"/>
        </w:rPr>
      </w:pPr>
      <w:r w:rsidRPr="1296B87A">
        <w:rPr>
          <w:rFonts w:cs="Arial"/>
        </w:rPr>
        <w:t>2.1</w:t>
      </w:r>
      <w:r w:rsidR="00173FB2">
        <w:tab/>
      </w:r>
      <w:r w:rsidR="65EFBAEF" w:rsidRPr="1296B87A">
        <w:rPr>
          <w:rFonts w:cs="Arial"/>
        </w:rPr>
        <w:t>The Budget set within this report shows the spe</w:t>
      </w:r>
      <w:r w:rsidR="2C7F4F03" w:rsidRPr="1296B87A">
        <w:rPr>
          <w:rFonts w:cs="Arial"/>
        </w:rPr>
        <w:t>n</w:t>
      </w:r>
      <w:r w:rsidR="65EFBAEF" w:rsidRPr="1296B87A">
        <w:rPr>
          <w:rFonts w:cs="Arial"/>
        </w:rPr>
        <w:t>ding plans for the coming year</w:t>
      </w:r>
      <w:r w:rsidR="0039572B">
        <w:rPr>
          <w:rFonts w:cs="Arial"/>
        </w:rPr>
        <w:t>,</w:t>
      </w:r>
      <w:r w:rsidR="65EFBAEF" w:rsidRPr="1296B87A">
        <w:rPr>
          <w:rFonts w:cs="Arial"/>
        </w:rPr>
        <w:t xml:space="preserve"> where £</w:t>
      </w:r>
      <w:r w:rsidR="094C7FD2" w:rsidRPr="1296B87A">
        <w:rPr>
          <w:rFonts w:cs="Arial"/>
        </w:rPr>
        <w:t>1.</w:t>
      </w:r>
      <w:r w:rsidR="00BE0E8B">
        <w:rPr>
          <w:rFonts w:cs="Arial"/>
        </w:rPr>
        <w:t>9</w:t>
      </w:r>
      <w:r w:rsidR="65EFBAEF" w:rsidRPr="1296B87A">
        <w:rPr>
          <w:rFonts w:cs="Arial"/>
        </w:rPr>
        <w:t xml:space="preserve"> billion will be s</w:t>
      </w:r>
      <w:r w:rsidR="2692EEA5" w:rsidRPr="1296B87A">
        <w:rPr>
          <w:rFonts w:cs="Arial"/>
        </w:rPr>
        <w:t>p</w:t>
      </w:r>
      <w:r w:rsidR="65EFBAEF" w:rsidRPr="1296B87A">
        <w:rPr>
          <w:rFonts w:cs="Arial"/>
        </w:rPr>
        <w:t>ent on services for res</w:t>
      </w:r>
      <w:r w:rsidR="0BCA7B8B" w:rsidRPr="1296B87A">
        <w:rPr>
          <w:rFonts w:cs="Arial"/>
        </w:rPr>
        <w:t>i</w:t>
      </w:r>
      <w:r w:rsidR="65EFBAEF" w:rsidRPr="1296B87A">
        <w:rPr>
          <w:rFonts w:cs="Arial"/>
        </w:rPr>
        <w:t>dents</w:t>
      </w:r>
      <w:r w:rsidR="020CED66" w:rsidRPr="1296B87A">
        <w:rPr>
          <w:rFonts w:cs="Arial"/>
        </w:rPr>
        <w:t xml:space="preserve"> </w:t>
      </w:r>
      <w:proofErr w:type="gramStart"/>
      <w:r w:rsidR="020CED66" w:rsidRPr="1296B87A">
        <w:rPr>
          <w:rFonts w:cs="Arial"/>
        </w:rPr>
        <w:t>and also</w:t>
      </w:r>
      <w:proofErr w:type="gramEnd"/>
      <w:r w:rsidR="020CED66" w:rsidRPr="1296B87A">
        <w:rPr>
          <w:rFonts w:cs="Arial"/>
        </w:rPr>
        <w:t xml:space="preserve"> contains assumptions around the financial position facing the </w:t>
      </w:r>
      <w:r w:rsidR="00140841">
        <w:rPr>
          <w:rFonts w:cs="Arial"/>
        </w:rPr>
        <w:t>C</w:t>
      </w:r>
      <w:r w:rsidR="020CED66" w:rsidRPr="1296B87A">
        <w:rPr>
          <w:rFonts w:cs="Arial"/>
        </w:rPr>
        <w:t>ouncil over the following two years.</w:t>
      </w:r>
    </w:p>
    <w:p w14:paraId="5D997C87" w14:textId="6A49AB94" w:rsidR="2165DDB2" w:rsidRDefault="2165DDB2" w:rsidP="1296B87A">
      <w:pPr>
        <w:jc w:val="both"/>
        <w:rPr>
          <w:rFonts w:cs="Arial"/>
        </w:rPr>
      </w:pPr>
    </w:p>
    <w:p w14:paraId="0104B1A4" w14:textId="10351624" w:rsidR="2165DDB2" w:rsidRDefault="004A7A82" w:rsidP="00D463E8">
      <w:pPr>
        <w:ind w:left="720" w:hanging="720"/>
        <w:jc w:val="both"/>
        <w:rPr>
          <w:rFonts w:cs="Arial"/>
        </w:rPr>
      </w:pPr>
      <w:r w:rsidRPr="2165DDB2">
        <w:rPr>
          <w:rFonts w:cs="Arial"/>
        </w:rPr>
        <w:t xml:space="preserve">2.2 </w:t>
      </w:r>
      <w:r w:rsidR="00D463E8">
        <w:rPr>
          <w:rFonts w:cs="Arial"/>
        </w:rPr>
        <w:tab/>
      </w:r>
      <w:r w:rsidRPr="2165DDB2">
        <w:rPr>
          <w:rFonts w:cs="Arial"/>
        </w:rPr>
        <w:t xml:space="preserve">The proposals in the </w:t>
      </w:r>
      <w:r w:rsidR="00D463E8">
        <w:rPr>
          <w:rFonts w:cs="Arial"/>
        </w:rPr>
        <w:t>r</w:t>
      </w:r>
      <w:r w:rsidRPr="2165DDB2">
        <w:rPr>
          <w:rFonts w:cs="Arial"/>
        </w:rPr>
        <w:t xml:space="preserve">eport leave the </w:t>
      </w:r>
      <w:r w:rsidR="00140841">
        <w:rPr>
          <w:rFonts w:cs="Arial"/>
        </w:rPr>
        <w:t>C</w:t>
      </w:r>
      <w:r w:rsidRPr="2165DDB2">
        <w:rPr>
          <w:rFonts w:cs="Arial"/>
        </w:rPr>
        <w:t>ouncil with a budget gap of £</w:t>
      </w:r>
      <w:r w:rsidR="004D411A">
        <w:rPr>
          <w:rFonts w:cs="Arial"/>
        </w:rPr>
        <w:t>0.856</w:t>
      </w:r>
      <w:r w:rsidRPr="2165DDB2">
        <w:rPr>
          <w:rFonts w:cs="Arial"/>
        </w:rPr>
        <w:t>m in 2024/25</w:t>
      </w:r>
      <w:r w:rsidR="00217CBE">
        <w:rPr>
          <w:rFonts w:cs="Arial"/>
        </w:rPr>
        <w:t>, £10.488m</w:t>
      </w:r>
      <w:r w:rsidRPr="2165DDB2">
        <w:rPr>
          <w:rFonts w:cs="Arial"/>
        </w:rPr>
        <w:t xml:space="preserve"> in 2025/26</w:t>
      </w:r>
      <w:r w:rsidR="00217CBE">
        <w:rPr>
          <w:rFonts w:cs="Arial"/>
        </w:rPr>
        <w:t xml:space="preserve"> and £3.351m in 2026/27</w:t>
      </w:r>
      <w:r w:rsidR="4BEDDA55" w:rsidRPr="2165DDB2">
        <w:rPr>
          <w:rFonts w:cs="Arial"/>
        </w:rPr>
        <w:t xml:space="preserve">. A contribution from the </w:t>
      </w:r>
      <w:r w:rsidR="00140841">
        <w:rPr>
          <w:rFonts w:cs="Arial"/>
        </w:rPr>
        <w:t>C</w:t>
      </w:r>
      <w:r w:rsidR="4BEDDA55" w:rsidRPr="2165DDB2">
        <w:rPr>
          <w:rFonts w:cs="Arial"/>
        </w:rPr>
        <w:t>ouncil</w:t>
      </w:r>
      <w:r w:rsidR="00D463E8">
        <w:rPr>
          <w:rFonts w:cs="Arial"/>
        </w:rPr>
        <w:t>'</w:t>
      </w:r>
      <w:r w:rsidR="4BEDDA55" w:rsidRPr="2165DDB2">
        <w:rPr>
          <w:rFonts w:cs="Arial"/>
        </w:rPr>
        <w:t>s transitional reserve will be ut</w:t>
      </w:r>
      <w:r w:rsidR="0A92BF87" w:rsidRPr="2165DDB2">
        <w:rPr>
          <w:rFonts w:cs="Arial"/>
        </w:rPr>
        <w:t>i</w:t>
      </w:r>
      <w:r w:rsidR="4BEDDA55" w:rsidRPr="2165DDB2">
        <w:rPr>
          <w:rFonts w:cs="Arial"/>
        </w:rPr>
        <w:t xml:space="preserve">lised to balance the budget over these </w:t>
      </w:r>
      <w:r w:rsidR="4BEDDA55" w:rsidRPr="2165DDB2">
        <w:rPr>
          <w:rFonts w:cs="Arial"/>
        </w:rPr>
        <w:lastRenderedPageBreak/>
        <w:t xml:space="preserve">years whilst the </w:t>
      </w:r>
      <w:r w:rsidR="00140841">
        <w:rPr>
          <w:rFonts w:cs="Arial"/>
        </w:rPr>
        <w:t>C</w:t>
      </w:r>
      <w:r w:rsidR="4BEDDA55" w:rsidRPr="2165DDB2">
        <w:rPr>
          <w:rFonts w:cs="Arial"/>
        </w:rPr>
        <w:t>ouncil continues its aspiration to develop a balanced and susta</w:t>
      </w:r>
      <w:r w:rsidR="2B404CEE" w:rsidRPr="2165DDB2">
        <w:rPr>
          <w:rFonts w:cs="Arial"/>
        </w:rPr>
        <w:t xml:space="preserve">inable </w:t>
      </w:r>
      <w:r w:rsidR="4BEDDA55" w:rsidRPr="2165DDB2">
        <w:rPr>
          <w:rFonts w:cs="Arial"/>
        </w:rPr>
        <w:t>budget.</w:t>
      </w:r>
    </w:p>
    <w:p w14:paraId="2B5CD318" w14:textId="77777777" w:rsidR="002C3EBB" w:rsidRDefault="002C3EBB" w:rsidP="00320643">
      <w:pPr>
        <w:jc w:val="both"/>
        <w:rPr>
          <w:rFonts w:cs="Arial"/>
          <w:b/>
        </w:rPr>
      </w:pPr>
    </w:p>
    <w:p w14:paraId="7271678B" w14:textId="0B86661A" w:rsidR="00320643" w:rsidRDefault="004A7A82" w:rsidP="00320643">
      <w:pPr>
        <w:jc w:val="both"/>
        <w:rPr>
          <w:rFonts w:cs="Arial"/>
          <w:b/>
          <w:bCs/>
        </w:rPr>
      </w:pPr>
      <w:r>
        <w:rPr>
          <w:rFonts w:cs="Arial"/>
          <w:b/>
        </w:rPr>
        <w:t>3</w:t>
      </w:r>
      <w:r w:rsidRPr="00B07A7D">
        <w:rPr>
          <w:rFonts w:cs="Arial"/>
          <w:b/>
        </w:rPr>
        <w:t xml:space="preserve">. </w:t>
      </w:r>
      <w:r w:rsidR="00606E21" w:rsidRPr="00B07A7D">
        <w:rPr>
          <w:rFonts w:cs="Arial"/>
          <w:b/>
        </w:rPr>
        <w:tab/>
      </w:r>
      <w:r w:rsidRPr="00B07A7D">
        <w:rPr>
          <w:rFonts w:cs="Arial"/>
          <w:b/>
        </w:rPr>
        <w:t>Revenue Budget</w:t>
      </w:r>
      <w:r w:rsidRPr="00B07A7D">
        <w:rPr>
          <w:rFonts w:cs="Arial"/>
        </w:rPr>
        <w:t xml:space="preserve"> </w:t>
      </w:r>
      <w:r w:rsidRPr="00B07A7D">
        <w:rPr>
          <w:rFonts w:cs="Arial"/>
          <w:b/>
          <w:bCs/>
        </w:rPr>
        <w:t>202</w:t>
      </w:r>
      <w:r w:rsidR="00631871" w:rsidRPr="00B07A7D">
        <w:rPr>
          <w:rFonts w:cs="Arial"/>
          <w:b/>
          <w:bCs/>
        </w:rPr>
        <w:t>4</w:t>
      </w:r>
      <w:r w:rsidRPr="00B07A7D">
        <w:rPr>
          <w:rFonts w:cs="Arial"/>
          <w:b/>
          <w:bCs/>
        </w:rPr>
        <w:t>/2</w:t>
      </w:r>
      <w:r w:rsidR="00631871" w:rsidRPr="00B07A7D">
        <w:rPr>
          <w:rFonts w:cs="Arial"/>
          <w:b/>
          <w:bCs/>
        </w:rPr>
        <w:t>5</w:t>
      </w:r>
      <w:r w:rsidRPr="00B07A7D">
        <w:rPr>
          <w:rFonts w:cs="Arial"/>
          <w:b/>
          <w:bCs/>
        </w:rPr>
        <w:t xml:space="preserve"> </w:t>
      </w:r>
    </w:p>
    <w:p w14:paraId="1D216498" w14:textId="57BEB6F4" w:rsidR="00E343B7" w:rsidRDefault="00E343B7" w:rsidP="0002330F">
      <w:pPr>
        <w:jc w:val="both"/>
        <w:rPr>
          <w:rFonts w:cs="Arial"/>
        </w:rPr>
      </w:pPr>
    </w:p>
    <w:p w14:paraId="6B8F1E23" w14:textId="15C16449" w:rsidR="00E343B7" w:rsidRDefault="004A7A82" w:rsidP="0062698C">
      <w:pPr>
        <w:ind w:left="720" w:hanging="720"/>
        <w:jc w:val="both"/>
        <w:rPr>
          <w:rFonts w:cs="Arial"/>
        </w:rPr>
      </w:pPr>
      <w:r w:rsidRPr="1296B87A">
        <w:rPr>
          <w:rFonts w:cs="Arial"/>
        </w:rPr>
        <w:t>3</w:t>
      </w:r>
      <w:r w:rsidR="48F85611" w:rsidRPr="1296B87A">
        <w:rPr>
          <w:rFonts w:cs="Arial"/>
        </w:rPr>
        <w:t xml:space="preserve">.1 </w:t>
      </w:r>
      <w:r w:rsidR="00DF5410">
        <w:tab/>
      </w:r>
      <w:r w:rsidR="48F85611" w:rsidRPr="1296B87A">
        <w:rPr>
          <w:rFonts w:cs="Arial"/>
        </w:rPr>
        <w:t xml:space="preserve">Members are asked to approve the </w:t>
      </w:r>
      <w:r w:rsidR="009311EA" w:rsidRPr="1296B87A">
        <w:rPr>
          <w:rFonts w:cs="Arial"/>
        </w:rPr>
        <w:t>2024/25 revenue</w:t>
      </w:r>
      <w:r w:rsidR="48F85611" w:rsidRPr="1296B87A">
        <w:rPr>
          <w:rFonts w:cs="Arial"/>
        </w:rPr>
        <w:t xml:space="preserve"> budget as </w:t>
      </w:r>
      <w:r w:rsidR="009311EA" w:rsidRPr="1296B87A">
        <w:rPr>
          <w:rFonts w:cs="Arial"/>
        </w:rPr>
        <w:t>detailed below in Table 1</w:t>
      </w:r>
      <w:r w:rsidR="00277388" w:rsidRPr="1296B87A">
        <w:rPr>
          <w:rFonts w:cs="Arial"/>
        </w:rPr>
        <w:t>:</w:t>
      </w:r>
    </w:p>
    <w:p w14:paraId="639E61AA" w14:textId="5EFA4E40" w:rsidR="0062698C" w:rsidRDefault="0062698C" w:rsidP="0062698C">
      <w:pPr>
        <w:ind w:left="720" w:hanging="720"/>
        <w:jc w:val="both"/>
        <w:rPr>
          <w:rFonts w:cs="Arial"/>
        </w:rPr>
      </w:pPr>
    </w:p>
    <w:p w14:paraId="19F7512A" w14:textId="194EEE38" w:rsidR="00277388" w:rsidRPr="002C3EBB" w:rsidRDefault="004A7A82" w:rsidP="003305BC">
      <w:pPr>
        <w:ind w:left="720" w:hanging="720"/>
        <w:jc w:val="both"/>
        <w:rPr>
          <w:rFonts w:cs="Arial"/>
          <w:b/>
          <w:bCs/>
          <w:i/>
          <w:iCs/>
          <w:u w:val="single"/>
        </w:rPr>
      </w:pPr>
      <w:r w:rsidRPr="002C3EBB">
        <w:rPr>
          <w:rFonts w:cs="Arial"/>
          <w:b/>
          <w:bCs/>
          <w:i/>
          <w:iCs/>
          <w:u w:val="single"/>
        </w:rPr>
        <w:t xml:space="preserve">Table </w:t>
      </w:r>
      <w:r w:rsidR="008F3366">
        <w:rPr>
          <w:rFonts w:cs="Arial"/>
          <w:b/>
          <w:bCs/>
          <w:i/>
          <w:iCs/>
          <w:u w:val="single"/>
        </w:rPr>
        <w:t>1</w:t>
      </w:r>
    </w:p>
    <w:p w14:paraId="6683DF01" w14:textId="77777777" w:rsidR="00277388" w:rsidRDefault="00277388" w:rsidP="003305BC">
      <w:pPr>
        <w:ind w:left="720" w:hanging="720"/>
        <w:jc w:val="both"/>
        <w:rPr>
          <w:rFonts w:cs="Arial"/>
        </w:rPr>
      </w:pPr>
    </w:p>
    <w:tbl>
      <w:tblPr>
        <w:tblW w:w="9597" w:type="dxa"/>
        <w:tblLayout w:type="fixed"/>
        <w:tblLook w:val="04A0" w:firstRow="1" w:lastRow="0" w:firstColumn="1" w:lastColumn="0" w:noHBand="0" w:noVBand="1"/>
      </w:tblPr>
      <w:tblGrid>
        <w:gridCol w:w="5074"/>
        <w:gridCol w:w="1507"/>
        <w:gridCol w:w="1508"/>
        <w:gridCol w:w="1508"/>
      </w:tblGrid>
      <w:tr w:rsidR="00C92CD8" w14:paraId="743B53B3" w14:textId="77777777" w:rsidTr="00802B34">
        <w:trPr>
          <w:trHeight w:val="786"/>
        </w:trPr>
        <w:tc>
          <w:tcPr>
            <w:tcW w:w="5074"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93AB260" w14:textId="77777777" w:rsidR="00F86D9B" w:rsidRPr="00D850A7" w:rsidRDefault="00F86D9B" w:rsidP="00D43385">
            <w:pPr>
              <w:jc w:val="center"/>
              <w:rPr>
                <w:rFonts w:cs="Arial"/>
                <w:b/>
                <w:color w:val="000000"/>
              </w:rPr>
            </w:pPr>
          </w:p>
        </w:tc>
        <w:tc>
          <w:tcPr>
            <w:tcW w:w="1507" w:type="dxa"/>
            <w:tcBorders>
              <w:top w:val="single" w:sz="8" w:space="0" w:color="auto"/>
              <w:left w:val="nil"/>
              <w:bottom w:val="single" w:sz="8" w:space="0" w:color="auto"/>
              <w:right w:val="single" w:sz="4" w:space="0" w:color="auto"/>
            </w:tcBorders>
            <w:shd w:val="clear" w:color="auto" w:fill="D9D9D9"/>
          </w:tcPr>
          <w:p w14:paraId="3BD9E19F" w14:textId="77777777" w:rsidR="00F86D9B" w:rsidRDefault="00F86D9B" w:rsidP="00BD17C2">
            <w:pPr>
              <w:jc w:val="center"/>
              <w:rPr>
                <w:rFonts w:eastAsia="Calibri" w:cs="Arial"/>
                <w:b/>
                <w:color w:val="000000"/>
              </w:rPr>
            </w:pPr>
          </w:p>
          <w:p w14:paraId="5341C0AF" w14:textId="77777777" w:rsidR="00F86D9B" w:rsidRDefault="004A7A82" w:rsidP="00BD17C2">
            <w:pPr>
              <w:jc w:val="center"/>
              <w:rPr>
                <w:rFonts w:eastAsia="Calibri" w:cs="Arial"/>
                <w:b/>
                <w:color w:val="000000"/>
              </w:rPr>
            </w:pPr>
            <w:r>
              <w:rPr>
                <w:rFonts w:eastAsia="Calibri" w:cs="Arial"/>
                <w:b/>
                <w:color w:val="000000"/>
              </w:rPr>
              <w:t>Gross</w:t>
            </w:r>
          </w:p>
          <w:p w14:paraId="30B154F3" w14:textId="26DF7CA1" w:rsidR="00802B34" w:rsidRPr="00F77F13" w:rsidRDefault="004A7A82" w:rsidP="00BD17C2">
            <w:pPr>
              <w:jc w:val="center"/>
              <w:rPr>
                <w:rFonts w:eastAsia="Calibri" w:cs="Arial"/>
                <w:b/>
                <w:color w:val="000000"/>
              </w:rPr>
            </w:pPr>
            <w:r>
              <w:rPr>
                <w:rFonts w:eastAsia="Calibri" w:cs="Arial"/>
                <w:b/>
                <w:color w:val="000000"/>
              </w:rPr>
              <w:t>(£m)</w:t>
            </w:r>
          </w:p>
        </w:tc>
        <w:tc>
          <w:tcPr>
            <w:tcW w:w="1508" w:type="dxa"/>
            <w:tcBorders>
              <w:top w:val="single" w:sz="8" w:space="0" w:color="auto"/>
              <w:left w:val="single" w:sz="4" w:space="0" w:color="auto"/>
              <w:bottom w:val="single" w:sz="8" w:space="0" w:color="auto"/>
              <w:right w:val="single" w:sz="4" w:space="0" w:color="auto"/>
            </w:tcBorders>
            <w:shd w:val="clear" w:color="auto" w:fill="D9D9D9"/>
          </w:tcPr>
          <w:p w14:paraId="1E14ACFF" w14:textId="77777777" w:rsidR="00F86D9B" w:rsidRDefault="00F86D9B" w:rsidP="00BD17C2">
            <w:pPr>
              <w:jc w:val="center"/>
              <w:rPr>
                <w:rFonts w:eastAsia="Calibri" w:cs="Arial"/>
                <w:b/>
                <w:color w:val="000000"/>
              </w:rPr>
            </w:pPr>
          </w:p>
          <w:p w14:paraId="05B97F91" w14:textId="77777777" w:rsidR="00F86D9B" w:rsidRDefault="004A7A82" w:rsidP="00BD17C2">
            <w:pPr>
              <w:jc w:val="center"/>
              <w:rPr>
                <w:rFonts w:eastAsia="Calibri" w:cs="Arial"/>
                <w:b/>
                <w:color w:val="000000"/>
              </w:rPr>
            </w:pPr>
            <w:r>
              <w:rPr>
                <w:rFonts w:eastAsia="Calibri" w:cs="Arial"/>
                <w:b/>
                <w:color w:val="000000"/>
              </w:rPr>
              <w:t>Income</w:t>
            </w:r>
          </w:p>
          <w:p w14:paraId="1A3D6764" w14:textId="4CDDFA60" w:rsidR="00802B34" w:rsidRPr="00D850A7" w:rsidRDefault="004A7A82" w:rsidP="00BD17C2">
            <w:pPr>
              <w:jc w:val="center"/>
              <w:rPr>
                <w:rFonts w:eastAsia="Calibri" w:cs="Arial"/>
                <w:b/>
                <w:color w:val="000000"/>
              </w:rPr>
            </w:pPr>
            <w:r>
              <w:rPr>
                <w:rFonts w:eastAsia="Calibri" w:cs="Arial"/>
                <w:b/>
                <w:color w:val="000000"/>
              </w:rPr>
              <w:t>(£m)</w:t>
            </w:r>
          </w:p>
        </w:tc>
        <w:tc>
          <w:tcPr>
            <w:tcW w:w="1508" w:type="dxa"/>
            <w:tcBorders>
              <w:top w:val="single" w:sz="8" w:space="0" w:color="auto"/>
              <w:left w:val="single" w:sz="4" w:space="0" w:color="auto"/>
              <w:bottom w:val="single" w:sz="8" w:space="0" w:color="auto"/>
              <w:right w:val="single" w:sz="8" w:space="0" w:color="auto"/>
            </w:tcBorders>
            <w:shd w:val="clear" w:color="auto" w:fill="D9D9D9"/>
            <w:noWrap/>
            <w:vAlign w:val="center"/>
            <w:hideMark/>
          </w:tcPr>
          <w:p w14:paraId="40B41602" w14:textId="77777777" w:rsidR="00F86D9B" w:rsidRPr="00D850A7" w:rsidRDefault="00F86D9B" w:rsidP="00BD17C2">
            <w:pPr>
              <w:jc w:val="center"/>
              <w:rPr>
                <w:rFonts w:eastAsia="Calibri" w:cs="Arial"/>
                <w:b/>
                <w:color w:val="000000"/>
              </w:rPr>
            </w:pPr>
          </w:p>
          <w:p w14:paraId="57BD2AC9" w14:textId="77777777" w:rsidR="00F86D9B" w:rsidRPr="00D850A7" w:rsidRDefault="004A7A82" w:rsidP="00BD17C2">
            <w:pPr>
              <w:jc w:val="center"/>
              <w:rPr>
                <w:rFonts w:eastAsia="Calibri" w:cs="Arial"/>
                <w:b/>
                <w:color w:val="000000"/>
              </w:rPr>
            </w:pPr>
            <w:r w:rsidRPr="00D850A7">
              <w:rPr>
                <w:rFonts w:eastAsia="Calibri" w:cs="Arial"/>
                <w:b/>
                <w:color w:val="000000"/>
              </w:rPr>
              <w:t>Net Budget</w:t>
            </w:r>
          </w:p>
          <w:p w14:paraId="0F1F359E" w14:textId="77777777" w:rsidR="00F86D9B" w:rsidRPr="00D850A7" w:rsidRDefault="004A7A82" w:rsidP="00BD17C2">
            <w:pPr>
              <w:jc w:val="center"/>
              <w:rPr>
                <w:rFonts w:eastAsia="Calibri" w:cs="Arial"/>
                <w:b/>
                <w:color w:val="000000"/>
              </w:rPr>
            </w:pPr>
            <w:r w:rsidRPr="00D850A7">
              <w:rPr>
                <w:rFonts w:eastAsia="Calibri" w:cs="Arial"/>
                <w:b/>
                <w:color w:val="000000"/>
              </w:rPr>
              <w:t xml:space="preserve"> (£m)</w:t>
            </w:r>
          </w:p>
          <w:p w14:paraId="3B58A4A6" w14:textId="77777777" w:rsidR="00F86D9B" w:rsidRPr="00D850A7" w:rsidRDefault="00F86D9B" w:rsidP="00BD17C2">
            <w:pPr>
              <w:jc w:val="center"/>
              <w:rPr>
                <w:rFonts w:eastAsia="Calibri" w:cs="Arial"/>
                <w:b/>
                <w:color w:val="000000"/>
              </w:rPr>
            </w:pPr>
          </w:p>
          <w:p w14:paraId="52B13B43" w14:textId="77777777" w:rsidR="00F86D9B" w:rsidRPr="00D850A7" w:rsidRDefault="00F86D9B" w:rsidP="00BD17C2">
            <w:pPr>
              <w:jc w:val="center"/>
              <w:rPr>
                <w:rFonts w:cs="Arial"/>
                <w:b/>
                <w:color w:val="000000"/>
              </w:rPr>
            </w:pPr>
          </w:p>
        </w:tc>
      </w:tr>
      <w:tr w:rsidR="00C92CD8" w14:paraId="3EB9E324" w14:textId="77777777">
        <w:trPr>
          <w:trHeight w:val="403"/>
        </w:trPr>
        <w:tc>
          <w:tcPr>
            <w:tcW w:w="5074" w:type="dxa"/>
            <w:tcBorders>
              <w:top w:val="nil"/>
              <w:left w:val="single" w:sz="8" w:space="0" w:color="auto"/>
              <w:bottom w:val="single" w:sz="8" w:space="0" w:color="auto"/>
              <w:right w:val="single" w:sz="8" w:space="0" w:color="auto"/>
            </w:tcBorders>
            <w:shd w:val="clear" w:color="auto" w:fill="auto"/>
            <w:noWrap/>
            <w:vAlign w:val="center"/>
            <w:hideMark/>
          </w:tcPr>
          <w:p w14:paraId="2306FC7B" w14:textId="77777777" w:rsidR="00845ECB" w:rsidRPr="00277388" w:rsidRDefault="004A7A82" w:rsidP="00845ECB">
            <w:pPr>
              <w:rPr>
                <w:rFonts w:cs="Arial"/>
                <w:color w:val="000000"/>
              </w:rPr>
            </w:pPr>
            <w:r w:rsidRPr="00277388">
              <w:rPr>
                <w:rFonts w:cs="Arial"/>
                <w:color w:val="000000"/>
              </w:rPr>
              <w:t>Adult Services</w:t>
            </w:r>
          </w:p>
        </w:tc>
        <w:tc>
          <w:tcPr>
            <w:tcW w:w="1507" w:type="dxa"/>
            <w:tcBorders>
              <w:top w:val="nil"/>
              <w:left w:val="nil"/>
              <w:bottom w:val="single" w:sz="8" w:space="0" w:color="auto"/>
              <w:right w:val="single" w:sz="8" w:space="0" w:color="auto"/>
            </w:tcBorders>
            <w:shd w:val="clear" w:color="auto" w:fill="auto"/>
            <w:vAlign w:val="center"/>
          </w:tcPr>
          <w:p w14:paraId="5E10B74D" w14:textId="6E7F1F0A" w:rsidR="00845ECB" w:rsidRPr="00277388" w:rsidRDefault="004A7A82" w:rsidP="00845ECB">
            <w:pPr>
              <w:jc w:val="right"/>
              <w:rPr>
                <w:rFonts w:cs="Arial"/>
                <w:color w:val="000000"/>
              </w:rPr>
            </w:pPr>
            <w:r>
              <w:rPr>
                <w:rFonts w:cs="Arial"/>
                <w:color w:val="000000"/>
              </w:rPr>
              <w:t>827.997</w:t>
            </w:r>
          </w:p>
        </w:tc>
        <w:tc>
          <w:tcPr>
            <w:tcW w:w="1508" w:type="dxa"/>
            <w:tcBorders>
              <w:top w:val="nil"/>
              <w:left w:val="nil"/>
              <w:bottom w:val="single" w:sz="8" w:space="0" w:color="auto"/>
              <w:right w:val="single" w:sz="8" w:space="0" w:color="auto"/>
            </w:tcBorders>
            <w:shd w:val="clear" w:color="auto" w:fill="auto"/>
            <w:vAlign w:val="center"/>
          </w:tcPr>
          <w:p w14:paraId="4254DCCA" w14:textId="524565C4" w:rsidR="00845ECB" w:rsidRPr="00277388" w:rsidRDefault="004A7A82" w:rsidP="00845ECB">
            <w:pPr>
              <w:jc w:val="right"/>
              <w:rPr>
                <w:rFonts w:cs="Arial"/>
                <w:color w:val="000000"/>
              </w:rPr>
            </w:pPr>
            <w:r>
              <w:rPr>
                <w:rFonts w:cs="Arial"/>
                <w:color w:val="000000"/>
              </w:rPr>
              <w:t>-356.773</w:t>
            </w:r>
          </w:p>
        </w:tc>
        <w:tc>
          <w:tcPr>
            <w:tcW w:w="1508" w:type="dxa"/>
            <w:tcBorders>
              <w:top w:val="nil"/>
              <w:left w:val="nil"/>
              <w:bottom w:val="single" w:sz="8" w:space="0" w:color="auto"/>
              <w:right w:val="single" w:sz="8" w:space="0" w:color="auto"/>
            </w:tcBorders>
            <w:shd w:val="clear" w:color="auto" w:fill="auto"/>
            <w:noWrap/>
            <w:vAlign w:val="center"/>
          </w:tcPr>
          <w:p w14:paraId="4CA706BA" w14:textId="6D2A96B1" w:rsidR="00845ECB" w:rsidRPr="00277388" w:rsidRDefault="004A7A82" w:rsidP="00845ECB">
            <w:pPr>
              <w:jc w:val="right"/>
              <w:rPr>
                <w:rFonts w:cs="Arial"/>
                <w:color w:val="000000"/>
              </w:rPr>
            </w:pPr>
            <w:r>
              <w:rPr>
                <w:rFonts w:cs="Arial"/>
                <w:color w:val="000000"/>
              </w:rPr>
              <w:t>471.225</w:t>
            </w:r>
          </w:p>
        </w:tc>
      </w:tr>
      <w:tr w:rsidR="00C92CD8" w14:paraId="4904476A" w14:textId="77777777">
        <w:trPr>
          <w:trHeight w:val="403"/>
        </w:trPr>
        <w:tc>
          <w:tcPr>
            <w:tcW w:w="5074" w:type="dxa"/>
            <w:tcBorders>
              <w:top w:val="nil"/>
              <w:left w:val="single" w:sz="8" w:space="0" w:color="auto"/>
              <w:bottom w:val="single" w:sz="8" w:space="0" w:color="auto"/>
              <w:right w:val="single" w:sz="8" w:space="0" w:color="auto"/>
            </w:tcBorders>
            <w:shd w:val="clear" w:color="auto" w:fill="auto"/>
            <w:noWrap/>
            <w:vAlign w:val="center"/>
            <w:hideMark/>
          </w:tcPr>
          <w:p w14:paraId="7C4BA02F" w14:textId="68D3770B" w:rsidR="00845ECB" w:rsidRPr="00277388" w:rsidRDefault="004A7A82" w:rsidP="00845ECB">
            <w:pPr>
              <w:rPr>
                <w:rFonts w:cs="Arial"/>
                <w:color w:val="000000"/>
              </w:rPr>
            </w:pPr>
            <w:r>
              <w:rPr>
                <w:rFonts w:cs="Arial"/>
                <w:color w:val="000000"/>
              </w:rPr>
              <w:t>Education and Children's Services</w:t>
            </w:r>
          </w:p>
        </w:tc>
        <w:tc>
          <w:tcPr>
            <w:tcW w:w="1507" w:type="dxa"/>
            <w:tcBorders>
              <w:top w:val="nil"/>
              <w:left w:val="nil"/>
              <w:bottom w:val="single" w:sz="8" w:space="0" w:color="auto"/>
              <w:right w:val="single" w:sz="8" w:space="0" w:color="auto"/>
            </w:tcBorders>
            <w:shd w:val="clear" w:color="auto" w:fill="auto"/>
            <w:vAlign w:val="center"/>
          </w:tcPr>
          <w:p w14:paraId="7C4D2F8B" w14:textId="64C79A7A" w:rsidR="00845ECB" w:rsidRPr="00277388" w:rsidRDefault="004A7A82" w:rsidP="00845ECB">
            <w:pPr>
              <w:jc w:val="right"/>
              <w:rPr>
                <w:rFonts w:cs="Arial"/>
                <w:color w:val="000000"/>
              </w:rPr>
            </w:pPr>
            <w:r>
              <w:rPr>
                <w:rFonts w:cs="Arial"/>
                <w:color w:val="000000"/>
              </w:rPr>
              <w:t>326.617</w:t>
            </w:r>
          </w:p>
        </w:tc>
        <w:tc>
          <w:tcPr>
            <w:tcW w:w="1508" w:type="dxa"/>
            <w:tcBorders>
              <w:top w:val="nil"/>
              <w:left w:val="nil"/>
              <w:bottom w:val="single" w:sz="8" w:space="0" w:color="auto"/>
              <w:right w:val="single" w:sz="8" w:space="0" w:color="auto"/>
            </w:tcBorders>
            <w:shd w:val="clear" w:color="auto" w:fill="auto"/>
            <w:vAlign w:val="center"/>
          </w:tcPr>
          <w:p w14:paraId="3825ED18" w14:textId="7AD7B808" w:rsidR="00845ECB" w:rsidRPr="00277388" w:rsidRDefault="004A7A82" w:rsidP="00845ECB">
            <w:pPr>
              <w:jc w:val="right"/>
              <w:rPr>
                <w:rFonts w:cs="Arial"/>
                <w:color w:val="000000"/>
              </w:rPr>
            </w:pPr>
            <w:r>
              <w:rPr>
                <w:rFonts w:cs="Arial"/>
                <w:color w:val="000000"/>
              </w:rPr>
              <w:t>-60.448</w:t>
            </w:r>
          </w:p>
        </w:tc>
        <w:tc>
          <w:tcPr>
            <w:tcW w:w="1508" w:type="dxa"/>
            <w:tcBorders>
              <w:top w:val="nil"/>
              <w:left w:val="nil"/>
              <w:bottom w:val="single" w:sz="8" w:space="0" w:color="auto"/>
              <w:right w:val="single" w:sz="8" w:space="0" w:color="auto"/>
            </w:tcBorders>
            <w:shd w:val="clear" w:color="auto" w:fill="auto"/>
            <w:noWrap/>
            <w:vAlign w:val="center"/>
          </w:tcPr>
          <w:p w14:paraId="22058677" w14:textId="0AC64E8B" w:rsidR="00845ECB" w:rsidRPr="00277388" w:rsidRDefault="004A7A82" w:rsidP="00845ECB">
            <w:pPr>
              <w:jc w:val="right"/>
              <w:rPr>
                <w:rFonts w:cs="Arial"/>
                <w:color w:val="000000"/>
              </w:rPr>
            </w:pPr>
            <w:r>
              <w:rPr>
                <w:rFonts w:cs="Arial"/>
                <w:color w:val="000000"/>
              </w:rPr>
              <w:t>266.168</w:t>
            </w:r>
          </w:p>
        </w:tc>
      </w:tr>
      <w:tr w:rsidR="00C92CD8" w14:paraId="4389CEB5" w14:textId="77777777">
        <w:trPr>
          <w:trHeight w:val="403"/>
        </w:trPr>
        <w:tc>
          <w:tcPr>
            <w:tcW w:w="5074" w:type="dxa"/>
            <w:tcBorders>
              <w:top w:val="nil"/>
              <w:left w:val="single" w:sz="8" w:space="0" w:color="auto"/>
              <w:bottom w:val="single" w:sz="8" w:space="0" w:color="auto"/>
              <w:right w:val="single" w:sz="8" w:space="0" w:color="auto"/>
            </w:tcBorders>
            <w:shd w:val="clear" w:color="auto" w:fill="auto"/>
            <w:noWrap/>
            <w:vAlign w:val="center"/>
            <w:hideMark/>
          </w:tcPr>
          <w:p w14:paraId="44349296" w14:textId="1430AD94" w:rsidR="00845ECB" w:rsidRPr="00277388" w:rsidRDefault="004A7A82" w:rsidP="00845ECB">
            <w:pPr>
              <w:rPr>
                <w:rFonts w:cs="Arial"/>
                <w:color w:val="000000"/>
              </w:rPr>
            </w:pPr>
            <w:r>
              <w:rPr>
                <w:rFonts w:cs="Arial"/>
                <w:color w:val="000000"/>
              </w:rPr>
              <w:t>Growth, Environment, Transport and Health</w:t>
            </w:r>
          </w:p>
        </w:tc>
        <w:tc>
          <w:tcPr>
            <w:tcW w:w="1507" w:type="dxa"/>
            <w:tcBorders>
              <w:top w:val="nil"/>
              <w:left w:val="nil"/>
              <w:bottom w:val="single" w:sz="8" w:space="0" w:color="auto"/>
              <w:right w:val="single" w:sz="8" w:space="0" w:color="auto"/>
            </w:tcBorders>
            <w:shd w:val="clear" w:color="auto" w:fill="auto"/>
            <w:vAlign w:val="center"/>
          </w:tcPr>
          <w:p w14:paraId="2FE85F9B" w14:textId="1E2C755B" w:rsidR="00845ECB" w:rsidRPr="00277388" w:rsidRDefault="004A7A82" w:rsidP="00845ECB">
            <w:pPr>
              <w:jc w:val="right"/>
              <w:rPr>
                <w:rFonts w:cs="Arial"/>
                <w:color w:val="000000"/>
              </w:rPr>
            </w:pPr>
            <w:r>
              <w:rPr>
                <w:rFonts w:cs="Arial"/>
                <w:color w:val="000000"/>
              </w:rPr>
              <w:t>40</w:t>
            </w:r>
            <w:r w:rsidR="00257F59">
              <w:rPr>
                <w:rFonts w:cs="Arial"/>
                <w:color w:val="000000"/>
              </w:rPr>
              <w:t>5</w:t>
            </w:r>
            <w:r>
              <w:rPr>
                <w:rFonts w:cs="Arial"/>
                <w:color w:val="000000"/>
              </w:rPr>
              <w:t>.</w:t>
            </w:r>
            <w:r w:rsidR="00257F59">
              <w:rPr>
                <w:rFonts w:cs="Arial"/>
                <w:color w:val="000000"/>
              </w:rPr>
              <w:t>319</w:t>
            </w:r>
          </w:p>
        </w:tc>
        <w:tc>
          <w:tcPr>
            <w:tcW w:w="1508" w:type="dxa"/>
            <w:tcBorders>
              <w:top w:val="nil"/>
              <w:left w:val="nil"/>
              <w:bottom w:val="single" w:sz="8" w:space="0" w:color="auto"/>
              <w:right w:val="single" w:sz="8" w:space="0" w:color="auto"/>
            </w:tcBorders>
            <w:shd w:val="clear" w:color="auto" w:fill="auto"/>
            <w:vAlign w:val="center"/>
          </w:tcPr>
          <w:p w14:paraId="00A8925B" w14:textId="735CB61B" w:rsidR="00845ECB" w:rsidRPr="00277388" w:rsidRDefault="004A7A82" w:rsidP="00845ECB">
            <w:pPr>
              <w:jc w:val="right"/>
              <w:rPr>
                <w:rFonts w:cs="Arial"/>
                <w:color w:val="000000"/>
              </w:rPr>
            </w:pPr>
            <w:r>
              <w:rPr>
                <w:rFonts w:cs="Arial"/>
                <w:color w:val="000000"/>
              </w:rPr>
              <w:t>-220.593</w:t>
            </w:r>
          </w:p>
        </w:tc>
        <w:tc>
          <w:tcPr>
            <w:tcW w:w="1508" w:type="dxa"/>
            <w:tcBorders>
              <w:top w:val="nil"/>
              <w:left w:val="nil"/>
              <w:bottom w:val="single" w:sz="8" w:space="0" w:color="auto"/>
              <w:right w:val="single" w:sz="8" w:space="0" w:color="auto"/>
            </w:tcBorders>
            <w:shd w:val="clear" w:color="auto" w:fill="auto"/>
            <w:noWrap/>
            <w:vAlign w:val="center"/>
          </w:tcPr>
          <w:p w14:paraId="5E0366C0" w14:textId="36E28CF3" w:rsidR="00845ECB" w:rsidRPr="00277388" w:rsidRDefault="004A7A82" w:rsidP="00845ECB">
            <w:pPr>
              <w:jc w:val="right"/>
              <w:rPr>
                <w:rFonts w:cs="Arial"/>
                <w:color w:val="000000"/>
              </w:rPr>
            </w:pPr>
            <w:r>
              <w:rPr>
                <w:rFonts w:cs="Arial"/>
                <w:color w:val="000000"/>
              </w:rPr>
              <w:t>18</w:t>
            </w:r>
            <w:r w:rsidR="000974B4">
              <w:rPr>
                <w:rFonts w:cs="Arial"/>
                <w:color w:val="000000"/>
              </w:rPr>
              <w:t>4.726</w:t>
            </w:r>
          </w:p>
        </w:tc>
      </w:tr>
      <w:tr w:rsidR="00C92CD8" w14:paraId="499ECA0D" w14:textId="77777777">
        <w:trPr>
          <w:trHeight w:val="403"/>
        </w:trPr>
        <w:tc>
          <w:tcPr>
            <w:tcW w:w="5074" w:type="dxa"/>
            <w:tcBorders>
              <w:top w:val="nil"/>
              <w:left w:val="single" w:sz="8" w:space="0" w:color="auto"/>
              <w:bottom w:val="single" w:sz="8" w:space="0" w:color="auto"/>
              <w:right w:val="single" w:sz="8" w:space="0" w:color="auto"/>
            </w:tcBorders>
            <w:shd w:val="clear" w:color="auto" w:fill="auto"/>
            <w:noWrap/>
            <w:vAlign w:val="center"/>
            <w:hideMark/>
          </w:tcPr>
          <w:p w14:paraId="18CBDDD5" w14:textId="2256AFF9" w:rsidR="00845ECB" w:rsidRPr="00277388" w:rsidRDefault="004A7A82" w:rsidP="00845ECB">
            <w:pPr>
              <w:rPr>
                <w:rFonts w:cs="Arial"/>
                <w:color w:val="000000"/>
              </w:rPr>
            </w:pPr>
            <w:r>
              <w:rPr>
                <w:rFonts w:cs="Arial"/>
                <w:color w:val="000000"/>
              </w:rPr>
              <w:t xml:space="preserve">Resources and Chief Executive Services </w:t>
            </w:r>
          </w:p>
        </w:tc>
        <w:tc>
          <w:tcPr>
            <w:tcW w:w="1507" w:type="dxa"/>
            <w:tcBorders>
              <w:top w:val="nil"/>
              <w:left w:val="nil"/>
              <w:bottom w:val="single" w:sz="8" w:space="0" w:color="auto"/>
              <w:right w:val="single" w:sz="8" w:space="0" w:color="auto"/>
            </w:tcBorders>
            <w:shd w:val="clear" w:color="auto" w:fill="auto"/>
            <w:vAlign w:val="center"/>
          </w:tcPr>
          <w:p w14:paraId="6009F351" w14:textId="29719BB8" w:rsidR="00845ECB" w:rsidRPr="00277388" w:rsidRDefault="004A7A82" w:rsidP="00845ECB">
            <w:pPr>
              <w:jc w:val="right"/>
              <w:rPr>
                <w:rFonts w:cs="Arial"/>
                <w:color w:val="000000"/>
              </w:rPr>
            </w:pPr>
            <w:r>
              <w:rPr>
                <w:rFonts w:cs="Arial"/>
                <w:color w:val="000000"/>
              </w:rPr>
              <w:t>287.184</w:t>
            </w:r>
          </w:p>
        </w:tc>
        <w:tc>
          <w:tcPr>
            <w:tcW w:w="1508" w:type="dxa"/>
            <w:tcBorders>
              <w:top w:val="nil"/>
              <w:left w:val="nil"/>
              <w:bottom w:val="single" w:sz="8" w:space="0" w:color="auto"/>
              <w:right w:val="single" w:sz="8" w:space="0" w:color="auto"/>
            </w:tcBorders>
            <w:shd w:val="clear" w:color="auto" w:fill="auto"/>
            <w:vAlign w:val="center"/>
          </w:tcPr>
          <w:p w14:paraId="78C85A71" w14:textId="0286938B" w:rsidR="00845ECB" w:rsidRPr="00277388" w:rsidRDefault="004A7A82" w:rsidP="00845ECB">
            <w:pPr>
              <w:jc w:val="right"/>
              <w:rPr>
                <w:rFonts w:cs="Arial"/>
                <w:color w:val="000000"/>
              </w:rPr>
            </w:pPr>
            <w:r>
              <w:rPr>
                <w:rFonts w:cs="Arial"/>
                <w:color w:val="000000"/>
              </w:rPr>
              <w:t>-143.029</w:t>
            </w:r>
          </w:p>
        </w:tc>
        <w:tc>
          <w:tcPr>
            <w:tcW w:w="1508" w:type="dxa"/>
            <w:tcBorders>
              <w:top w:val="nil"/>
              <w:left w:val="nil"/>
              <w:bottom w:val="single" w:sz="8" w:space="0" w:color="auto"/>
              <w:right w:val="single" w:sz="8" w:space="0" w:color="auto"/>
            </w:tcBorders>
            <w:shd w:val="clear" w:color="auto" w:fill="auto"/>
            <w:noWrap/>
            <w:vAlign w:val="center"/>
          </w:tcPr>
          <w:p w14:paraId="39429018" w14:textId="712AD431" w:rsidR="00845ECB" w:rsidRPr="00277388" w:rsidRDefault="004A7A82" w:rsidP="00845ECB">
            <w:pPr>
              <w:jc w:val="right"/>
              <w:rPr>
                <w:rFonts w:cs="Arial"/>
                <w:color w:val="000000"/>
              </w:rPr>
            </w:pPr>
            <w:r>
              <w:rPr>
                <w:rFonts w:cs="Arial"/>
                <w:color w:val="000000"/>
              </w:rPr>
              <w:t>144.154</w:t>
            </w:r>
          </w:p>
        </w:tc>
      </w:tr>
      <w:tr w:rsidR="00C92CD8" w14:paraId="192B3C01" w14:textId="77777777" w:rsidTr="00D43385">
        <w:trPr>
          <w:trHeight w:val="403"/>
        </w:trPr>
        <w:tc>
          <w:tcPr>
            <w:tcW w:w="5074" w:type="dxa"/>
            <w:tcBorders>
              <w:top w:val="nil"/>
              <w:left w:val="single" w:sz="8" w:space="0" w:color="auto"/>
              <w:bottom w:val="single" w:sz="8" w:space="0" w:color="auto"/>
              <w:right w:val="single" w:sz="8" w:space="0" w:color="auto"/>
            </w:tcBorders>
            <w:shd w:val="clear" w:color="000000" w:fill="BFBFBF"/>
            <w:noWrap/>
            <w:vAlign w:val="center"/>
            <w:hideMark/>
          </w:tcPr>
          <w:p w14:paraId="642F41BC" w14:textId="77777777" w:rsidR="00D43385" w:rsidRPr="00EB5FA4" w:rsidRDefault="004A7A82" w:rsidP="00D43385">
            <w:pPr>
              <w:rPr>
                <w:rFonts w:cs="Arial"/>
                <w:b/>
                <w:bCs/>
                <w:color w:val="000000"/>
              </w:rPr>
            </w:pPr>
            <w:r w:rsidRPr="00EB5FA4">
              <w:rPr>
                <w:rFonts w:cs="Arial"/>
                <w:b/>
                <w:bCs/>
                <w:color w:val="000000"/>
              </w:rPr>
              <w:t>Sub-Total</w:t>
            </w:r>
          </w:p>
        </w:tc>
        <w:tc>
          <w:tcPr>
            <w:tcW w:w="1507" w:type="dxa"/>
            <w:tcBorders>
              <w:top w:val="nil"/>
              <w:left w:val="nil"/>
              <w:bottom w:val="single" w:sz="8" w:space="0" w:color="auto"/>
              <w:right w:val="single" w:sz="4" w:space="0" w:color="auto"/>
            </w:tcBorders>
            <w:shd w:val="clear" w:color="000000" w:fill="BFBFBF"/>
            <w:vAlign w:val="center"/>
          </w:tcPr>
          <w:p w14:paraId="03F9A65D" w14:textId="4B7A3106" w:rsidR="00D43385" w:rsidRPr="00277388" w:rsidRDefault="004A7A82" w:rsidP="00D43385">
            <w:pPr>
              <w:jc w:val="right"/>
              <w:rPr>
                <w:rFonts w:cs="Arial"/>
                <w:color w:val="000000"/>
              </w:rPr>
            </w:pPr>
            <w:r>
              <w:rPr>
                <w:rFonts w:cs="Arial"/>
                <w:b/>
                <w:bCs/>
                <w:color w:val="000000"/>
              </w:rPr>
              <w:t>1,84</w:t>
            </w:r>
            <w:r w:rsidR="00226DF6">
              <w:rPr>
                <w:rFonts w:cs="Arial"/>
                <w:b/>
                <w:bCs/>
                <w:color w:val="000000"/>
              </w:rPr>
              <w:t>7.117</w:t>
            </w:r>
          </w:p>
        </w:tc>
        <w:tc>
          <w:tcPr>
            <w:tcW w:w="1508" w:type="dxa"/>
            <w:tcBorders>
              <w:top w:val="nil"/>
              <w:left w:val="single" w:sz="4" w:space="0" w:color="auto"/>
              <w:bottom w:val="single" w:sz="8" w:space="0" w:color="auto"/>
              <w:right w:val="single" w:sz="4" w:space="0" w:color="auto"/>
            </w:tcBorders>
            <w:shd w:val="clear" w:color="000000" w:fill="BFBFBF"/>
            <w:vAlign w:val="center"/>
          </w:tcPr>
          <w:p w14:paraId="1B6FE1D4" w14:textId="79F8F472" w:rsidR="00D43385" w:rsidRPr="00277388" w:rsidRDefault="004A7A82" w:rsidP="00D43385">
            <w:pPr>
              <w:jc w:val="right"/>
              <w:rPr>
                <w:rFonts w:cs="Arial"/>
                <w:color w:val="000000"/>
              </w:rPr>
            </w:pPr>
            <w:r>
              <w:rPr>
                <w:rFonts w:cs="Arial"/>
                <w:b/>
                <w:bCs/>
                <w:color w:val="000000"/>
              </w:rPr>
              <w:t>-780.844</w:t>
            </w:r>
          </w:p>
        </w:tc>
        <w:tc>
          <w:tcPr>
            <w:tcW w:w="1508" w:type="dxa"/>
            <w:tcBorders>
              <w:top w:val="nil"/>
              <w:left w:val="single" w:sz="4" w:space="0" w:color="auto"/>
              <w:bottom w:val="single" w:sz="8" w:space="0" w:color="auto"/>
              <w:right w:val="single" w:sz="4" w:space="0" w:color="auto"/>
            </w:tcBorders>
            <w:shd w:val="clear" w:color="000000" w:fill="BFBFBF"/>
            <w:noWrap/>
            <w:vAlign w:val="center"/>
          </w:tcPr>
          <w:p w14:paraId="2E3743A7" w14:textId="6EADAFD4" w:rsidR="00D43385" w:rsidRPr="00277388" w:rsidRDefault="004A7A82" w:rsidP="00D43385">
            <w:pPr>
              <w:jc w:val="right"/>
              <w:rPr>
                <w:rFonts w:cs="Arial"/>
                <w:color w:val="000000"/>
              </w:rPr>
            </w:pPr>
            <w:r>
              <w:rPr>
                <w:rFonts w:cs="Arial"/>
                <w:b/>
                <w:bCs/>
                <w:color w:val="000000"/>
              </w:rPr>
              <w:t>1,06</w:t>
            </w:r>
            <w:r w:rsidR="001A7E47">
              <w:rPr>
                <w:rFonts w:cs="Arial"/>
                <w:b/>
                <w:bCs/>
                <w:color w:val="000000"/>
              </w:rPr>
              <w:t>6</w:t>
            </w:r>
            <w:r>
              <w:rPr>
                <w:rFonts w:cs="Arial"/>
                <w:b/>
                <w:bCs/>
                <w:color w:val="000000"/>
              </w:rPr>
              <w:t>.2</w:t>
            </w:r>
            <w:r w:rsidR="001A7E47">
              <w:rPr>
                <w:rFonts w:cs="Arial"/>
                <w:b/>
                <w:bCs/>
                <w:color w:val="000000"/>
              </w:rPr>
              <w:t>73</w:t>
            </w:r>
          </w:p>
        </w:tc>
      </w:tr>
      <w:tr w:rsidR="00C92CD8" w14:paraId="1B757EBF" w14:textId="77777777" w:rsidTr="00D43385">
        <w:trPr>
          <w:trHeight w:val="403"/>
        </w:trPr>
        <w:tc>
          <w:tcPr>
            <w:tcW w:w="5074" w:type="dxa"/>
            <w:tcBorders>
              <w:top w:val="nil"/>
              <w:left w:val="single" w:sz="8" w:space="0" w:color="auto"/>
              <w:bottom w:val="single" w:sz="8" w:space="0" w:color="auto"/>
              <w:right w:val="single" w:sz="8" w:space="0" w:color="auto"/>
            </w:tcBorders>
            <w:shd w:val="clear" w:color="auto" w:fill="auto"/>
            <w:noWrap/>
            <w:vAlign w:val="center"/>
            <w:hideMark/>
          </w:tcPr>
          <w:p w14:paraId="2AA9C024" w14:textId="77777777" w:rsidR="00D43385" w:rsidRPr="00277388" w:rsidRDefault="004A7A82" w:rsidP="00D43385">
            <w:pPr>
              <w:rPr>
                <w:rFonts w:cs="Arial"/>
                <w:color w:val="000000"/>
              </w:rPr>
            </w:pPr>
            <w:r w:rsidRPr="00277388">
              <w:rPr>
                <w:rFonts w:cs="Arial"/>
                <w:color w:val="000000"/>
              </w:rPr>
              <w:t>Financing Charges</w:t>
            </w:r>
          </w:p>
        </w:tc>
        <w:tc>
          <w:tcPr>
            <w:tcW w:w="1507" w:type="dxa"/>
            <w:tcBorders>
              <w:top w:val="nil"/>
              <w:left w:val="nil"/>
              <w:bottom w:val="single" w:sz="8" w:space="0" w:color="auto"/>
              <w:right w:val="single" w:sz="4" w:space="0" w:color="auto"/>
            </w:tcBorders>
            <w:shd w:val="clear" w:color="auto" w:fill="auto"/>
            <w:vAlign w:val="center"/>
          </w:tcPr>
          <w:p w14:paraId="4D3CED62" w14:textId="09B1A9CE" w:rsidR="00D43385" w:rsidRPr="00277388" w:rsidRDefault="004A7A82" w:rsidP="00D43385">
            <w:pPr>
              <w:jc w:val="right"/>
              <w:rPr>
                <w:rFonts w:cs="Arial"/>
                <w:color w:val="000000"/>
              </w:rPr>
            </w:pPr>
            <w:r>
              <w:rPr>
                <w:rFonts w:cs="Arial"/>
                <w:color w:val="000000"/>
              </w:rPr>
              <w:t>46.817</w:t>
            </w:r>
          </w:p>
        </w:tc>
        <w:tc>
          <w:tcPr>
            <w:tcW w:w="1508" w:type="dxa"/>
            <w:tcBorders>
              <w:top w:val="nil"/>
              <w:left w:val="single" w:sz="4" w:space="0" w:color="auto"/>
              <w:bottom w:val="single" w:sz="8" w:space="0" w:color="auto"/>
              <w:right w:val="single" w:sz="4" w:space="0" w:color="auto"/>
            </w:tcBorders>
            <w:shd w:val="clear" w:color="auto" w:fill="auto"/>
            <w:vAlign w:val="center"/>
          </w:tcPr>
          <w:p w14:paraId="356BAD4E" w14:textId="7FCBE70C" w:rsidR="00D43385" w:rsidRPr="00277388" w:rsidRDefault="004A7A82" w:rsidP="00D43385">
            <w:pPr>
              <w:jc w:val="right"/>
              <w:rPr>
                <w:rFonts w:cs="Arial"/>
                <w:color w:val="000000"/>
              </w:rPr>
            </w:pPr>
            <w:r>
              <w:rPr>
                <w:rFonts w:cs="Arial"/>
                <w:color w:val="000000"/>
              </w:rPr>
              <w:t>-0.480</w:t>
            </w:r>
          </w:p>
        </w:tc>
        <w:tc>
          <w:tcPr>
            <w:tcW w:w="1508" w:type="dxa"/>
            <w:tcBorders>
              <w:top w:val="nil"/>
              <w:left w:val="single" w:sz="4" w:space="0" w:color="auto"/>
              <w:bottom w:val="single" w:sz="8" w:space="0" w:color="auto"/>
              <w:right w:val="single" w:sz="4" w:space="0" w:color="auto"/>
            </w:tcBorders>
            <w:shd w:val="clear" w:color="auto" w:fill="auto"/>
            <w:noWrap/>
            <w:vAlign w:val="center"/>
          </w:tcPr>
          <w:p w14:paraId="7EE467F8" w14:textId="4C6BC5CC" w:rsidR="00D43385" w:rsidRPr="00277388" w:rsidRDefault="004A7A82" w:rsidP="00D43385">
            <w:pPr>
              <w:jc w:val="right"/>
              <w:rPr>
                <w:rFonts w:cs="Arial"/>
                <w:color w:val="000000"/>
              </w:rPr>
            </w:pPr>
            <w:r>
              <w:rPr>
                <w:rFonts w:cs="Arial"/>
                <w:color w:val="000000"/>
              </w:rPr>
              <w:t>46.337</w:t>
            </w:r>
          </w:p>
        </w:tc>
      </w:tr>
      <w:tr w:rsidR="00C92CD8" w14:paraId="7157BDB0" w14:textId="77777777" w:rsidTr="00D43385">
        <w:trPr>
          <w:trHeight w:val="403"/>
        </w:trPr>
        <w:tc>
          <w:tcPr>
            <w:tcW w:w="5074" w:type="dxa"/>
            <w:tcBorders>
              <w:top w:val="nil"/>
              <w:left w:val="single" w:sz="8" w:space="0" w:color="auto"/>
              <w:bottom w:val="single" w:sz="8" w:space="0" w:color="auto"/>
              <w:right w:val="single" w:sz="8" w:space="0" w:color="auto"/>
            </w:tcBorders>
            <w:shd w:val="clear" w:color="000000" w:fill="BFBFBF"/>
            <w:noWrap/>
            <w:vAlign w:val="center"/>
            <w:hideMark/>
          </w:tcPr>
          <w:p w14:paraId="731AAE0F" w14:textId="10548D29" w:rsidR="00C31EE8" w:rsidRPr="00277388" w:rsidRDefault="004A7A82" w:rsidP="00C31EE8">
            <w:pPr>
              <w:rPr>
                <w:rFonts w:cs="Arial"/>
                <w:b/>
                <w:color w:val="000000"/>
              </w:rPr>
            </w:pPr>
            <w:r w:rsidRPr="00277388">
              <w:rPr>
                <w:rFonts w:cs="Arial"/>
                <w:b/>
                <w:color w:val="000000"/>
              </w:rPr>
              <w:t xml:space="preserve">Revenue Budget </w:t>
            </w:r>
            <w:r w:rsidRPr="00277388">
              <w:rPr>
                <w:rFonts w:cs="Arial"/>
                <w:b/>
                <w:bCs/>
                <w:color w:val="000000"/>
              </w:rPr>
              <w:t>2024/25</w:t>
            </w:r>
            <w:r w:rsidRPr="00277388">
              <w:rPr>
                <w:rFonts w:cs="Arial"/>
                <w:b/>
                <w:color w:val="000000"/>
              </w:rPr>
              <w:t xml:space="preserve"> </w:t>
            </w:r>
            <w:r>
              <w:rPr>
                <w:rFonts w:cs="Arial"/>
                <w:b/>
                <w:color w:val="000000"/>
              </w:rPr>
              <w:t>(Budget Requirement)</w:t>
            </w:r>
          </w:p>
        </w:tc>
        <w:tc>
          <w:tcPr>
            <w:tcW w:w="1507" w:type="dxa"/>
            <w:tcBorders>
              <w:top w:val="nil"/>
              <w:left w:val="nil"/>
              <w:bottom w:val="single" w:sz="8" w:space="0" w:color="auto"/>
              <w:right w:val="single" w:sz="8" w:space="0" w:color="auto"/>
            </w:tcBorders>
            <w:shd w:val="clear" w:color="000000" w:fill="BFBFBF"/>
            <w:vAlign w:val="center"/>
          </w:tcPr>
          <w:p w14:paraId="61945BCD" w14:textId="7F15FA24" w:rsidR="00C31EE8" w:rsidRPr="00277388" w:rsidRDefault="004A7A82" w:rsidP="00C31EE8">
            <w:pPr>
              <w:jc w:val="right"/>
              <w:rPr>
                <w:rFonts w:cs="Arial"/>
                <w:b/>
                <w:bCs/>
                <w:color w:val="000000"/>
              </w:rPr>
            </w:pPr>
            <w:r>
              <w:rPr>
                <w:rFonts w:cs="Arial"/>
                <w:b/>
                <w:bCs/>
                <w:color w:val="000000"/>
              </w:rPr>
              <w:t>1,89</w:t>
            </w:r>
            <w:r w:rsidR="001A7E47">
              <w:rPr>
                <w:rFonts w:cs="Arial"/>
                <w:b/>
                <w:bCs/>
                <w:color w:val="000000"/>
              </w:rPr>
              <w:t>3.934</w:t>
            </w:r>
          </w:p>
        </w:tc>
        <w:tc>
          <w:tcPr>
            <w:tcW w:w="1508" w:type="dxa"/>
            <w:tcBorders>
              <w:top w:val="nil"/>
              <w:left w:val="nil"/>
              <w:bottom w:val="single" w:sz="8" w:space="0" w:color="auto"/>
              <w:right w:val="single" w:sz="8" w:space="0" w:color="auto"/>
            </w:tcBorders>
            <w:shd w:val="clear" w:color="000000" w:fill="BFBFBF"/>
            <w:vAlign w:val="center"/>
          </w:tcPr>
          <w:p w14:paraId="1392A61C" w14:textId="54D16FBD" w:rsidR="00C31EE8" w:rsidRPr="00277388" w:rsidRDefault="004A7A82" w:rsidP="00C31EE8">
            <w:pPr>
              <w:jc w:val="right"/>
              <w:rPr>
                <w:rFonts w:cs="Arial"/>
                <w:b/>
                <w:bCs/>
                <w:color w:val="000000"/>
              </w:rPr>
            </w:pPr>
            <w:r>
              <w:rPr>
                <w:rFonts w:cs="Arial"/>
                <w:b/>
                <w:bCs/>
                <w:color w:val="000000"/>
              </w:rPr>
              <w:t>-781.324</w:t>
            </w:r>
          </w:p>
        </w:tc>
        <w:tc>
          <w:tcPr>
            <w:tcW w:w="1508" w:type="dxa"/>
            <w:tcBorders>
              <w:top w:val="nil"/>
              <w:left w:val="nil"/>
              <w:bottom w:val="single" w:sz="8" w:space="0" w:color="auto"/>
              <w:right w:val="single" w:sz="8" w:space="0" w:color="auto"/>
            </w:tcBorders>
            <w:shd w:val="clear" w:color="000000" w:fill="BFBFBF"/>
            <w:noWrap/>
            <w:vAlign w:val="center"/>
          </w:tcPr>
          <w:p w14:paraId="7BFB4374" w14:textId="35C859F4" w:rsidR="00C31EE8" w:rsidRPr="00277388" w:rsidRDefault="004A7A82" w:rsidP="00C31EE8">
            <w:pPr>
              <w:jc w:val="right"/>
              <w:rPr>
                <w:rFonts w:cs="Arial"/>
                <w:b/>
                <w:color w:val="000000"/>
              </w:rPr>
            </w:pPr>
            <w:r>
              <w:rPr>
                <w:rFonts w:cs="Arial"/>
                <w:b/>
                <w:bCs/>
                <w:color w:val="000000"/>
              </w:rPr>
              <w:t>1,11</w:t>
            </w:r>
            <w:r w:rsidR="0022081B">
              <w:rPr>
                <w:rFonts w:cs="Arial"/>
                <w:b/>
                <w:bCs/>
                <w:color w:val="000000"/>
              </w:rPr>
              <w:t>2.610</w:t>
            </w:r>
          </w:p>
        </w:tc>
      </w:tr>
      <w:tr w:rsidR="00C92CD8" w14:paraId="558AE022" w14:textId="77777777" w:rsidTr="00D43385">
        <w:trPr>
          <w:trHeight w:val="403"/>
        </w:trPr>
        <w:tc>
          <w:tcPr>
            <w:tcW w:w="5074" w:type="dxa"/>
            <w:tcBorders>
              <w:top w:val="nil"/>
              <w:left w:val="single" w:sz="8" w:space="0" w:color="auto"/>
              <w:bottom w:val="single" w:sz="8" w:space="0" w:color="auto"/>
              <w:right w:val="single" w:sz="8" w:space="0" w:color="auto"/>
            </w:tcBorders>
            <w:shd w:val="clear" w:color="auto" w:fill="auto"/>
            <w:noWrap/>
            <w:vAlign w:val="center"/>
            <w:hideMark/>
          </w:tcPr>
          <w:p w14:paraId="058C1D5D" w14:textId="77777777" w:rsidR="00C31EE8" w:rsidRPr="00277388" w:rsidRDefault="004A7A82" w:rsidP="00C31EE8">
            <w:pPr>
              <w:rPr>
                <w:rFonts w:cs="Arial"/>
                <w:color w:val="000000"/>
              </w:rPr>
            </w:pPr>
            <w:r w:rsidRPr="00277388">
              <w:rPr>
                <w:rFonts w:cs="Arial"/>
                <w:color w:val="000000"/>
              </w:rPr>
              <w:t xml:space="preserve">Use of one-off resources (funding from Transitional Reserve) </w:t>
            </w:r>
          </w:p>
        </w:tc>
        <w:tc>
          <w:tcPr>
            <w:tcW w:w="1507" w:type="dxa"/>
            <w:tcBorders>
              <w:top w:val="nil"/>
              <w:left w:val="nil"/>
              <w:bottom w:val="single" w:sz="8" w:space="0" w:color="auto"/>
              <w:right w:val="single" w:sz="4" w:space="0" w:color="auto"/>
            </w:tcBorders>
            <w:shd w:val="clear" w:color="auto" w:fill="auto"/>
            <w:vAlign w:val="center"/>
          </w:tcPr>
          <w:p w14:paraId="6B4F2032" w14:textId="5D90087C" w:rsidR="00C31EE8" w:rsidRPr="00277388" w:rsidRDefault="004A7A82" w:rsidP="00C31EE8">
            <w:pPr>
              <w:jc w:val="right"/>
              <w:rPr>
                <w:rFonts w:cs="Arial"/>
                <w:color w:val="000000"/>
              </w:rPr>
            </w:pPr>
            <w:r>
              <w:rPr>
                <w:rFonts w:cs="Arial"/>
                <w:color w:val="000000"/>
              </w:rPr>
              <w:t>0.000</w:t>
            </w:r>
          </w:p>
        </w:tc>
        <w:tc>
          <w:tcPr>
            <w:tcW w:w="1508" w:type="dxa"/>
            <w:tcBorders>
              <w:top w:val="nil"/>
              <w:left w:val="single" w:sz="4" w:space="0" w:color="auto"/>
              <w:bottom w:val="single" w:sz="8" w:space="0" w:color="auto"/>
              <w:right w:val="single" w:sz="4" w:space="0" w:color="auto"/>
            </w:tcBorders>
            <w:shd w:val="clear" w:color="auto" w:fill="auto"/>
            <w:vAlign w:val="center"/>
          </w:tcPr>
          <w:p w14:paraId="55930CD5" w14:textId="428118A1" w:rsidR="00C31EE8" w:rsidRPr="00277388" w:rsidRDefault="004A7A82" w:rsidP="00C31EE8">
            <w:pPr>
              <w:jc w:val="right"/>
              <w:rPr>
                <w:rFonts w:cs="Arial"/>
                <w:color w:val="000000"/>
              </w:rPr>
            </w:pPr>
            <w:r>
              <w:rPr>
                <w:rFonts w:cs="Arial"/>
                <w:color w:val="000000"/>
              </w:rPr>
              <w:t>-</w:t>
            </w:r>
            <w:r w:rsidR="0022081B">
              <w:rPr>
                <w:rFonts w:cs="Arial"/>
                <w:color w:val="000000"/>
              </w:rPr>
              <w:t>0.856</w:t>
            </w:r>
          </w:p>
        </w:tc>
        <w:tc>
          <w:tcPr>
            <w:tcW w:w="1508" w:type="dxa"/>
            <w:tcBorders>
              <w:top w:val="nil"/>
              <w:left w:val="single" w:sz="4" w:space="0" w:color="auto"/>
              <w:bottom w:val="single" w:sz="8" w:space="0" w:color="auto"/>
              <w:right w:val="single" w:sz="8" w:space="0" w:color="auto"/>
            </w:tcBorders>
            <w:shd w:val="clear" w:color="auto" w:fill="auto"/>
            <w:noWrap/>
            <w:vAlign w:val="center"/>
          </w:tcPr>
          <w:p w14:paraId="05602C29" w14:textId="0A8D5DE4" w:rsidR="00C31EE8" w:rsidRPr="00277388" w:rsidRDefault="004A7A82" w:rsidP="00C31EE8">
            <w:pPr>
              <w:jc w:val="right"/>
              <w:rPr>
                <w:rFonts w:cs="Arial"/>
                <w:color w:val="000000"/>
              </w:rPr>
            </w:pPr>
            <w:r>
              <w:rPr>
                <w:rFonts w:cs="Arial"/>
                <w:color w:val="000000"/>
              </w:rPr>
              <w:t>-0.856</w:t>
            </w:r>
          </w:p>
        </w:tc>
      </w:tr>
      <w:tr w:rsidR="00C92CD8" w14:paraId="61243D35" w14:textId="77777777">
        <w:trPr>
          <w:trHeight w:val="403"/>
        </w:trPr>
        <w:tc>
          <w:tcPr>
            <w:tcW w:w="5074" w:type="dxa"/>
            <w:tcBorders>
              <w:top w:val="nil"/>
              <w:left w:val="single" w:sz="8" w:space="0" w:color="auto"/>
              <w:bottom w:val="single" w:sz="8" w:space="0" w:color="auto"/>
              <w:right w:val="single" w:sz="8" w:space="0" w:color="auto"/>
            </w:tcBorders>
            <w:shd w:val="clear" w:color="000000" w:fill="BFBFBF"/>
            <w:noWrap/>
            <w:vAlign w:val="center"/>
            <w:hideMark/>
          </w:tcPr>
          <w:p w14:paraId="4BC55DE1" w14:textId="5437A4ED" w:rsidR="00C31EE8" w:rsidRPr="00277388" w:rsidRDefault="004A7A82" w:rsidP="00C31EE8">
            <w:pPr>
              <w:rPr>
                <w:rFonts w:cs="Arial"/>
                <w:b/>
                <w:color w:val="000000"/>
              </w:rPr>
            </w:pPr>
            <w:r w:rsidRPr="00277388">
              <w:rPr>
                <w:rFonts w:cs="Arial"/>
                <w:b/>
                <w:color w:val="000000"/>
              </w:rPr>
              <w:t xml:space="preserve">Revenue Budget </w:t>
            </w:r>
            <w:r w:rsidRPr="00277388">
              <w:rPr>
                <w:rFonts w:cs="Arial"/>
                <w:b/>
                <w:bCs/>
                <w:color w:val="000000"/>
              </w:rPr>
              <w:t>2024/25</w:t>
            </w:r>
            <w:r w:rsidRPr="00277388">
              <w:rPr>
                <w:rFonts w:cs="Arial"/>
                <w:b/>
                <w:color w:val="000000"/>
              </w:rPr>
              <w:t xml:space="preserve"> </w:t>
            </w:r>
          </w:p>
        </w:tc>
        <w:tc>
          <w:tcPr>
            <w:tcW w:w="1507" w:type="dxa"/>
            <w:tcBorders>
              <w:top w:val="nil"/>
              <w:left w:val="nil"/>
              <w:bottom w:val="single" w:sz="8" w:space="0" w:color="auto"/>
              <w:right w:val="single" w:sz="8" w:space="0" w:color="auto"/>
            </w:tcBorders>
            <w:shd w:val="clear" w:color="000000" w:fill="BFBFBF"/>
            <w:vAlign w:val="center"/>
          </w:tcPr>
          <w:p w14:paraId="6DAF5F4C" w14:textId="56EB1059" w:rsidR="00C31EE8" w:rsidRPr="00277388" w:rsidRDefault="004A7A82" w:rsidP="00C31EE8">
            <w:pPr>
              <w:jc w:val="right"/>
              <w:rPr>
                <w:rFonts w:cs="Arial"/>
                <w:b/>
                <w:bCs/>
                <w:color w:val="000000"/>
              </w:rPr>
            </w:pPr>
            <w:r>
              <w:rPr>
                <w:rFonts w:cs="Arial"/>
                <w:b/>
                <w:bCs/>
                <w:color w:val="000000"/>
              </w:rPr>
              <w:t>1,89</w:t>
            </w:r>
            <w:r w:rsidR="0022081B">
              <w:rPr>
                <w:rFonts w:cs="Arial"/>
                <w:b/>
                <w:bCs/>
                <w:color w:val="000000"/>
              </w:rPr>
              <w:t>3.934</w:t>
            </w:r>
          </w:p>
        </w:tc>
        <w:tc>
          <w:tcPr>
            <w:tcW w:w="1508" w:type="dxa"/>
            <w:tcBorders>
              <w:top w:val="nil"/>
              <w:left w:val="nil"/>
              <w:bottom w:val="single" w:sz="8" w:space="0" w:color="auto"/>
              <w:right w:val="single" w:sz="8" w:space="0" w:color="auto"/>
            </w:tcBorders>
            <w:shd w:val="clear" w:color="000000" w:fill="BFBFBF"/>
            <w:vAlign w:val="center"/>
          </w:tcPr>
          <w:p w14:paraId="7BE7C949" w14:textId="4B50B043" w:rsidR="00C31EE8" w:rsidRPr="00277388" w:rsidRDefault="004A7A82" w:rsidP="00C31EE8">
            <w:pPr>
              <w:jc w:val="right"/>
              <w:rPr>
                <w:rFonts w:cs="Arial"/>
                <w:b/>
                <w:bCs/>
                <w:color w:val="000000"/>
              </w:rPr>
            </w:pPr>
            <w:r>
              <w:rPr>
                <w:rFonts w:cs="Arial"/>
                <w:b/>
                <w:bCs/>
                <w:color w:val="000000"/>
              </w:rPr>
              <w:t>-78</w:t>
            </w:r>
            <w:r w:rsidR="001736EF">
              <w:rPr>
                <w:rFonts w:cs="Arial"/>
                <w:b/>
                <w:bCs/>
                <w:color w:val="000000"/>
              </w:rPr>
              <w:t>2.180</w:t>
            </w:r>
          </w:p>
        </w:tc>
        <w:tc>
          <w:tcPr>
            <w:tcW w:w="1508" w:type="dxa"/>
            <w:tcBorders>
              <w:top w:val="nil"/>
              <w:left w:val="nil"/>
              <w:bottom w:val="single" w:sz="8" w:space="0" w:color="auto"/>
              <w:right w:val="single" w:sz="8" w:space="0" w:color="auto"/>
            </w:tcBorders>
            <w:shd w:val="clear" w:color="000000" w:fill="BFBFBF"/>
            <w:noWrap/>
            <w:vAlign w:val="center"/>
            <w:hideMark/>
          </w:tcPr>
          <w:p w14:paraId="0621FE44" w14:textId="75366F7C" w:rsidR="00C31EE8" w:rsidRPr="00277388" w:rsidRDefault="004A7A82" w:rsidP="00C31EE8">
            <w:pPr>
              <w:jc w:val="right"/>
              <w:rPr>
                <w:rFonts w:cs="Arial"/>
                <w:b/>
                <w:color w:val="000000"/>
              </w:rPr>
            </w:pPr>
            <w:r>
              <w:rPr>
                <w:rFonts w:cs="Arial"/>
                <w:b/>
                <w:bCs/>
                <w:color w:val="000000"/>
              </w:rPr>
              <w:t>1,11</w:t>
            </w:r>
            <w:r w:rsidR="004025C9">
              <w:rPr>
                <w:rFonts w:cs="Arial"/>
                <w:b/>
                <w:bCs/>
                <w:color w:val="000000"/>
              </w:rPr>
              <w:t>1.754</w:t>
            </w:r>
          </w:p>
        </w:tc>
      </w:tr>
    </w:tbl>
    <w:p w14:paraId="32F0457C" w14:textId="50D4B265" w:rsidR="00FB6D6C" w:rsidRDefault="00FB6D6C" w:rsidP="007958D2">
      <w:pPr>
        <w:jc w:val="both"/>
        <w:rPr>
          <w:rFonts w:cs="Arial"/>
        </w:rPr>
      </w:pPr>
    </w:p>
    <w:p w14:paraId="34B34A5F" w14:textId="478C3839" w:rsidR="00C923CF" w:rsidRDefault="004A7A82" w:rsidP="1296B87A">
      <w:pPr>
        <w:ind w:left="720" w:hanging="720"/>
        <w:jc w:val="both"/>
        <w:rPr>
          <w:rFonts w:cs="Arial"/>
          <w:b/>
          <w:bCs/>
        </w:rPr>
      </w:pPr>
      <w:r w:rsidRPr="1296B87A">
        <w:rPr>
          <w:rFonts w:cs="Arial"/>
        </w:rPr>
        <w:t xml:space="preserve">3.2 </w:t>
      </w:r>
      <w:r>
        <w:tab/>
      </w:r>
      <w:r w:rsidRPr="1296B87A">
        <w:rPr>
          <w:rFonts w:cs="Arial"/>
        </w:rPr>
        <w:t>Annex A shows a more detailed breakdown of this expenditure</w:t>
      </w:r>
      <w:r w:rsidR="00A5394F">
        <w:rPr>
          <w:rFonts w:cs="Arial"/>
        </w:rPr>
        <w:t xml:space="preserve"> and </w:t>
      </w:r>
      <w:r w:rsidR="00405E58">
        <w:rPr>
          <w:rFonts w:cs="Arial"/>
        </w:rPr>
        <w:t xml:space="preserve">income </w:t>
      </w:r>
      <w:r w:rsidR="00405E58" w:rsidRPr="1296B87A">
        <w:rPr>
          <w:rFonts w:cs="Arial"/>
        </w:rPr>
        <w:t>across</w:t>
      </w:r>
      <w:r w:rsidRPr="1296B87A">
        <w:rPr>
          <w:rFonts w:cs="Arial"/>
        </w:rPr>
        <w:t xml:space="preserve"> the </w:t>
      </w:r>
      <w:r w:rsidR="00140841">
        <w:rPr>
          <w:rFonts w:cs="Arial"/>
        </w:rPr>
        <w:t>C</w:t>
      </w:r>
      <w:r w:rsidRPr="1296B87A">
        <w:rPr>
          <w:rFonts w:cs="Arial"/>
        </w:rPr>
        <w:t>ouncil</w:t>
      </w:r>
      <w:r w:rsidR="002A2369">
        <w:rPr>
          <w:rFonts w:cs="Arial"/>
        </w:rPr>
        <w:t>'</w:t>
      </w:r>
      <w:r w:rsidRPr="1296B87A">
        <w:rPr>
          <w:rFonts w:cs="Arial"/>
        </w:rPr>
        <w:t xml:space="preserve">s service budgets. </w:t>
      </w:r>
    </w:p>
    <w:p w14:paraId="5D38F20E" w14:textId="384AEF96" w:rsidR="00C923CF" w:rsidRDefault="00C923CF" w:rsidP="00C923CF">
      <w:pPr>
        <w:ind w:left="720" w:hanging="720"/>
        <w:jc w:val="both"/>
        <w:rPr>
          <w:rFonts w:cs="Arial"/>
        </w:rPr>
      </w:pPr>
    </w:p>
    <w:p w14:paraId="6CAAF13A" w14:textId="2CA83E96" w:rsidR="00C923CF" w:rsidRDefault="004A7A82" w:rsidP="00C923CF">
      <w:pPr>
        <w:ind w:left="720" w:hanging="720"/>
        <w:jc w:val="both"/>
        <w:rPr>
          <w:rFonts w:cs="Arial"/>
        </w:rPr>
      </w:pPr>
      <w:r w:rsidRPr="1296B87A">
        <w:rPr>
          <w:rFonts w:cs="Arial"/>
        </w:rPr>
        <w:t xml:space="preserve">3.3 </w:t>
      </w:r>
      <w:r>
        <w:tab/>
      </w:r>
      <w:r w:rsidRPr="1296B87A">
        <w:rPr>
          <w:rFonts w:cs="Arial"/>
        </w:rPr>
        <w:t xml:space="preserve">The production of all budgets requires </w:t>
      </w:r>
      <w:proofErr w:type="gramStart"/>
      <w:r w:rsidRPr="1296B87A">
        <w:rPr>
          <w:rFonts w:cs="Arial"/>
        </w:rPr>
        <w:t>a number of</w:t>
      </w:r>
      <w:proofErr w:type="gramEnd"/>
      <w:r w:rsidRPr="1296B87A">
        <w:rPr>
          <w:rFonts w:cs="Arial"/>
        </w:rPr>
        <w:t xml:space="preserve"> assumptions to be made. The assumptions made to support this budget and the future years medium-term financial strategy forecasts have been produced working with services and obtaining professional advice from external bodies. Those assumptions are shown in more detail in Annex B.</w:t>
      </w:r>
    </w:p>
    <w:p w14:paraId="16756AEF" w14:textId="6FDA980C" w:rsidR="00257F45" w:rsidRDefault="00257F45" w:rsidP="00C923CF">
      <w:pPr>
        <w:ind w:left="720" w:hanging="720"/>
        <w:jc w:val="both"/>
        <w:rPr>
          <w:rFonts w:cs="Arial"/>
        </w:rPr>
      </w:pPr>
    </w:p>
    <w:p w14:paraId="1A070403" w14:textId="02046B93" w:rsidR="00257F45" w:rsidRDefault="00257F45" w:rsidP="00C923CF">
      <w:pPr>
        <w:ind w:left="720" w:hanging="720"/>
        <w:jc w:val="both"/>
        <w:rPr>
          <w:rFonts w:cs="Arial"/>
        </w:rPr>
      </w:pPr>
    </w:p>
    <w:p w14:paraId="0033AE1D" w14:textId="68B03280" w:rsidR="00257F45" w:rsidRDefault="00257F45" w:rsidP="00C923CF">
      <w:pPr>
        <w:ind w:left="720" w:hanging="720"/>
        <w:jc w:val="both"/>
        <w:rPr>
          <w:rFonts w:cs="Arial"/>
        </w:rPr>
      </w:pPr>
    </w:p>
    <w:p w14:paraId="199A6411" w14:textId="02DE9162" w:rsidR="00257F45" w:rsidRDefault="00257F45" w:rsidP="00C923CF">
      <w:pPr>
        <w:ind w:left="720" w:hanging="720"/>
        <w:jc w:val="both"/>
        <w:rPr>
          <w:rFonts w:cs="Arial"/>
        </w:rPr>
      </w:pPr>
    </w:p>
    <w:p w14:paraId="697FEC83" w14:textId="63CD65A9" w:rsidR="00257F45" w:rsidRDefault="00257F45" w:rsidP="00C923CF">
      <w:pPr>
        <w:ind w:left="720" w:hanging="720"/>
        <w:jc w:val="both"/>
        <w:rPr>
          <w:rFonts w:cs="Arial"/>
        </w:rPr>
      </w:pPr>
    </w:p>
    <w:p w14:paraId="2747B58D" w14:textId="5B41CD2F" w:rsidR="00257F45" w:rsidRDefault="00257F45" w:rsidP="00C923CF">
      <w:pPr>
        <w:ind w:left="720" w:hanging="720"/>
        <w:jc w:val="both"/>
        <w:rPr>
          <w:rFonts w:cs="Arial"/>
        </w:rPr>
      </w:pPr>
    </w:p>
    <w:p w14:paraId="520DE0B6" w14:textId="3328D6C0" w:rsidR="00257F45" w:rsidRDefault="00257F45" w:rsidP="00C923CF">
      <w:pPr>
        <w:ind w:left="720" w:hanging="720"/>
        <w:jc w:val="both"/>
        <w:rPr>
          <w:rFonts w:cs="Arial"/>
        </w:rPr>
      </w:pPr>
    </w:p>
    <w:p w14:paraId="3A2A9A17" w14:textId="19D6E9FA" w:rsidR="00257F45" w:rsidRDefault="00257F45" w:rsidP="00C923CF">
      <w:pPr>
        <w:ind w:left="720" w:hanging="720"/>
        <w:jc w:val="both"/>
        <w:rPr>
          <w:rFonts w:cs="Arial"/>
        </w:rPr>
      </w:pPr>
    </w:p>
    <w:p w14:paraId="5CE07EB4" w14:textId="052F1CC7" w:rsidR="00257F45" w:rsidRDefault="00257F45" w:rsidP="00C923CF">
      <w:pPr>
        <w:ind w:left="720" w:hanging="720"/>
        <w:jc w:val="both"/>
        <w:rPr>
          <w:rFonts w:cs="Arial"/>
        </w:rPr>
      </w:pPr>
    </w:p>
    <w:p w14:paraId="517FFCE3" w14:textId="42D730AF" w:rsidR="00257F45" w:rsidRDefault="00257F45" w:rsidP="00257F45">
      <w:pPr>
        <w:jc w:val="both"/>
        <w:rPr>
          <w:rFonts w:cs="Arial"/>
        </w:rPr>
      </w:pPr>
    </w:p>
    <w:p w14:paraId="2F433C8E" w14:textId="77777777" w:rsidR="00C31EE8" w:rsidRDefault="00C31EE8" w:rsidP="00257F45">
      <w:pPr>
        <w:jc w:val="both"/>
        <w:rPr>
          <w:rFonts w:cs="Arial"/>
        </w:rPr>
      </w:pPr>
    </w:p>
    <w:p w14:paraId="722B3B02" w14:textId="5EFA2F17" w:rsidR="00257F45" w:rsidRDefault="004A7A82" w:rsidP="00257F45">
      <w:pPr>
        <w:ind w:left="720" w:hanging="720"/>
        <w:jc w:val="both"/>
        <w:rPr>
          <w:rFonts w:cs="Arial"/>
        </w:rPr>
      </w:pPr>
      <w:r w:rsidRPr="1296B87A">
        <w:rPr>
          <w:rFonts w:cs="Arial"/>
        </w:rPr>
        <w:lastRenderedPageBreak/>
        <w:t>3.</w:t>
      </w:r>
      <w:r w:rsidR="004025C9">
        <w:rPr>
          <w:rFonts w:cs="Arial"/>
        </w:rPr>
        <w:t>4</w:t>
      </w:r>
      <w:r>
        <w:tab/>
      </w:r>
      <w:r w:rsidRPr="1296B87A">
        <w:rPr>
          <w:rFonts w:cs="Arial"/>
        </w:rPr>
        <w:t xml:space="preserve">Table </w:t>
      </w:r>
      <w:r w:rsidR="00C31EE8">
        <w:rPr>
          <w:rFonts w:cs="Arial"/>
        </w:rPr>
        <w:t>2</w:t>
      </w:r>
      <w:r w:rsidRPr="1296B87A">
        <w:rPr>
          <w:rFonts w:cs="Arial"/>
        </w:rPr>
        <w:t xml:space="preserve"> provides details of the type of funding that the county council receives and the value of the funding that is supporting the budget shown in Table </w:t>
      </w:r>
      <w:r w:rsidR="00C31EE8">
        <w:rPr>
          <w:rFonts w:cs="Arial"/>
        </w:rPr>
        <w:t>1</w:t>
      </w:r>
      <w:r w:rsidRPr="1296B87A">
        <w:rPr>
          <w:rFonts w:cs="Arial"/>
        </w:rPr>
        <w:t>. The table below demonstrates changes to funding levels in 2024/25 compared to those received in 202</w:t>
      </w:r>
      <w:r w:rsidR="00A5394F">
        <w:rPr>
          <w:rFonts w:cs="Arial"/>
        </w:rPr>
        <w:t>3</w:t>
      </w:r>
      <w:r w:rsidRPr="1296B87A">
        <w:rPr>
          <w:rFonts w:cs="Arial"/>
        </w:rPr>
        <w:t>/2</w:t>
      </w:r>
      <w:r w:rsidR="00A5394F">
        <w:rPr>
          <w:rFonts w:cs="Arial"/>
        </w:rPr>
        <w:t>4</w:t>
      </w:r>
      <w:r w:rsidRPr="1296B87A">
        <w:rPr>
          <w:rFonts w:cs="Arial"/>
        </w:rPr>
        <w:t>.</w:t>
      </w:r>
    </w:p>
    <w:p w14:paraId="05AEE180" w14:textId="6638C7F7" w:rsidR="00C53556" w:rsidRDefault="00C53556" w:rsidP="007958D2">
      <w:pPr>
        <w:jc w:val="both"/>
        <w:rPr>
          <w:rFonts w:cs="Arial"/>
        </w:rPr>
      </w:pPr>
    </w:p>
    <w:p w14:paraId="22055B12" w14:textId="0A73C0CA" w:rsidR="00277388" w:rsidRDefault="004A7A82" w:rsidP="1296B87A">
      <w:pPr>
        <w:ind w:left="720" w:hanging="720"/>
        <w:jc w:val="both"/>
        <w:rPr>
          <w:rFonts w:cs="Arial"/>
          <w:b/>
          <w:bCs/>
          <w:i/>
          <w:iCs/>
          <w:u w:val="single"/>
        </w:rPr>
      </w:pPr>
      <w:r w:rsidRPr="1296B87A">
        <w:rPr>
          <w:rFonts w:cs="Arial"/>
          <w:b/>
          <w:bCs/>
          <w:i/>
          <w:iCs/>
          <w:u w:val="single"/>
        </w:rPr>
        <w:t xml:space="preserve">Table </w:t>
      </w:r>
      <w:r w:rsidR="00C31EE8">
        <w:rPr>
          <w:rFonts w:cs="Arial"/>
          <w:b/>
          <w:bCs/>
          <w:i/>
          <w:iCs/>
          <w:u w:val="single"/>
        </w:rPr>
        <w:t>2</w:t>
      </w:r>
    </w:p>
    <w:p w14:paraId="5AC01344" w14:textId="77777777" w:rsidR="00656B53" w:rsidRDefault="00656B53" w:rsidP="1296B87A">
      <w:pPr>
        <w:ind w:left="720" w:hanging="720"/>
        <w:jc w:val="both"/>
        <w:rPr>
          <w:rFonts w:cs="Arial"/>
          <w:b/>
          <w:bCs/>
          <w:i/>
          <w:iCs/>
          <w:u w:val="single"/>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559"/>
        <w:gridCol w:w="1559"/>
        <w:gridCol w:w="1702"/>
      </w:tblGrid>
      <w:tr w:rsidR="00C92CD8" w14:paraId="52CBA156" w14:textId="77777777" w:rsidTr="00E13849">
        <w:trPr>
          <w:trHeight w:val="495"/>
          <w:jc w:val="center"/>
        </w:trPr>
        <w:tc>
          <w:tcPr>
            <w:tcW w:w="3539" w:type="dxa"/>
            <w:shd w:val="clear" w:color="auto" w:fill="BFBFBF"/>
            <w:vAlign w:val="center"/>
          </w:tcPr>
          <w:p w14:paraId="6860CAEE" w14:textId="77777777" w:rsidR="00656B53" w:rsidRPr="005D7A6E" w:rsidRDefault="00656B53" w:rsidP="00E13849">
            <w:pPr>
              <w:autoSpaceDE w:val="0"/>
              <w:autoSpaceDN w:val="0"/>
              <w:adjustRightInd w:val="0"/>
              <w:spacing w:after="120"/>
              <w:jc w:val="both"/>
              <w:rPr>
                <w:rFonts w:eastAsia="Calibri" w:cs="Arial"/>
                <w:color w:val="000000"/>
                <w:lang w:eastAsia="en-US"/>
              </w:rPr>
            </w:pPr>
          </w:p>
        </w:tc>
        <w:tc>
          <w:tcPr>
            <w:tcW w:w="1559" w:type="dxa"/>
            <w:shd w:val="clear" w:color="auto" w:fill="BFBFBF"/>
            <w:vAlign w:val="center"/>
          </w:tcPr>
          <w:p w14:paraId="6455FB34" w14:textId="77777777" w:rsidR="00656B53" w:rsidRPr="005D7A6E" w:rsidRDefault="004A7A82" w:rsidP="00E13849">
            <w:pPr>
              <w:autoSpaceDE w:val="0"/>
              <w:autoSpaceDN w:val="0"/>
              <w:adjustRightInd w:val="0"/>
              <w:jc w:val="center"/>
              <w:rPr>
                <w:rFonts w:eastAsia="Calibri" w:cs="Arial"/>
                <w:b/>
                <w:color w:val="000000"/>
                <w:lang w:eastAsia="en-US"/>
              </w:rPr>
            </w:pPr>
            <w:r w:rsidRPr="005D7A6E">
              <w:rPr>
                <w:rFonts w:eastAsia="Calibri" w:cs="Arial"/>
                <w:b/>
                <w:color w:val="000000"/>
                <w:lang w:eastAsia="en-US"/>
              </w:rPr>
              <w:t>202</w:t>
            </w:r>
            <w:r>
              <w:rPr>
                <w:rFonts w:eastAsia="Calibri" w:cs="Arial"/>
                <w:b/>
                <w:color w:val="000000"/>
                <w:lang w:eastAsia="en-US"/>
              </w:rPr>
              <w:t>3</w:t>
            </w:r>
            <w:r w:rsidRPr="005D7A6E">
              <w:rPr>
                <w:rFonts w:eastAsia="Calibri" w:cs="Arial"/>
                <w:b/>
                <w:color w:val="000000"/>
                <w:lang w:eastAsia="en-US"/>
              </w:rPr>
              <w:t>/2</w:t>
            </w:r>
            <w:r>
              <w:rPr>
                <w:rFonts w:eastAsia="Calibri" w:cs="Arial"/>
                <w:b/>
                <w:color w:val="000000"/>
                <w:lang w:eastAsia="en-US"/>
              </w:rPr>
              <w:t>4</w:t>
            </w:r>
          </w:p>
          <w:p w14:paraId="5192E590" w14:textId="77777777" w:rsidR="00656B53" w:rsidRPr="005D7A6E" w:rsidRDefault="004A7A82" w:rsidP="00E13849">
            <w:pPr>
              <w:autoSpaceDE w:val="0"/>
              <w:autoSpaceDN w:val="0"/>
              <w:adjustRightInd w:val="0"/>
              <w:jc w:val="center"/>
              <w:rPr>
                <w:rFonts w:eastAsia="Calibri" w:cs="Arial"/>
                <w:b/>
                <w:color w:val="000000"/>
                <w:lang w:eastAsia="en-US"/>
              </w:rPr>
            </w:pPr>
            <w:r w:rsidRPr="005D7A6E">
              <w:rPr>
                <w:rFonts w:eastAsia="Calibri" w:cs="Arial"/>
                <w:b/>
                <w:color w:val="000000"/>
                <w:lang w:eastAsia="en-US"/>
              </w:rPr>
              <w:t>£m</w:t>
            </w:r>
          </w:p>
        </w:tc>
        <w:tc>
          <w:tcPr>
            <w:tcW w:w="1559" w:type="dxa"/>
            <w:shd w:val="clear" w:color="auto" w:fill="BFBFBF"/>
            <w:vAlign w:val="center"/>
          </w:tcPr>
          <w:p w14:paraId="0B7D9FD4" w14:textId="77777777" w:rsidR="00656B53" w:rsidRPr="005D7A6E" w:rsidRDefault="004A7A82" w:rsidP="00E13849">
            <w:pPr>
              <w:autoSpaceDE w:val="0"/>
              <w:autoSpaceDN w:val="0"/>
              <w:adjustRightInd w:val="0"/>
              <w:jc w:val="center"/>
              <w:rPr>
                <w:rFonts w:eastAsia="Calibri" w:cs="Arial"/>
                <w:b/>
                <w:color w:val="000000"/>
                <w:lang w:eastAsia="en-US"/>
              </w:rPr>
            </w:pPr>
            <w:r w:rsidRPr="005D7A6E">
              <w:rPr>
                <w:rFonts w:eastAsia="Calibri" w:cs="Arial"/>
                <w:b/>
                <w:color w:val="000000"/>
                <w:lang w:eastAsia="en-US"/>
              </w:rPr>
              <w:t>2024/25</w:t>
            </w:r>
          </w:p>
          <w:p w14:paraId="6D694BAC" w14:textId="77777777" w:rsidR="00656B53" w:rsidRPr="005D7A6E" w:rsidRDefault="004A7A82" w:rsidP="00E13849">
            <w:pPr>
              <w:autoSpaceDE w:val="0"/>
              <w:autoSpaceDN w:val="0"/>
              <w:adjustRightInd w:val="0"/>
              <w:jc w:val="center"/>
              <w:rPr>
                <w:rFonts w:eastAsia="Calibri" w:cs="Arial"/>
                <w:b/>
                <w:color w:val="000000"/>
                <w:lang w:eastAsia="en-US"/>
              </w:rPr>
            </w:pPr>
            <w:r w:rsidRPr="005D7A6E">
              <w:rPr>
                <w:rFonts w:eastAsia="Calibri" w:cs="Arial"/>
                <w:b/>
                <w:color w:val="000000"/>
                <w:lang w:eastAsia="en-US"/>
              </w:rPr>
              <w:t>£m</w:t>
            </w:r>
          </w:p>
        </w:tc>
        <w:tc>
          <w:tcPr>
            <w:tcW w:w="1702" w:type="dxa"/>
            <w:shd w:val="clear" w:color="auto" w:fill="BFBFBF"/>
            <w:vAlign w:val="center"/>
          </w:tcPr>
          <w:p w14:paraId="7B890682" w14:textId="77777777" w:rsidR="00656B53" w:rsidRPr="005D7A6E" w:rsidRDefault="004A7A82" w:rsidP="00E13849">
            <w:pPr>
              <w:autoSpaceDE w:val="0"/>
              <w:autoSpaceDN w:val="0"/>
              <w:adjustRightInd w:val="0"/>
              <w:jc w:val="center"/>
              <w:rPr>
                <w:rFonts w:eastAsia="Calibri" w:cs="Arial"/>
                <w:b/>
                <w:color w:val="000000"/>
                <w:lang w:eastAsia="en-US"/>
              </w:rPr>
            </w:pPr>
            <w:r>
              <w:rPr>
                <w:rFonts w:eastAsia="Calibri" w:cs="Arial"/>
                <w:b/>
                <w:color w:val="000000"/>
                <w:lang w:eastAsia="en-US"/>
              </w:rPr>
              <w:t>Change in funding levels</w:t>
            </w:r>
          </w:p>
        </w:tc>
      </w:tr>
      <w:tr w:rsidR="00C92CD8" w14:paraId="26953551" w14:textId="77777777" w:rsidTr="00E13849">
        <w:trPr>
          <w:trHeight w:val="365"/>
          <w:jc w:val="center"/>
        </w:trPr>
        <w:tc>
          <w:tcPr>
            <w:tcW w:w="3539" w:type="dxa"/>
            <w:tcBorders>
              <w:top w:val="single" w:sz="4" w:space="0" w:color="auto"/>
              <w:bottom w:val="single" w:sz="4" w:space="0" w:color="auto"/>
              <w:right w:val="single" w:sz="4" w:space="0" w:color="auto"/>
            </w:tcBorders>
            <w:shd w:val="clear" w:color="auto" w:fill="auto"/>
            <w:vAlign w:val="center"/>
          </w:tcPr>
          <w:p w14:paraId="68F940AC" w14:textId="77777777" w:rsidR="00656B53" w:rsidRPr="00653A24" w:rsidRDefault="004A7A82" w:rsidP="00E13849">
            <w:pPr>
              <w:autoSpaceDE w:val="0"/>
              <w:autoSpaceDN w:val="0"/>
              <w:adjustRightInd w:val="0"/>
              <w:rPr>
                <w:rFonts w:eastAsia="Calibri" w:cs="Arial"/>
                <w:b/>
                <w:bCs/>
                <w:i/>
                <w:iCs/>
                <w:color w:val="000000"/>
                <w:lang w:eastAsia="en-US"/>
              </w:rPr>
            </w:pPr>
            <w:r w:rsidRPr="00653A24">
              <w:rPr>
                <w:rFonts w:eastAsia="Calibri" w:cs="Arial"/>
                <w:b/>
                <w:bCs/>
                <w:i/>
                <w:iCs/>
                <w:color w:val="000000"/>
                <w:lang w:eastAsia="en-US"/>
              </w:rPr>
              <w:t>Government Grants</w:t>
            </w:r>
          </w:p>
        </w:tc>
        <w:tc>
          <w:tcPr>
            <w:tcW w:w="1559" w:type="dxa"/>
            <w:tcBorders>
              <w:top w:val="single" w:sz="4" w:space="0" w:color="auto"/>
              <w:bottom w:val="single" w:sz="4" w:space="0" w:color="auto"/>
            </w:tcBorders>
            <w:vAlign w:val="center"/>
          </w:tcPr>
          <w:p w14:paraId="3D32FDEC" w14:textId="77777777" w:rsidR="00656B53" w:rsidRPr="005D7A6E" w:rsidRDefault="00656B53" w:rsidP="00E13849">
            <w:pPr>
              <w:autoSpaceDE w:val="0"/>
              <w:autoSpaceDN w:val="0"/>
              <w:adjustRightInd w:val="0"/>
              <w:jc w:val="right"/>
              <w:rPr>
                <w:rFonts w:eastAsia="Calibri" w:cs="Arial"/>
                <w:color w:val="00000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440EBD" w14:textId="77777777" w:rsidR="00656B53" w:rsidRPr="005D7A6E" w:rsidRDefault="00656B53" w:rsidP="00E13849">
            <w:pPr>
              <w:autoSpaceDE w:val="0"/>
              <w:autoSpaceDN w:val="0"/>
              <w:adjustRightInd w:val="0"/>
              <w:jc w:val="right"/>
              <w:rPr>
                <w:rFonts w:eastAsia="Calibri" w:cs="Arial"/>
                <w:color w:val="000000"/>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5F657DB" w14:textId="77777777" w:rsidR="00656B53" w:rsidRPr="005D7A6E" w:rsidRDefault="00656B53" w:rsidP="00E13849">
            <w:pPr>
              <w:autoSpaceDE w:val="0"/>
              <w:autoSpaceDN w:val="0"/>
              <w:adjustRightInd w:val="0"/>
              <w:jc w:val="right"/>
              <w:rPr>
                <w:rFonts w:eastAsia="Calibri" w:cs="Arial"/>
                <w:color w:val="000000"/>
                <w:lang w:eastAsia="en-US"/>
              </w:rPr>
            </w:pPr>
          </w:p>
        </w:tc>
      </w:tr>
      <w:tr w:rsidR="00C92CD8" w14:paraId="798172C3"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tcPr>
          <w:p w14:paraId="452B2636" w14:textId="77777777" w:rsidR="00656B53" w:rsidRPr="005D7A6E" w:rsidRDefault="004A7A82" w:rsidP="00E13849">
            <w:pPr>
              <w:autoSpaceDE w:val="0"/>
              <w:autoSpaceDN w:val="0"/>
              <w:adjustRightInd w:val="0"/>
              <w:rPr>
                <w:rFonts w:eastAsia="Calibri" w:cs="Arial"/>
                <w:color w:val="000000"/>
                <w:lang w:eastAsia="en-US"/>
              </w:rPr>
            </w:pPr>
            <w:r w:rsidRPr="005D7A6E">
              <w:rPr>
                <w:rFonts w:eastAsia="Calibri" w:cs="Arial"/>
                <w:color w:val="000000"/>
                <w:lang w:eastAsia="en-US"/>
              </w:rPr>
              <w:t>Revenue Support Grant</w:t>
            </w:r>
          </w:p>
        </w:tc>
        <w:tc>
          <w:tcPr>
            <w:tcW w:w="1559" w:type="dxa"/>
            <w:tcBorders>
              <w:top w:val="single" w:sz="4" w:space="0" w:color="auto"/>
              <w:bottom w:val="single" w:sz="4" w:space="0" w:color="auto"/>
            </w:tcBorders>
            <w:vAlign w:val="center"/>
          </w:tcPr>
          <w:p w14:paraId="2365D1E4" w14:textId="77777777" w:rsidR="00656B53"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38.206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31DD5D" w14:textId="77777777" w:rsidR="00656B53" w:rsidRPr="005D7A6E" w:rsidRDefault="004A7A82" w:rsidP="00E13849">
            <w:pPr>
              <w:autoSpaceDE w:val="0"/>
              <w:autoSpaceDN w:val="0"/>
              <w:adjustRightInd w:val="0"/>
              <w:jc w:val="right"/>
              <w:rPr>
                <w:rFonts w:eastAsia="Calibri" w:cs="Arial"/>
                <w:color w:val="000000"/>
                <w:lang w:eastAsia="en-US"/>
              </w:rPr>
            </w:pPr>
            <w:r w:rsidRPr="005D7A6E">
              <w:rPr>
                <w:rFonts w:eastAsia="Calibri" w:cs="Arial"/>
                <w:color w:val="000000"/>
                <w:lang w:eastAsia="en-US"/>
              </w:rPr>
              <w:t>40.737</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80601D7" w14:textId="77777777" w:rsidR="00656B53"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2.531</w:t>
            </w:r>
          </w:p>
        </w:tc>
      </w:tr>
      <w:tr w:rsidR="00C92CD8" w14:paraId="2017715E"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tcPr>
          <w:p w14:paraId="761CA4FD" w14:textId="77777777" w:rsidR="00656B53" w:rsidRPr="005D7A6E" w:rsidRDefault="004A7A82" w:rsidP="00E13849">
            <w:pPr>
              <w:autoSpaceDE w:val="0"/>
              <w:autoSpaceDN w:val="0"/>
              <w:adjustRightInd w:val="0"/>
              <w:rPr>
                <w:rFonts w:eastAsia="Calibri" w:cs="Arial"/>
                <w:color w:val="000000"/>
                <w:lang w:eastAsia="en-US"/>
              </w:rPr>
            </w:pPr>
            <w:r w:rsidRPr="005D7A6E">
              <w:rPr>
                <w:rFonts w:eastAsia="Calibri" w:cs="Arial"/>
                <w:color w:val="000000"/>
                <w:lang w:eastAsia="en-US"/>
              </w:rPr>
              <w:t>New Homes Bonus</w:t>
            </w:r>
          </w:p>
        </w:tc>
        <w:tc>
          <w:tcPr>
            <w:tcW w:w="1559" w:type="dxa"/>
            <w:tcBorders>
              <w:top w:val="single" w:sz="4" w:space="0" w:color="auto"/>
              <w:bottom w:val="single" w:sz="4" w:space="0" w:color="auto"/>
            </w:tcBorders>
            <w:vAlign w:val="center"/>
          </w:tcPr>
          <w:p w14:paraId="43F26B61" w14:textId="77777777" w:rsidR="00656B53"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1.482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0E509D" w14:textId="77777777" w:rsidR="00656B53" w:rsidRPr="005D7A6E" w:rsidRDefault="004A7A82" w:rsidP="00E13849">
            <w:pPr>
              <w:autoSpaceDE w:val="0"/>
              <w:autoSpaceDN w:val="0"/>
              <w:adjustRightInd w:val="0"/>
              <w:jc w:val="right"/>
              <w:rPr>
                <w:rFonts w:eastAsia="Calibri" w:cs="Arial"/>
                <w:color w:val="000000"/>
                <w:lang w:eastAsia="en-US"/>
              </w:rPr>
            </w:pPr>
            <w:r w:rsidRPr="005D7A6E">
              <w:rPr>
                <w:rFonts w:eastAsia="Calibri" w:cs="Arial"/>
                <w:color w:val="000000"/>
                <w:lang w:eastAsia="en-US"/>
              </w:rPr>
              <w:t>1.49</w:t>
            </w:r>
            <w:r>
              <w:rPr>
                <w:rFonts w:eastAsia="Calibri" w:cs="Arial"/>
                <w:color w:val="000000"/>
                <w:lang w:eastAsia="en-US"/>
              </w:rPr>
              <w:t>7</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E3771DA" w14:textId="77777777" w:rsidR="00656B53"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0.015</w:t>
            </w:r>
          </w:p>
        </w:tc>
      </w:tr>
      <w:tr w:rsidR="00C92CD8" w14:paraId="1F60D021"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hideMark/>
          </w:tcPr>
          <w:p w14:paraId="3E64ED54" w14:textId="77777777" w:rsidR="00656B53" w:rsidRPr="005D7A6E" w:rsidRDefault="004A7A82" w:rsidP="00E13849">
            <w:pPr>
              <w:autoSpaceDE w:val="0"/>
              <w:autoSpaceDN w:val="0"/>
              <w:adjustRightInd w:val="0"/>
              <w:rPr>
                <w:rFonts w:eastAsia="Calibri" w:cs="Arial"/>
                <w:color w:val="000000"/>
                <w:lang w:eastAsia="en-US"/>
              </w:rPr>
            </w:pPr>
            <w:r w:rsidRPr="005D7A6E">
              <w:rPr>
                <w:rFonts w:eastAsia="Calibri" w:cs="Arial"/>
                <w:color w:val="000000"/>
                <w:lang w:eastAsia="en-US"/>
              </w:rPr>
              <w:t>Improved Better Care Fund</w:t>
            </w:r>
          </w:p>
        </w:tc>
        <w:tc>
          <w:tcPr>
            <w:tcW w:w="1559" w:type="dxa"/>
            <w:tcBorders>
              <w:top w:val="single" w:sz="4" w:space="0" w:color="auto"/>
              <w:bottom w:val="single" w:sz="4" w:space="0" w:color="auto"/>
            </w:tcBorders>
            <w:vAlign w:val="center"/>
          </w:tcPr>
          <w:p w14:paraId="40F1829D" w14:textId="77777777" w:rsidR="00656B53"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47.145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2C8560" w14:textId="77777777" w:rsidR="00656B53" w:rsidRPr="005D7A6E" w:rsidRDefault="004A7A82" w:rsidP="00E13849">
            <w:pPr>
              <w:autoSpaceDE w:val="0"/>
              <w:autoSpaceDN w:val="0"/>
              <w:adjustRightInd w:val="0"/>
              <w:jc w:val="right"/>
              <w:rPr>
                <w:rFonts w:eastAsia="Calibri" w:cs="Arial"/>
                <w:color w:val="000000"/>
                <w:lang w:eastAsia="en-US"/>
              </w:rPr>
            </w:pPr>
            <w:r w:rsidRPr="005D7A6E">
              <w:rPr>
                <w:rFonts w:eastAsia="Calibri" w:cs="Arial"/>
                <w:color w:val="000000"/>
                <w:lang w:eastAsia="en-US"/>
              </w:rPr>
              <w:t>47.145</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3055A2A" w14:textId="77777777" w:rsidR="00656B53"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0.000</w:t>
            </w:r>
          </w:p>
        </w:tc>
      </w:tr>
      <w:tr w:rsidR="00C92CD8" w14:paraId="46D124DA"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tcPr>
          <w:p w14:paraId="601D57C8" w14:textId="77777777" w:rsidR="00656B53" w:rsidRPr="005D7A6E" w:rsidRDefault="004A7A82" w:rsidP="00E13849">
            <w:pPr>
              <w:autoSpaceDE w:val="0"/>
              <w:autoSpaceDN w:val="0"/>
              <w:adjustRightInd w:val="0"/>
              <w:rPr>
                <w:rFonts w:eastAsia="Calibri" w:cs="Arial"/>
                <w:color w:val="000000"/>
                <w:lang w:eastAsia="en-US"/>
              </w:rPr>
            </w:pPr>
            <w:r w:rsidRPr="005D7A6E">
              <w:rPr>
                <w:rFonts w:eastAsia="Calibri" w:cs="Arial"/>
                <w:color w:val="000000"/>
                <w:lang w:eastAsia="en-US"/>
              </w:rPr>
              <w:t>Social Care Support Grant</w:t>
            </w:r>
          </w:p>
        </w:tc>
        <w:tc>
          <w:tcPr>
            <w:tcW w:w="1559" w:type="dxa"/>
            <w:tcBorders>
              <w:top w:val="single" w:sz="4" w:space="0" w:color="auto"/>
              <w:bottom w:val="single" w:sz="4" w:space="0" w:color="auto"/>
            </w:tcBorders>
            <w:vAlign w:val="center"/>
          </w:tcPr>
          <w:p w14:paraId="60BD6CAB" w14:textId="77777777" w:rsidR="00656B53"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94.569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FED43B" w14:textId="77777777" w:rsidR="00656B53"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123.055</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420BBCB" w14:textId="77777777" w:rsidR="00656B53"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28.486</w:t>
            </w:r>
          </w:p>
        </w:tc>
      </w:tr>
      <w:tr w:rsidR="00C92CD8" w14:paraId="7FB8E984"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tcPr>
          <w:p w14:paraId="607F8B52" w14:textId="77777777" w:rsidR="00656B53" w:rsidRPr="005D7A6E" w:rsidRDefault="004A7A82" w:rsidP="00E13849">
            <w:pPr>
              <w:autoSpaceDE w:val="0"/>
              <w:autoSpaceDN w:val="0"/>
              <w:adjustRightInd w:val="0"/>
              <w:rPr>
                <w:rFonts w:eastAsia="Calibri" w:cs="Arial"/>
                <w:color w:val="000000"/>
                <w:lang w:eastAsia="en-US"/>
              </w:rPr>
            </w:pPr>
            <w:r w:rsidRPr="005D7A6E">
              <w:rPr>
                <w:rFonts w:eastAsia="Calibri" w:cs="Arial"/>
                <w:color w:val="000000"/>
                <w:lang w:eastAsia="en-US"/>
              </w:rPr>
              <w:t>Services Grant</w:t>
            </w:r>
          </w:p>
        </w:tc>
        <w:tc>
          <w:tcPr>
            <w:tcW w:w="1559" w:type="dxa"/>
            <w:tcBorders>
              <w:top w:val="single" w:sz="4" w:space="0" w:color="auto"/>
              <w:bottom w:val="single" w:sz="4" w:space="0" w:color="auto"/>
            </w:tcBorders>
            <w:vAlign w:val="center"/>
          </w:tcPr>
          <w:p w14:paraId="1810B79C" w14:textId="77777777" w:rsidR="00656B53"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7.663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60A7F3" w14:textId="77777777" w:rsidR="00656B53" w:rsidRPr="005D7A6E" w:rsidRDefault="004A7A82" w:rsidP="00E13849">
            <w:pPr>
              <w:autoSpaceDE w:val="0"/>
              <w:autoSpaceDN w:val="0"/>
              <w:adjustRightInd w:val="0"/>
              <w:jc w:val="right"/>
              <w:rPr>
                <w:rFonts w:eastAsia="Calibri" w:cs="Arial"/>
                <w:color w:val="000000"/>
                <w:lang w:eastAsia="en-US"/>
              </w:rPr>
            </w:pPr>
            <w:r w:rsidRPr="005D7A6E">
              <w:rPr>
                <w:rFonts w:eastAsia="Calibri" w:cs="Arial"/>
                <w:color w:val="000000"/>
                <w:lang w:eastAsia="en-US"/>
              </w:rPr>
              <w:t>1.</w:t>
            </w:r>
            <w:r>
              <w:rPr>
                <w:rFonts w:eastAsia="Calibri" w:cs="Arial"/>
                <w:color w:val="000000"/>
                <w:lang w:eastAsia="en-US"/>
              </w:rPr>
              <w:t>323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B17EBAC" w14:textId="77777777" w:rsidR="00656B53"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-6.340</w:t>
            </w:r>
          </w:p>
        </w:tc>
      </w:tr>
      <w:tr w:rsidR="00C92CD8" w14:paraId="39E2D51C"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tcPr>
          <w:p w14:paraId="73E36A75" w14:textId="77777777" w:rsidR="00656B53" w:rsidRPr="00653A24" w:rsidRDefault="004A7A82" w:rsidP="00E13849">
            <w:pPr>
              <w:autoSpaceDE w:val="0"/>
              <w:autoSpaceDN w:val="0"/>
              <w:adjustRightInd w:val="0"/>
              <w:rPr>
                <w:rFonts w:eastAsia="Calibri" w:cs="Arial"/>
                <w:b/>
                <w:bCs/>
                <w:i/>
                <w:iCs/>
                <w:color w:val="000000"/>
                <w:lang w:eastAsia="en-US"/>
              </w:rPr>
            </w:pPr>
            <w:r w:rsidRPr="00653A24">
              <w:rPr>
                <w:rFonts w:eastAsia="Calibri" w:cs="Arial"/>
                <w:b/>
                <w:bCs/>
                <w:i/>
                <w:iCs/>
                <w:color w:val="000000"/>
                <w:lang w:eastAsia="en-US"/>
              </w:rPr>
              <w:t>Sub-Total</w:t>
            </w:r>
          </w:p>
        </w:tc>
        <w:tc>
          <w:tcPr>
            <w:tcW w:w="1559" w:type="dxa"/>
            <w:tcBorders>
              <w:top w:val="single" w:sz="4" w:space="0" w:color="auto"/>
              <w:bottom w:val="single" w:sz="4" w:space="0" w:color="auto"/>
            </w:tcBorders>
            <w:vAlign w:val="center"/>
          </w:tcPr>
          <w:p w14:paraId="7677EDEE" w14:textId="77777777" w:rsidR="00656B53" w:rsidRPr="006839C7" w:rsidRDefault="004A7A82" w:rsidP="00E13849">
            <w:pPr>
              <w:autoSpaceDE w:val="0"/>
              <w:autoSpaceDN w:val="0"/>
              <w:adjustRightInd w:val="0"/>
              <w:jc w:val="right"/>
              <w:rPr>
                <w:rFonts w:eastAsia="Calibri" w:cs="Arial"/>
                <w:b/>
                <w:bCs/>
                <w:i/>
                <w:iCs/>
                <w:color w:val="000000"/>
                <w:lang w:eastAsia="en-US"/>
              </w:rPr>
            </w:pPr>
            <w:r w:rsidRPr="006839C7">
              <w:rPr>
                <w:rFonts w:eastAsia="Calibri" w:cs="Arial"/>
                <w:b/>
                <w:bCs/>
                <w:i/>
                <w:iCs/>
                <w:color w:val="000000"/>
                <w:lang w:eastAsia="en-US"/>
              </w:rPr>
              <w:t>189.065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EFC529" w14:textId="77777777" w:rsidR="00656B53" w:rsidRPr="006839C7" w:rsidRDefault="004A7A82" w:rsidP="00E13849">
            <w:pPr>
              <w:autoSpaceDE w:val="0"/>
              <w:autoSpaceDN w:val="0"/>
              <w:adjustRightInd w:val="0"/>
              <w:jc w:val="right"/>
              <w:rPr>
                <w:rFonts w:eastAsia="Calibri" w:cs="Arial"/>
                <w:b/>
                <w:bCs/>
                <w:i/>
                <w:iCs/>
                <w:color w:val="000000"/>
                <w:lang w:eastAsia="en-US"/>
              </w:rPr>
            </w:pPr>
            <w:r>
              <w:rPr>
                <w:rFonts w:eastAsia="Calibri" w:cs="Arial"/>
                <w:b/>
                <w:bCs/>
                <w:i/>
                <w:iCs/>
                <w:color w:val="000000"/>
                <w:lang w:eastAsia="en-US"/>
              </w:rPr>
              <w:t>213.757</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66B9FEC" w14:textId="77777777" w:rsidR="00656B53" w:rsidRPr="006839C7" w:rsidRDefault="004A7A82" w:rsidP="00E13849">
            <w:pPr>
              <w:autoSpaceDE w:val="0"/>
              <w:autoSpaceDN w:val="0"/>
              <w:adjustRightInd w:val="0"/>
              <w:jc w:val="right"/>
              <w:rPr>
                <w:rFonts w:eastAsia="Calibri" w:cs="Arial"/>
                <w:b/>
                <w:bCs/>
                <w:i/>
                <w:iCs/>
                <w:color w:val="000000"/>
                <w:lang w:eastAsia="en-US"/>
              </w:rPr>
            </w:pPr>
            <w:r>
              <w:rPr>
                <w:rFonts w:eastAsia="Calibri" w:cs="Arial"/>
                <w:b/>
                <w:bCs/>
                <w:i/>
                <w:iCs/>
                <w:color w:val="000000"/>
                <w:lang w:eastAsia="en-US"/>
              </w:rPr>
              <w:t>24.692</w:t>
            </w:r>
          </w:p>
        </w:tc>
      </w:tr>
      <w:tr w:rsidR="00C92CD8" w14:paraId="5FB135DF" w14:textId="77777777" w:rsidTr="00E13849">
        <w:trPr>
          <w:trHeight w:val="195"/>
          <w:jc w:val="center"/>
        </w:trPr>
        <w:tc>
          <w:tcPr>
            <w:tcW w:w="3539" w:type="dxa"/>
            <w:tcBorders>
              <w:top w:val="single" w:sz="4" w:space="0" w:color="auto"/>
              <w:bottom w:val="single" w:sz="4" w:space="0" w:color="auto"/>
              <w:right w:val="single" w:sz="4" w:space="0" w:color="auto"/>
            </w:tcBorders>
            <w:shd w:val="clear" w:color="auto" w:fill="auto"/>
            <w:vAlign w:val="center"/>
          </w:tcPr>
          <w:p w14:paraId="4E166BBD" w14:textId="77777777" w:rsidR="00656B53" w:rsidRPr="005D7A6E" w:rsidRDefault="00656B53" w:rsidP="00E13849">
            <w:pPr>
              <w:autoSpaceDE w:val="0"/>
              <w:autoSpaceDN w:val="0"/>
              <w:adjustRightInd w:val="0"/>
              <w:spacing w:after="120"/>
              <w:rPr>
                <w:rFonts w:eastAsia="Calibri" w:cs="Arial"/>
                <w:color w:val="000000"/>
                <w:lang w:eastAsia="en-US"/>
              </w:rPr>
            </w:pPr>
          </w:p>
        </w:tc>
        <w:tc>
          <w:tcPr>
            <w:tcW w:w="1559" w:type="dxa"/>
            <w:tcBorders>
              <w:top w:val="single" w:sz="4" w:space="0" w:color="auto"/>
              <w:bottom w:val="single" w:sz="4" w:space="0" w:color="auto"/>
            </w:tcBorders>
            <w:vAlign w:val="center"/>
          </w:tcPr>
          <w:p w14:paraId="4D2FFFF6" w14:textId="77777777" w:rsidR="00656B53" w:rsidRDefault="00656B53" w:rsidP="00E13849">
            <w:pPr>
              <w:autoSpaceDE w:val="0"/>
              <w:autoSpaceDN w:val="0"/>
              <w:adjustRightInd w:val="0"/>
              <w:jc w:val="right"/>
              <w:rPr>
                <w:rFonts w:eastAsia="Calibri" w:cs="Arial"/>
                <w:color w:val="00000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7B5317" w14:textId="77777777" w:rsidR="00656B53" w:rsidRPr="005D7A6E" w:rsidRDefault="00656B53" w:rsidP="00E13849">
            <w:pPr>
              <w:autoSpaceDE w:val="0"/>
              <w:autoSpaceDN w:val="0"/>
              <w:adjustRightInd w:val="0"/>
              <w:jc w:val="right"/>
              <w:rPr>
                <w:rFonts w:eastAsia="Calibri" w:cs="Arial"/>
                <w:color w:val="000000"/>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72F6137" w14:textId="77777777" w:rsidR="00656B53" w:rsidRDefault="00656B53" w:rsidP="00E13849">
            <w:pPr>
              <w:autoSpaceDE w:val="0"/>
              <w:autoSpaceDN w:val="0"/>
              <w:adjustRightInd w:val="0"/>
              <w:jc w:val="right"/>
              <w:rPr>
                <w:rFonts w:eastAsia="Calibri" w:cs="Arial"/>
                <w:color w:val="000000"/>
                <w:lang w:eastAsia="en-US"/>
              </w:rPr>
            </w:pPr>
          </w:p>
        </w:tc>
      </w:tr>
      <w:tr w:rsidR="00C92CD8" w14:paraId="5A93C30F" w14:textId="77777777" w:rsidTr="00E13849">
        <w:trPr>
          <w:trHeight w:val="286"/>
          <w:jc w:val="center"/>
        </w:trPr>
        <w:tc>
          <w:tcPr>
            <w:tcW w:w="3539" w:type="dxa"/>
            <w:tcBorders>
              <w:top w:val="single" w:sz="4" w:space="0" w:color="auto"/>
              <w:bottom w:val="single" w:sz="4" w:space="0" w:color="auto"/>
              <w:right w:val="single" w:sz="4" w:space="0" w:color="auto"/>
            </w:tcBorders>
            <w:shd w:val="clear" w:color="auto" w:fill="auto"/>
            <w:vAlign w:val="center"/>
          </w:tcPr>
          <w:p w14:paraId="2C6CA360" w14:textId="77777777" w:rsidR="00656B53" w:rsidRPr="00653A24" w:rsidRDefault="004A7A82" w:rsidP="00E13849">
            <w:pPr>
              <w:autoSpaceDE w:val="0"/>
              <w:autoSpaceDN w:val="0"/>
              <w:adjustRightInd w:val="0"/>
              <w:rPr>
                <w:rFonts w:eastAsia="Calibri" w:cs="Arial"/>
                <w:b/>
                <w:bCs/>
                <w:i/>
                <w:iCs/>
                <w:color w:val="000000"/>
                <w:lang w:eastAsia="en-US"/>
              </w:rPr>
            </w:pPr>
            <w:r w:rsidRPr="00653A24">
              <w:rPr>
                <w:rFonts w:eastAsia="Calibri" w:cs="Arial"/>
                <w:b/>
                <w:bCs/>
                <w:i/>
                <w:iCs/>
                <w:color w:val="000000"/>
                <w:lang w:eastAsia="en-US"/>
              </w:rPr>
              <w:t>Local Income</w:t>
            </w:r>
          </w:p>
        </w:tc>
        <w:tc>
          <w:tcPr>
            <w:tcW w:w="1559" w:type="dxa"/>
            <w:tcBorders>
              <w:top w:val="single" w:sz="4" w:space="0" w:color="auto"/>
              <w:bottom w:val="single" w:sz="4" w:space="0" w:color="auto"/>
            </w:tcBorders>
            <w:vAlign w:val="center"/>
          </w:tcPr>
          <w:p w14:paraId="5EC45AE9" w14:textId="77777777" w:rsidR="00656B53" w:rsidRDefault="00656B53" w:rsidP="00E13849">
            <w:pPr>
              <w:autoSpaceDE w:val="0"/>
              <w:autoSpaceDN w:val="0"/>
              <w:adjustRightInd w:val="0"/>
              <w:jc w:val="right"/>
              <w:rPr>
                <w:rFonts w:eastAsia="Calibri" w:cs="Arial"/>
                <w:color w:val="00000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E08FF6" w14:textId="77777777" w:rsidR="00656B53" w:rsidRPr="005D7A6E" w:rsidRDefault="00656B53" w:rsidP="00E13849">
            <w:pPr>
              <w:autoSpaceDE w:val="0"/>
              <w:autoSpaceDN w:val="0"/>
              <w:adjustRightInd w:val="0"/>
              <w:jc w:val="right"/>
              <w:rPr>
                <w:rFonts w:eastAsia="Calibri" w:cs="Arial"/>
                <w:color w:val="000000"/>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AFF98C0" w14:textId="77777777" w:rsidR="00656B53" w:rsidRDefault="00656B53" w:rsidP="00E13849">
            <w:pPr>
              <w:autoSpaceDE w:val="0"/>
              <w:autoSpaceDN w:val="0"/>
              <w:adjustRightInd w:val="0"/>
              <w:jc w:val="right"/>
              <w:rPr>
                <w:rFonts w:eastAsia="Calibri" w:cs="Arial"/>
                <w:color w:val="000000"/>
                <w:lang w:eastAsia="en-US"/>
              </w:rPr>
            </w:pPr>
          </w:p>
        </w:tc>
      </w:tr>
      <w:tr w:rsidR="00C92CD8" w14:paraId="1B023D53"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hideMark/>
          </w:tcPr>
          <w:p w14:paraId="71AEF0F6" w14:textId="77777777" w:rsidR="00656B53" w:rsidRPr="005D7A6E" w:rsidRDefault="004A7A82" w:rsidP="00E13849">
            <w:pPr>
              <w:autoSpaceDE w:val="0"/>
              <w:autoSpaceDN w:val="0"/>
              <w:adjustRightInd w:val="0"/>
              <w:rPr>
                <w:rFonts w:eastAsia="Calibri" w:cs="Arial"/>
                <w:color w:val="000000"/>
                <w:lang w:eastAsia="en-US"/>
              </w:rPr>
            </w:pPr>
            <w:r w:rsidRPr="005D7A6E">
              <w:rPr>
                <w:rFonts w:eastAsia="Calibri" w:cs="Arial"/>
                <w:color w:val="000000"/>
                <w:lang w:eastAsia="en-US"/>
              </w:rPr>
              <w:t>Business Rates</w:t>
            </w:r>
          </w:p>
        </w:tc>
        <w:tc>
          <w:tcPr>
            <w:tcW w:w="1559" w:type="dxa"/>
            <w:tcBorders>
              <w:top w:val="single" w:sz="4" w:space="0" w:color="auto"/>
              <w:bottom w:val="single" w:sz="4" w:space="0" w:color="auto"/>
            </w:tcBorders>
            <w:vAlign w:val="center"/>
          </w:tcPr>
          <w:p w14:paraId="5F5EF764" w14:textId="77777777" w:rsidR="00656B53"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236.738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459211" w14:textId="77777777" w:rsidR="00656B53"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252.868</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D016EBD" w14:textId="77777777" w:rsidR="00656B53"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16.130</w:t>
            </w:r>
          </w:p>
        </w:tc>
      </w:tr>
      <w:tr w:rsidR="00C92CD8" w14:paraId="21AD7603"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hideMark/>
          </w:tcPr>
          <w:p w14:paraId="3FF76BE0" w14:textId="77777777" w:rsidR="00656B53" w:rsidRPr="005D7A6E" w:rsidRDefault="004A7A82" w:rsidP="00E13849">
            <w:pPr>
              <w:autoSpaceDE w:val="0"/>
              <w:autoSpaceDN w:val="0"/>
              <w:adjustRightInd w:val="0"/>
              <w:rPr>
                <w:rFonts w:eastAsia="Calibri" w:cs="Arial"/>
                <w:color w:val="000000"/>
                <w:lang w:eastAsia="en-US"/>
              </w:rPr>
            </w:pPr>
            <w:r w:rsidRPr="005D7A6E">
              <w:rPr>
                <w:rFonts w:eastAsia="Calibri" w:cs="Arial"/>
                <w:color w:val="000000"/>
                <w:lang w:eastAsia="en-US"/>
              </w:rPr>
              <w:t>Council Tax</w:t>
            </w:r>
          </w:p>
        </w:tc>
        <w:tc>
          <w:tcPr>
            <w:tcW w:w="1559" w:type="dxa"/>
            <w:tcBorders>
              <w:top w:val="single" w:sz="4" w:space="0" w:color="auto"/>
              <w:bottom w:val="single" w:sz="4" w:space="0" w:color="auto"/>
            </w:tcBorders>
            <w:vAlign w:val="center"/>
          </w:tcPr>
          <w:p w14:paraId="11F2383C" w14:textId="77777777" w:rsidR="00656B53"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604.416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6410B2" w14:textId="77777777" w:rsidR="00656B53"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642.208</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DE1274C" w14:textId="77777777" w:rsidR="00656B53"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37.792</w:t>
            </w:r>
          </w:p>
        </w:tc>
      </w:tr>
      <w:tr w:rsidR="00C92CD8" w14:paraId="45144968"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hideMark/>
          </w:tcPr>
          <w:p w14:paraId="16951E0B" w14:textId="77777777" w:rsidR="00656B53" w:rsidRPr="005D7A6E" w:rsidRDefault="004A7A82" w:rsidP="00E13849">
            <w:pPr>
              <w:autoSpaceDE w:val="0"/>
              <w:autoSpaceDN w:val="0"/>
              <w:adjustRightInd w:val="0"/>
              <w:rPr>
                <w:rFonts w:eastAsia="Calibri" w:cs="Arial"/>
                <w:color w:val="000000"/>
                <w:lang w:eastAsia="en-US"/>
              </w:rPr>
            </w:pPr>
            <w:r w:rsidRPr="005D7A6E">
              <w:rPr>
                <w:rFonts w:eastAsia="Calibri" w:cs="Arial"/>
                <w:color w:val="000000"/>
                <w:lang w:eastAsia="en-US"/>
              </w:rPr>
              <w:t>Collection Fund</w:t>
            </w:r>
          </w:p>
        </w:tc>
        <w:tc>
          <w:tcPr>
            <w:tcW w:w="1559" w:type="dxa"/>
            <w:tcBorders>
              <w:top w:val="single" w:sz="4" w:space="0" w:color="auto"/>
              <w:bottom w:val="single" w:sz="4" w:space="0" w:color="auto"/>
            </w:tcBorders>
            <w:vAlign w:val="center"/>
          </w:tcPr>
          <w:p w14:paraId="71AE5460" w14:textId="77777777" w:rsidR="00656B53"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3.827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E7D28C" w14:textId="77777777" w:rsidR="00656B53"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-2.079</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3851F73" w14:textId="77777777" w:rsidR="00656B53"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-5.906</w:t>
            </w:r>
          </w:p>
        </w:tc>
      </w:tr>
      <w:tr w:rsidR="00C92CD8" w14:paraId="3292F946"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tcPr>
          <w:p w14:paraId="3650F153" w14:textId="77777777" w:rsidR="00656B53" w:rsidRPr="005D7A6E" w:rsidRDefault="004A7A82" w:rsidP="00E13849">
            <w:pPr>
              <w:autoSpaceDE w:val="0"/>
              <w:autoSpaceDN w:val="0"/>
              <w:adjustRightInd w:val="0"/>
              <w:rPr>
                <w:rFonts w:eastAsia="Calibri" w:cs="Arial"/>
                <w:color w:val="000000"/>
                <w:lang w:eastAsia="en-US"/>
              </w:rPr>
            </w:pPr>
            <w:r w:rsidRPr="00653A24">
              <w:rPr>
                <w:rFonts w:eastAsia="Calibri" w:cs="Arial"/>
                <w:b/>
                <w:bCs/>
                <w:i/>
                <w:iCs/>
                <w:color w:val="000000"/>
                <w:lang w:eastAsia="en-US"/>
              </w:rPr>
              <w:t>Sub-Total</w:t>
            </w:r>
          </w:p>
        </w:tc>
        <w:tc>
          <w:tcPr>
            <w:tcW w:w="1559" w:type="dxa"/>
            <w:tcBorders>
              <w:top w:val="single" w:sz="4" w:space="0" w:color="auto"/>
              <w:bottom w:val="single" w:sz="4" w:space="0" w:color="auto"/>
            </w:tcBorders>
            <w:vAlign w:val="center"/>
          </w:tcPr>
          <w:p w14:paraId="5A46CF1F" w14:textId="77777777" w:rsidR="00656B53" w:rsidRPr="00F07211" w:rsidRDefault="004A7A82" w:rsidP="00E13849">
            <w:pPr>
              <w:autoSpaceDE w:val="0"/>
              <w:autoSpaceDN w:val="0"/>
              <w:adjustRightInd w:val="0"/>
              <w:jc w:val="right"/>
              <w:rPr>
                <w:rFonts w:eastAsia="Calibri" w:cs="Arial"/>
                <w:b/>
                <w:bCs/>
                <w:i/>
                <w:iCs/>
                <w:color w:val="000000"/>
                <w:lang w:eastAsia="en-US"/>
              </w:rPr>
            </w:pPr>
            <w:r w:rsidRPr="00F07211">
              <w:rPr>
                <w:rFonts w:eastAsia="Calibri" w:cs="Arial"/>
                <w:b/>
                <w:bCs/>
                <w:i/>
                <w:iCs/>
                <w:color w:val="000000"/>
                <w:lang w:eastAsia="en-US"/>
              </w:rPr>
              <w:t>844.981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84CD86" w14:textId="77777777" w:rsidR="00656B53" w:rsidRPr="00F07211" w:rsidRDefault="004A7A82" w:rsidP="00E13849">
            <w:pPr>
              <w:autoSpaceDE w:val="0"/>
              <w:autoSpaceDN w:val="0"/>
              <w:adjustRightInd w:val="0"/>
              <w:jc w:val="right"/>
              <w:rPr>
                <w:rFonts w:eastAsia="Calibri" w:cs="Arial"/>
                <w:b/>
                <w:bCs/>
                <w:i/>
                <w:iCs/>
                <w:color w:val="000000"/>
                <w:lang w:eastAsia="en-US"/>
              </w:rPr>
            </w:pPr>
            <w:r>
              <w:rPr>
                <w:rFonts w:eastAsia="Calibri" w:cs="Arial"/>
                <w:b/>
                <w:bCs/>
                <w:i/>
                <w:iCs/>
                <w:color w:val="000000"/>
                <w:lang w:eastAsia="en-US"/>
              </w:rPr>
              <w:t>892.997</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6CD71C9" w14:textId="77777777" w:rsidR="00656B53" w:rsidRPr="00F07211" w:rsidRDefault="004A7A82" w:rsidP="00E13849">
            <w:pPr>
              <w:autoSpaceDE w:val="0"/>
              <w:autoSpaceDN w:val="0"/>
              <w:adjustRightInd w:val="0"/>
              <w:jc w:val="right"/>
              <w:rPr>
                <w:rFonts w:eastAsia="Calibri" w:cs="Arial"/>
                <w:b/>
                <w:bCs/>
                <w:i/>
                <w:iCs/>
                <w:color w:val="000000"/>
                <w:lang w:eastAsia="en-US"/>
              </w:rPr>
            </w:pPr>
            <w:r>
              <w:rPr>
                <w:rFonts w:eastAsia="Calibri" w:cs="Arial"/>
                <w:b/>
                <w:bCs/>
                <w:i/>
                <w:iCs/>
                <w:color w:val="000000"/>
                <w:lang w:eastAsia="en-US"/>
              </w:rPr>
              <w:t>48.016</w:t>
            </w:r>
          </w:p>
        </w:tc>
      </w:tr>
      <w:tr w:rsidR="00C92CD8" w14:paraId="7C320964"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tcPr>
          <w:p w14:paraId="4B71B052" w14:textId="77777777" w:rsidR="00656B53" w:rsidRPr="005D7A6E" w:rsidRDefault="00656B53" w:rsidP="00E13849">
            <w:pPr>
              <w:autoSpaceDE w:val="0"/>
              <w:autoSpaceDN w:val="0"/>
              <w:adjustRightInd w:val="0"/>
              <w:spacing w:after="120"/>
              <w:rPr>
                <w:rFonts w:eastAsia="Calibri" w:cs="Arial"/>
                <w:color w:val="000000"/>
                <w:lang w:eastAsia="en-US"/>
              </w:rPr>
            </w:pPr>
          </w:p>
        </w:tc>
        <w:tc>
          <w:tcPr>
            <w:tcW w:w="1559" w:type="dxa"/>
            <w:tcBorders>
              <w:top w:val="single" w:sz="4" w:space="0" w:color="auto"/>
              <w:bottom w:val="single" w:sz="4" w:space="0" w:color="auto"/>
            </w:tcBorders>
            <w:vAlign w:val="center"/>
          </w:tcPr>
          <w:p w14:paraId="638614FA" w14:textId="77777777" w:rsidR="00656B53" w:rsidRDefault="00656B53" w:rsidP="00E13849">
            <w:pPr>
              <w:autoSpaceDE w:val="0"/>
              <w:autoSpaceDN w:val="0"/>
              <w:adjustRightInd w:val="0"/>
              <w:jc w:val="right"/>
              <w:rPr>
                <w:rFonts w:eastAsia="Calibri" w:cs="Arial"/>
                <w:color w:val="00000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DF96D5" w14:textId="77777777" w:rsidR="00656B53" w:rsidRPr="005D7A6E" w:rsidRDefault="00656B53" w:rsidP="00E13849">
            <w:pPr>
              <w:autoSpaceDE w:val="0"/>
              <w:autoSpaceDN w:val="0"/>
              <w:adjustRightInd w:val="0"/>
              <w:jc w:val="right"/>
              <w:rPr>
                <w:rFonts w:eastAsia="Calibri" w:cs="Arial"/>
                <w:color w:val="000000"/>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1AA4552" w14:textId="77777777" w:rsidR="00656B53" w:rsidRDefault="00656B53" w:rsidP="00E13849">
            <w:pPr>
              <w:autoSpaceDE w:val="0"/>
              <w:autoSpaceDN w:val="0"/>
              <w:adjustRightInd w:val="0"/>
              <w:jc w:val="right"/>
              <w:rPr>
                <w:rFonts w:eastAsia="Calibri" w:cs="Arial"/>
                <w:color w:val="000000"/>
                <w:lang w:eastAsia="en-US"/>
              </w:rPr>
            </w:pPr>
          </w:p>
        </w:tc>
      </w:tr>
      <w:tr w:rsidR="00C92CD8" w14:paraId="2DA2AC8B"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tcPr>
          <w:p w14:paraId="269F40C9" w14:textId="77777777" w:rsidR="00656B53" w:rsidRPr="00653A24" w:rsidRDefault="004A7A82" w:rsidP="00E13849">
            <w:pPr>
              <w:autoSpaceDE w:val="0"/>
              <w:autoSpaceDN w:val="0"/>
              <w:adjustRightInd w:val="0"/>
              <w:rPr>
                <w:rFonts w:eastAsia="Calibri" w:cs="Arial"/>
                <w:b/>
                <w:bCs/>
                <w:i/>
                <w:iCs/>
                <w:color w:val="000000"/>
                <w:lang w:eastAsia="en-US"/>
              </w:rPr>
            </w:pPr>
            <w:r w:rsidRPr="00653A24">
              <w:rPr>
                <w:rFonts w:eastAsia="Calibri" w:cs="Arial"/>
                <w:b/>
                <w:bCs/>
                <w:i/>
                <w:iCs/>
                <w:color w:val="000000"/>
                <w:lang w:eastAsia="en-US"/>
              </w:rPr>
              <w:t>Other</w:t>
            </w:r>
          </w:p>
        </w:tc>
        <w:tc>
          <w:tcPr>
            <w:tcW w:w="1559" w:type="dxa"/>
            <w:tcBorders>
              <w:top w:val="single" w:sz="4" w:space="0" w:color="auto"/>
              <w:bottom w:val="single" w:sz="4" w:space="0" w:color="auto"/>
            </w:tcBorders>
            <w:vAlign w:val="center"/>
          </w:tcPr>
          <w:p w14:paraId="46851CFC" w14:textId="77777777" w:rsidR="00656B53" w:rsidRDefault="00656B53" w:rsidP="00E13849">
            <w:pPr>
              <w:autoSpaceDE w:val="0"/>
              <w:autoSpaceDN w:val="0"/>
              <w:adjustRightInd w:val="0"/>
              <w:jc w:val="right"/>
              <w:rPr>
                <w:rFonts w:eastAsia="Calibri" w:cs="Arial"/>
                <w:color w:val="00000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B5D1B3" w14:textId="77777777" w:rsidR="00656B53" w:rsidRPr="005D7A6E" w:rsidRDefault="00656B53" w:rsidP="00E13849">
            <w:pPr>
              <w:autoSpaceDE w:val="0"/>
              <w:autoSpaceDN w:val="0"/>
              <w:adjustRightInd w:val="0"/>
              <w:jc w:val="right"/>
              <w:rPr>
                <w:rFonts w:eastAsia="Calibri" w:cs="Arial"/>
                <w:color w:val="000000"/>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93ABE49" w14:textId="77777777" w:rsidR="00656B53" w:rsidRDefault="00656B53" w:rsidP="00E13849">
            <w:pPr>
              <w:autoSpaceDE w:val="0"/>
              <w:autoSpaceDN w:val="0"/>
              <w:adjustRightInd w:val="0"/>
              <w:jc w:val="right"/>
              <w:rPr>
                <w:rFonts w:eastAsia="Calibri" w:cs="Arial"/>
                <w:color w:val="000000"/>
                <w:lang w:eastAsia="en-US"/>
              </w:rPr>
            </w:pPr>
          </w:p>
        </w:tc>
      </w:tr>
      <w:tr w:rsidR="00C92CD8" w14:paraId="79B17CE5"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tcPr>
          <w:p w14:paraId="54C228E9" w14:textId="77777777" w:rsidR="00656B53" w:rsidRPr="005D7A6E" w:rsidRDefault="004A7A82" w:rsidP="00E13849">
            <w:pPr>
              <w:autoSpaceDE w:val="0"/>
              <w:autoSpaceDN w:val="0"/>
              <w:adjustRightInd w:val="0"/>
              <w:rPr>
                <w:rFonts w:eastAsia="Calibri" w:cs="Arial"/>
                <w:color w:val="000000"/>
                <w:lang w:eastAsia="en-US"/>
              </w:rPr>
            </w:pPr>
            <w:r w:rsidRPr="005D7A6E">
              <w:rPr>
                <w:rFonts w:eastAsia="Calibri" w:cs="Arial"/>
                <w:color w:val="000000"/>
                <w:lang w:eastAsia="en-US"/>
              </w:rPr>
              <w:t>Capital Receipts</w:t>
            </w:r>
          </w:p>
        </w:tc>
        <w:tc>
          <w:tcPr>
            <w:tcW w:w="1559" w:type="dxa"/>
            <w:tcBorders>
              <w:top w:val="single" w:sz="4" w:space="0" w:color="auto"/>
              <w:bottom w:val="single" w:sz="4" w:space="0" w:color="auto"/>
            </w:tcBorders>
            <w:vAlign w:val="center"/>
          </w:tcPr>
          <w:p w14:paraId="37A8595F" w14:textId="77777777" w:rsidR="00656B53"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796C79" w14:textId="77777777" w:rsidR="00656B53" w:rsidRPr="005D7A6E" w:rsidRDefault="004A7A82" w:rsidP="00E13849">
            <w:pPr>
              <w:autoSpaceDE w:val="0"/>
              <w:autoSpaceDN w:val="0"/>
              <w:adjustRightInd w:val="0"/>
              <w:jc w:val="right"/>
              <w:rPr>
                <w:rFonts w:eastAsia="Calibri" w:cs="Arial"/>
                <w:color w:val="000000"/>
                <w:lang w:eastAsia="en-US"/>
              </w:rPr>
            </w:pPr>
            <w:r w:rsidRPr="005D7A6E">
              <w:rPr>
                <w:rFonts w:eastAsia="Calibri" w:cs="Arial"/>
                <w:color w:val="000000"/>
                <w:lang w:eastAsia="en-US"/>
              </w:rPr>
              <w:t>5.000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D434B6D" w14:textId="77777777" w:rsidR="00656B53"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0.000</w:t>
            </w:r>
          </w:p>
        </w:tc>
      </w:tr>
      <w:tr w:rsidR="00C92CD8" w14:paraId="6C3E33D6"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tcPr>
          <w:p w14:paraId="29115767" w14:textId="77777777" w:rsidR="00656B53" w:rsidRPr="005D7A6E" w:rsidRDefault="004A7A82" w:rsidP="00E13849">
            <w:pPr>
              <w:autoSpaceDE w:val="0"/>
              <w:autoSpaceDN w:val="0"/>
              <w:adjustRightInd w:val="0"/>
              <w:rPr>
                <w:rFonts w:eastAsia="Calibri" w:cs="Arial"/>
                <w:color w:val="000000"/>
                <w:lang w:eastAsia="en-US"/>
              </w:rPr>
            </w:pPr>
            <w:r w:rsidRPr="00653A24">
              <w:rPr>
                <w:rFonts w:eastAsia="Calibri" w:cs="Arial"/>
                <w:b/>
                <w:bCs/>
                <w:i/>
                <w:iCs/>
                <w:color w:val="000000"/>
                <w:lang w:eastAsia="en-US"/>
              </w:rPr>
              <w:t>Sub-Total</w:t>
            </w:r>
          </w:p>
        </w:tc>
        <w:tc>
          <w:tcPr>
            <w:tcW w:w="1559" w:type="dxa"/>
            <w:tcBorders>
              <w:top w:val="single" w:sz="4" w:space="0" w:color="auto"/>
              <w:bottom w:val="single" w:sz="4" w:space="0" w:color="auto"/>
            </w:tcBorders>
            <w:vAlign w:val="center"/>
          </w:tcPr>
          <w:p w14:paraId="1952C7C9" w14:textId="77777777" w:rsidR="00656B53" w:rsidRPr="00F07211" w:rsidRDefault="004A7A82" w:rsidP="00E13849">
            <w:pPr>
              <w:autoSpaceDE w:val="0"/>
              <w:autoSpaceDN w:val="0"/>
              <w:adjustRightInd w:val="0"/>
              <w:jc w:val="right"/>
              <w:rPr>
                <w:rFonts w:eastAsia="Calibri" w:cs="Arial"/>
                <w:b/>
                <w:bCs/>
                <w:i/>
                <w:iCs/>
                <w:color w:val="000000"/>
                <w:lang w:eastAsia="en-US"/>
              </w:rPr>
            </w:pPr>
            <w:r w:rsidRPr="00F07211">
              <w:rPr>
                <w:rFonts w:eastAsia="Calibri" w:cs="Arial"/>
                <w:b/>
                <w:bCs/>
                <w:i/>
                <w:iCs/>
                <w:color w:val="000000"/>
                <w:lang w:eastAsia="en-US"/>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C73ACC" w14:textId="77777777" w:rsidR="00656B53" w:rsidRPr="00F07211" w:rsidRDefault="004A7A82" w:rsidP="00E13849">
            <w:pPr>
              <w:autoSpaceDE w:val="0"/>
              <w:autoSpaceDN w:val="0"/>
              <w:adjustRightInd w:val="0"/>
              <w:jc w:val="right"/>
              <w:rPr>
                <w:rFonts w:eastAsia="Calibri" w:cs="Arial"/>
                <w:b/>
                <w:bCs/>
                <w:i/>
                <w:iCs/>
                <w:color w:val="000000"/>
                <w:lang w:eastAsia="en-US"/>
              </w:rPr>
            </w:pPr>
            <w:r w:rsidRPr="00F07211">
              <w:rPr>
                <w:rFonts w:eastAsia="Calibri" w:cs="Arial"/>
                <w:b/>
                <w:bCs/>
                <w:i/>
                <w:iCs/>
                <w:color w:val="000000"/>
                <w:lang w:eastAsia="en-US"/>
              </w:rPr>
              <w:t>5.000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127503E" w14:textId="77777777" w:rsidR="00656B53" w:rsidRPr="00F07211" w:rsidRDefault="004A7A82" w:rsidP="00E13849">
            <w:pPr>
              <w:autoSpaceDE w:val="0"/>
              <w:autoSpaceDN w:val="0"/>
              <w:adjustRightInd w:val="0"/>
              <w:jc w:val="right"/>
              <w:rPr>
                <w:rFonts w:eastAsia="Calibri" w:cs="Arial"/>
                <w:b/>
                <w:bCs/>
                <w:i/>
                <w:iCs/>
                <w:color w:val="000000"/>
                <w:lang w:eastAsia="en-US"/>
              </w:rPr>
            </w:pPr>
            <w:r w:rsidRPr="00F07211">
              <w:rPr>
                <w:rFonts w:eastAsia="Calibri" w:cs="Arial"/>
                <w:b/>
                <w:bCs/>
                <w:i/>
                <w:iCs/>
                <w:color w:val="000000"/>
                <w:lang w:eastAsia="en-US"/>
              </w:rPr>
              <w:t>0.000</w:t>
            </w:r>
          </w:p>
        </w:tc>
      </w:tr>
      <w:tr w:rsidR="00C92CD8" w14:paraId="7E1D3708"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tcPr>
          <w:p w14:paraId="2957865D" w14:textId="77777777" w:rsidR="00656B53" w:rsidRPr="005D7A6E" w:rsidRDefault="00656B53" w:rsidP="00E13849">
            <w:pPr>
              <w:autoSpaceDE w:val="0"/>
              <w:autoSpaceDN w:val="0"/>
              <w:adjustRightInd w:val="0"/>
              <w:spacing w:after="120"/>
              <w:rPr>
                <w:rFonts w:eastAsia="Calibri" w:cs="Arial"/>
                <w:color w:val="000000"/>
                <w:lang w:eastAsia="en-US"/>
              </w:rPr>
            </w:pPr>
          </w:p>
        </w:tc>
        <w:tc>
          <w:tcPr>
            <w:tcW w:w="1559" w:type="dxa"/>
            <w:tcBorders>
              <w:top w:val="single" w:sz="4" w:space="0" w:color="auto"/>
              <w:bottom w:val="single" w:sz="4" w:space="0" w:color="auto"/>
            </w:tcBorders>
            <w:vAlign w:val="center"/>
          </w:tcPr>
          <w:p w14:paraId="1DCA6DBC" w14:textId="77777777" w:rsidR="00656B53" w:rsidRDefault="00656B53" w:rsidP="00E13849">
            <w:pPr>
              <w:autoSpaceDE w:val="0"/>
              <w:autoSpaceDN w:val="0"/>
              <w:adjustRightInd w:val="0"/>
              <w:jc w:val="right"/>
              <w:rPr>
                <w:rFonts w:eastAsia="Calibri" w:cs="Arial"/>
                <w:color w:val="00000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E097DD" w14:textId="77777777" w:rsidR="00656B53" w:rsidRPr="005D7A6E" w:rsidRDefault="00656B53" w:rsidP="00E13849">
            <w:pPr>
              <w:autoSpaceDE w:val="0"/>
              <w:autoSpaceDN w:val="0"/>
              <w:adjustRightInd w:val="0"/>
              <w:jc w:val="right"/>
              <w:rPr>
                <w:rFonts w:eastAsia="Calibri" w:cs="Arial"/>
                <w:color w:val="000000"/>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82EFFEF" w14:textId="77777777" w:rsidR="00656B53" w:rsidRDefault="00656B53" w:rsidP="00E13849">
            <w:pPr>
              <w:autoSpaceDE w:val="0"/>
              <w:autoSpaceDN w:val="0"/>
              <w:adjustRightInd w:val="0"/>
              <w:jc w:val="right"/>
              <w:rPr>
                <w:rFonts w:eastAsia="Calibri" w:cs="Arial"/>
                <w:color w:val="000000"/>
                <w:lang w:eastAsia="en-US"/>
              </w:rPr>
            </w:pPr>
          </w:p>
        </w:tc>
      </w:tr>
      <w:tr w:rsidR="00C92CD8" w14:paraId="2E6EC5A5"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BFBFBF"/>
            <w:vAlign w:val="center"/>
          </w:tcPr>
          <w:p w14:paraId="41D52B7C" w14:textId="77777777" w:rsidR="00656B53" w:rsidRPr="005D7A6E" w:rsidRDefault="004A7A82" w:rsidP="00E13849">
            <w:pPr>
              <w:autoSpaceDE w:val="0"/>
              <w:autoSpaceDN w:val="0"/>
              <w:adjustRightInd w:val="0"/>
              <w:jc w:val="both"/>
              <w:rPr>
                <w:rFonts w:eastAsia="Calibri" w:cs="Arial"/>
                <w:b/>
                <w:color w:val="000000"/>
                <w:lang w:eastAsia="en-US"/>
              </w:rPr>
            </w:pPr>
            <w:r w:rsidRPr="005D7A6E">
              <w:rPr>
                <w:rFonts w:eastAsia="Calibri" w:cs="Arial"/>
                <w:b/>
                <w:color w:val="000000"/>
                <w:lang w:eastAsia="en-US"/>
              </w:rPr>
              <w:t>Total</w:t>
            </w:r>
          </w:p>
        </w:tc>
        <w:tc>
          <w:tcPr>
            <w:tcW w:w="1559" w:type="dxa"/>
            <w:tcBorders>
              <w:top w:val="single" w:sz="4" w:space="0" w:color="auto"/>
              <w:bottom w:val="single" w:sz="4" w:space="0" w:color="auto"/>
            </w:tcBorders>
            <w:shd w:val="clear" w:color="auto" w:fill="BFBFBF"/>
            <w:vAlign w:val="center"/>
          </w:tcPr>
          <w:p w14:paraId="29F21E5F" w14:textId="77777777" w:rsidR="00656B53" w:rsidRPr="005D7A6E" w:rsidRDefault="004A7A82" w:rsidP="00E13849">
            <w:pPr>
              <w:autoSpaceDE w:val="0"/>
              <w:autoSpaceDN w:val="0"/>
              <w:adjustRightInd w:val="0"/>
              <w:jc w:val="right"/>
              <w:rPr>
                <w:rFonts w:eastAsia="Times New Roman" w:cs="Arial"/>
                <w:b/>
                <w:bCs/>
                <w:color w:val="000000"/>
                <w:lang w:eastAsia="en-US"/>
              </w:rPr>
            </w:pPr>
            <w:r>
              <w:rPr>
                <w:rFonts w:eastAsia="Times New Roman" w:cs="Arial"/>
                <w:b/>
                <w:bCs/>
                <w:color w:val="000000"/>
                <w:lang w:eastAsia="en-US"/>
              </w:rPr>
              <w:t>1039.046</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14:paraId="4883F2AF" w14:textId="77777777" w:rsidR="00656B53" w:rsidRPr="005D7A6E" w:rsidRDefault="004A7A82" w:rsidP="00E13849">
            <w:pPr>
              <w:autoSpaceDE w:val="0"/>
              <w:autoSpaceDN w:val="0"/>
              <w:adjustRightInd w:val="0"/>
              <w:jc w:val="right"/>
              <w:rPr>
                <w:rFonts w:eastAsia="Times New Roman" w:cs="Arial"/>
                <w:b/>
                <w:bCs/>
                <w:color w:val="000000"/>
                <w:lang w:eastAsia="en-US"/>
              </w:rPr>
            </w:pPr>
            <w:r>
              <w:rPr>
                <w:rFonts w:eastAsia="Times New Roman" w:cs="Arial"/>
                <w:b/>
                <w:bCs/>
                <w:color w:val="000000"/>
                <w:lang w:eastAsia="en-US"/>
              </w:rPr>
              <w:t>1,111.754</w:t>
            </w:r>
          </w:p>
        </w:tc>
        <w:tc>
          <w:tcPr>
            <w:tcW w:w="1702" w:type="dxa"/>
            <w:tcBorders>
              <w:top w:val="single" w:sz="4" w:space="0" w:color="auto"/>
              <w:left w:val="single" w:sz="4" w:space="0" w:color="auto"/>
              <w:bottom w:val="single" w:sz="4" w:space="0" w:color="auto"/>
              <w:right w:val="single" w:sz="4" w:space="0" w:color="auto"/>
            </w:tcBorders>
            <w:shd w:val="clear" w:color="auto" w:fill="BFBFBF"/>
            <w:vAlign w:val="center"/>
          </w:tcPr>
          <w:p w14:paraId="09020B0E" w14:textId="77777777" w:rsidR="00656B53" w:rsidRPr="005D7A6E" w:rsidRDefault="004A7A82" w:rsidP="00E13849">
            <w:pPr>
              <w:autoSpaceDE w:val="0"/>
              <w:autoSpaceDN w:val="0"/>
              <w:adjustRightInd w:val="0"/>
              <w:jc w:val="right"/>
              <w:rPr>
                <w:rFonts w:eastAsia="Times New Roman" w:cs="Arial"/>
                <w:b/>
                <w:bCs/>
                <w:color w:val="000000"/>
                <w:lang w:eastAsia="en-US"/>
              </w:rPr>
            </w:pPr>
            <w:r>
              <w:rPr>
                <w:rFonts w:eastAsia="Times New Roman" w:cs="Arial"/>
                <w:b/>
                <w:bCs/>
                <w:color w:val="000000"/>
                <w:lang w:eastAsia="en-US"/>
              </w:rPr>
              <w:t>72.708</w:t>
            </w:r>
          </w:p>
        </w:tc>
      </w:tr>
    </w:tbl>
    <w:p w14:paraId="1E3EC037" w14:textId="77777777" w:rsidR="00656B53" w:rsidRDefault="00656B53" w:rsidP="1296B87A">
      <w:pPr>
        <w:ind w:left="720" w:hanging="720"/>
        <w:jc w:val="both"/>
        <w:rPr>
          <w:rFonts w:cs="Arial"/>
          <w:b/>
          <w:bCs/>
          <w:i/>
          <w:iCs/>
          <w:u w:val="single"/>
        </w:rPr>
      </w:pPr>
    </w:p>
    <w:p w14:paraId="0A11727B" w14:textId="584839A2" w:rsidR="0062698C" w:rsidRDefault="0062698C" w:rsidP="1296B87A">
      <w:pPr>
        <w:ind w:left="720" w:hanging="720"/>
        <w:jc w:val="both"/>
        <w:rPr>
          <w:rFonts w:cs="Arial"/>
          <w:b/>
          <w:bCs/>
          <w:i/>
          <w:iCs/>
          <w:u w:val="single"/>
        </w:rPr>
      </w:pPr>
    </w:p>
    <w:p w14:paraId="7F1E6CCB" w14:textId="1A30B30D" w:rsidR="00257F45" w:rsidRDefault="00257F45" w:rsidP="00DF5410">
      <w:pPr>
        <w:jc w:val="both"/>
        <w:rPr>
          <w:rFonts w:cs="Arial"/>
        </w:rPr>
      </w:pPr>
    </w:p>
    <w:p w14:paraId="462CD35E" w14:textId="7357B199" w:rsidR="00257F45" w:rsidRDefault="00257F45" w:rsidP="00DF5410">
      <w:pPr>
        <w:jc w:val="both"/>
        <w:rPr>
          <w:rFonts w:cs="Arial"/>
        </w:rPr>
      </w:pPr>
    </w:p>
    <w:p w14:paraId="10856410" w14:textId="69E2894F" w:rsidR="00257F45" w:rsidRDefault="00257F45" w:rsidP="00DF5410">
      <w:pPr>
        <w:jc w:val="both"/>
        <w:rPr>
          <w:rFonts w:cs="Arial"/>
        </w:rPr>
      </w:pPr>
    </w:p>
    <w:p w14:paraId="3B10761E" w14:textId="157EAED7" w:rsidR="00257F45" w:rsidRDefault="00257F45" w:rsidP="00DF5410">
      <w:pPr>
        <w:jc w:val="both"/>
        <w:rPr>
          <w:rFonts w:cs="Arial"/>
        </w:rPr>
      </w:pPr>
    </w:p>
    <w:p w14:paraId="14F55DCF" w14:textId="25F3D07B" w:rsidR="00257F45" w:rsidRDefault="00257F45" w:rsidP="00DF5410">
      <w:pPr>
        <w:jc w:val="both"/>
        <w:rPr>
          <w:rFonts w:cs="Arial"/>
        </w:rPr>
      </w:pPr>
    </w:p>
    <w:p w14:paraId="75F7F7E3" w14:textId="2B2DE643" w:rsidR="00257F45" w:rsidRDefault="00257F45" w:rsidP="00DF5410">
      <w:pPr>
        <w:jc w:val="both"/>
        <w:rPr>
          <w:rFonts w:cs="Arial"/>
        </w:rPr>
      </w:pPr>
    </w:p>
    <w:p w14:paraId="6EBB11F4" w14:textId="49001F90" w:rsidR="00257F45" w:rsidRDefault="00257F45" w:rsidP="00DF5410">
      <w:pPr>
        <w:jc w:val="both"/>
        <w:rPr>
          <w:rFonts w:cs="Arial"/>
        </w:rPr>
      </w:pPr>
    </w:p>
    <w:p w14:paraId="12E1FA75" w14:textId="735B688F" w:rsidR="00257F45" w:rsidRDefault="00257F45" w:rsidP="00DF5410">
      <w:pPr>
        <w:jc w:val="both"/>
        <w:rPr>
          <w:rFonts w:cs="Arial"/>
        </w:rPr>
      </w:pPr>
    </w:p>
    <w:p w14:paraId="447EDC1C" w14:textId="53F4F231" w:rsidR="00257F45" w:rsidRDefault="00257F45" w:rsidP="00DF5410">
      <w:pPr>
        <w:jc w:val="both"/>
        <w:rPr>
          <w:rFonts w:cs="Arial"/>
        </w:rPr>
      </w:pPr>
    </w:p>
    <w:p w14:paraId="5DFA008B" w14:textId="7CA65129" w:rsidR="00257F45" w:rsidRDefault="004A7A82" w:rsidP="00257F45">
      <w:pPr>
        <w:ind w:left="720" w:hanging="720"/>
        <w:jc w:val="both"/>
        <w:rPr>
          <w:rFonts w:cs="Arial"/>
        </w:rPr>
      </w:pPr>
      <w:r w:rsidRPr="1296B87A">
        <w:rPr>
          <w:rFonts w:cs="Arial"/>
        </w:rPr>
        <w:lastRenderedPageBreak/>
        <w:t>3.</w:t>
      </w:r>
      <w:r w:rsidR="00D042C7">
        <w:rPr>
          <w:rFonts w:cs="Arial"/>
        </w:rPr>
        <w:t>5</w:t>
      </w:r>
      <w:r>
        <w:tab/>
      </w:r>
      <w:r w:rsidRPr="1296B87A">
        <w:rPr>
          <w:rFonts w:cs="Arial"/>
        </w:rPr>
        <w:t>The report explains the challenges and changes to the budget required over future financial years</w:t>
      </w:r>
      <w:r w:rsidR="00167E9F" w:rsidRPr="1296B87A">
        <w:rPr>
          <w:rFonts w:cs="Arial"/>
        </w:rPr>
        <w:t xml:space="preserve">, with the table below presenting a summary of changes to the budget since 2023/24 with more details provided </w:t>
      </w:r>
      <w:r w:rsidR="00C80255">
        <w:rPr>
          <w:rFonts w:cs="Arial"/>
        </w:rPr>
        <w:t xml:space="preserve">in the following section. </w:t>
      </w:r>
      <w:r w:rsidR="00167E9F" w:rsidRPr="1296B87A">
        <w:rPr>
          <w:rFonts w:cs="Arial"/>
        </w:rPr>
        <w:t xml:space="preserve"> </w:t>
      </w:r>
    </w:p>
    <w:p w14:paraId="61AD8608" w14:textId="77777777" w:rsidR="00DF5410" w:rsidRDefault="00DF5410" w:rsidP="00DF5410">
      <w:pPr>
        <w:jc w:val="both"/>
        <w:rPr>
          <w:rFonts w:cs="Arial"/>
        </w:rPr>
      </w:pPr>
    </w:p>
    <w:p w14:paraId="3180AB2F" w14:textId="6B3D5665" w:rsidR="00DF5410" w:rsidRDefault="004A7A82" w:rsidP="00167E9F">
      <w:pPr>
        <w:ind w:left="720" w:hanging="720"/>
        <w:jc w:val="both"/>
        <w:rPr>
          <w:rFonts w:cs="Arial"/>
        </w:rPr>
      </w:pPr>
      <w:r w:rsidRPr="1296B87A">
        <w:rPr>
          <w:rFonts w:cs="Arial"/>
          <w:b/>
          <w:bCs/>
          <w:i/>
          <w:iCs/>
          <w:u w:val="single"/>
        </w:rPr>
        <w:t xml:space="preserve">Table </w:t>
      </w:r>
      <w:r w:rsidR="00C31EE8">
        <w:rPr>
          <w:rFonts w:cs="Arial"/>
          <w:b/>
          <w:bCs/>
          <w:i/>
          <w:iCs/>
          <w:u w:val="single"/>
        </w:rPr>
        <w:t>3</w:t>
      </w:r>
    </w:p>
    <w:p w14:paraId="437B5AE2" w14:textId="684C729E" w:rsidR="00167E9F" w:rsidRDefault="00167E9F" w:rsidP="00DF5410">
      <w:pPr>
        <w:jc w:val="both"/>
        <w:rPr>
          <w:rFonts w:cs="Arial"/>
        </w:rPr>
      </w:pPr>
    </w:p>
    <w:tbl>
      <w:tblPr>
        <w:tblW w:w="9022" w:type="dxa"/>
        <w:tblInd w:w="113" w:type="dxa"/>
        <w:tblLook w:val="04A0" w:firstRow="1" w:lastRow="0" w:firstColumn="1" w:lastColumn="0" w:noHBand="0" w:noVBand="1"/>
      </w:tblPr>
      <w:tblGrid>
        <w:gridCol w:w="3157"/>
        <w:gridCol w:w="1955"/>
        <w:gridCol w:w="1955"/>
        <w:gridCol w:w="1955"/>
      </w:tblGrid>
      <w:tr w:rsidR="00C92CD8" w14:paraId="703241FC" w14:textId="77777777" w:rsidTr="33D0C1D4">
        <w:trPr>
          <w:trHeight w:val="315"/>
        </w:trPr>
        <w:tc>
          <w:tcPr>
            <w:tcW w:w="3157" w:type="dxa"/>
            <w:tcBorders>
              <w:top w:val="single" w:sz="4" w:space="0" w:color="auto"/>
              <w:left w:val="single" w:sz="4" w:space="0" w:color="auto"/>
              <w:bottom w:val="nil"/>
              <w:right w:val="nil"/>
            </w:tcBorders>
            <w:shd w:val="clear" w:color="auto" w:fill="D9D9D9" w:themeFill="background1" w:themeFillShade="D9"/>
            <w:noWrap/>
            <w:vAlign w:val="bottom"/>
            <w:hideMark/>
          </w:tcPr>
          <w:p w14:paraId="73E7983A" w14:textId="77777777" w:rsidR="00FB6D6C" w:rsidRPr="006C53B4" w:rsidRDefault="004A7A82">
            <w:pPr>
              <w:rPr>
                <w:rFonts w:eastAsia="Times New Roman" w:cs="Arial"/>
                <w:color w:val="000000"/>
              </w:rPr>
            </w:pPr>
            <w:r w:rsidRPr="006C53B4">
              <w:rPr>
                <w:rFonts w:eastAsia="Times New Roman" w:cs="Arial"/>
                <w:color w:val="000000"/>
              </w:rPr>
              <w:t> </w:t>
            </w:r>
          </w:p>
        </w:tc>
        <w:tc>
          <w:tcPr>
            <w:tcW w:w="1955"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16C7CEAD" w14:textId="77777777" w:rsidR="00FB6D6C" w:rsidRPr="006C53B4" w:rsidRDefault="004A7A82">
            <w:pPr>
              <w:jc w:val="center"/>
              <w:rPr>
                <w:rFonts w:eastAsia="Times New Roman" w:cs="Arial"/>
                <w:b/>
                <w:bCs/>
                <w:color w:val="000000"/>
              </w:rPr>
            </w:pPr>
            <w:r w:rsidRPr="006C53B4">
              <w:rPr>
                <w:rFonts w:eastAsia="Times New Roman" w:cs="Arial"/>
                <w:b/>
                <w:bCs/>
                <w:color w:val="000000"/>
              </w:rPr>
              <w:t>2024/25</w:t>
            </w:r>
          </w:p>
        </w:tc>
        <w:tc>
          <w:tcPr>
            <w:tcW w:w="1955" w:type="dxa"/>
            <w:tcBorders>
              <w:top w:val="single" w:sz="4" w:space="0" w:color="auto"/>
              <w:left w:val="nil"/>
              <w:bottom w:val="nil"/>
              <w:right w:val="single" w:sz="4" w:space="0" w:color="auto"/>
            </w:tcBorders>
            <w:shd w:val="clear" w:color="auto" w:fill="D9D9D9" w:themeFill="background1" w:themeFillShade="D9"/>
            <w:noWrap/>
            <w:vAlign w:val="bottom"/>
            <w:hideMark/>
          </w:tcPr>
          <w:p w14:paraId="0A508204" w14:textId="77777777" w:rsidR="00FB6D6C" w:rsidRPr="006C53B4" w:rsidRDefault="004A7A82">
            <w:pPr>
              <w:jc w:val="center"/>
              <w:rPr>
                <w:rFonts w:eastAsia="Times New Roman" w:cs="Arial"/>
                <w:b/>
                <w:bCs/>
                <w:color w:val="000000"/>
              </w:rPr>
            </w:pPr>
            <w:r w:rsidRPr="006C53B4">
              <w:rPr>
                <w:rFonts w:eastAsia="Times New Roman" w:cs="Arial"/>
                <w:b/>
                <w:bCs/>
                <w:color w:val="000000"/>
              </w:rPr>
              <w:t xml:space="preserve"> 2025/26 </w:t>
            </w:r>
          </w:p>
        </w:tc>
        <w:tc>
          <w:tcPr>
            <w:tcW w:w="1955" w:type="dxa"/>
            <w:tcBorders>
              <w:top w:val="single" w:sz="4" w:space="0" w:color="auto"/>
              <w:left w:val="nil"/>
              <w:bottom w:val="nil"/>
              <w:right w:val="single" w:sz="4" w:space="0" w:color="auto"/>
            </w:tcBorders>
            <w:shd w:val="clear" w:color="auto" w:fill="D9D9D9" w:themeFill="background1" w:themeFillShade="D9"/>
            <w:noWrap/>
            <w:vAlign w:val="bottom"/>
            <w:hideMark/>
          </w:tcPr>
          <w:p w14:paraId="4D988BA6" w14:textId="77777777" w:rsidR="00FB6D6C" w:rsidRPr="006C53B4" w:rsidRDefault="004A7A82">
            <w:pPr>
              <w:jc w:val="center"/>
              <w:rPr>
                <w:rFonts w:eastAsia="Times New Roman" w:cs="Arial"/>
                <w:b/>
                <w:bCs/>
                <w:color w:val="000000"/>
              </w:rPr>
            </w:pPr>
            <w:r w:rsidRPr="006C53B4">
              <w:rPr>
                <w:rFonts w:eastAsia="Times New Roman" w:cs="Arial"/>
                <w:b/>
                <w:bCs/>
                <w:color w:val="000000"/>
              </w:rPr>
              <w:t xml:space="preserve"> 2026/27 </w:t>
            </w:r>
          </w:p>
        </w:tc>
      </w:tr>
      <w:tr w:rsidR="00C92CD8" w14:paraId="391ADF38" w14:textId="77777777" w:rsidTr="33D0C1D4">
        <w:trPr>
          <w:trHeight w:val="315"/>
        </w:trPr>
        <w:tc>
          <w:tcPr>
            <w:tcW w:w="3157" w:type="dxa"/>
            <w:tcBorders>
              <w:top w:val="nil"/>
              <w:left w:val="single" w:sz="4" w:space="0" w:color="auto"/>
              <w:bottom w:val="single" w:sz="4" w:space="0" w:color="auto"/>
              <w:right w:val="nil"/>
            </w:tcBorders>
            <w:shd w:val="clear" w:color="auto" w:fill="D9D9D9" w:themeFill="background1" w:themeFillShade="D9"/>
            <w:noWrap/>
            <w:vAlign w:val="bottom"/>
            <w:hideMark/>
          </w:tcPr>
          <w:p w14:paraId="531A42DA" w14:textId="77777777" w:rsidR="00FB6D6C" w:rsidRPr="006C53B4" w:rsidRDefault="004A7A82">
            <w:pPr>
              <w:rPr>
                <w:rFonts w:eastAsia="Times New Roman" w:cs="Arial"/>
                <w:color w:val="000000"/>
              </w:rPr>
            </w:pPr>
            <w:r w:rsidRPr="006C53B4">
              <w:rPr>
                <w:rFonts w:eastAsia="Times New Roman" w:cs="Arial"/>
                <w:color w:val="000000"/>
              </w:rPr>
              <w:t> </w:t>
            </w:r>
          </w:p>
        </w:tc>
        <w:tc>
          <w:tcPr>
            <w:tcW w:w="195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1838B06" w14:textId="77777777" w:rsidR="00FB6D6C" w:rsidRPr="006C53B4" w:rsidRDefault="004A7A82">
            <w:pPr>
              <w:jc w:val="center"/>
              <w:rPr>
                <w:rFonts w:eastAsia="Times New Roman" w:cs="Arial"/>
                <w:b/>
                <w:bCs/>
                <w:color w:val="000000"/>
              </w:rPr>
            </w:pPr>
            <w:r w:rsidRPr="006C53B4">
              <w:rPr>
                <w:rFonts w:eastAsia="Times New Roman" w:cs="Arial"/>
                <w:b/>
                <w:bCs/>
                <w:color w:val="000000"/>
              </w:rPr>
              <w:t xml:space="preserve"> £m </w:t>
            </w:r>
          </w:p>
        </w:tc>
        <w:tc>
          <w:tcPr>
            <w:tcW w:w="1955" w:type="dxa"/>
            <w:tcBorders>
              <w:top w:val="nil"/>
              <w:left w:val="nil"/>
              <w:bottom w:val="single" w:sz="4" w:space="0" w:color="auto"/>
              <w:right w:val="single" w:sz="4" w:space="0" w:color="auto"/>
            </w:tcBorders>
            <w:shd w:val="clear" w:color="auto" w:fill="D9D9D9" w:themeFill="background1" w:themeFillShade="D9"/>
            <w:noWrap/>
            <w:vAlign w:val="bottom"/>
            <w:hideMark/>
          </w:tcPr>
          <w:p w14:paraId="1E793940" w14:textId="77777777" w:rsidR="00FB6D6C" w:rsidRPr="006C53B4" w:rsidRDefault="004A7A82">
            <w:pPr>
              <w:jc w:val="center"/>
              <w:rPr>
                <w:rFonts w:eastAsia="Times New Roman" w:cs="Arial"/>
                <w:b/>
                <w:bCs/>
                <w:color w:val="000000"/>
              </w:rPr>
            </w:pPr>
            <w:r w:rsidRPr="006C53B4">
              <w:rPr>
                <w:rFonts w:eastAsia="Times New Roman" w:cs="Arial"/>
                <w:b/>
                <w:bCs/>
                <w:color w:val="000000"/>
              </w:rPr>
              <w:t xml:space="preserve"> £m </w:t>
            </w:r>
          </w:p>
        </w:tc>
        <w:tc>
          <w:tcPr>
            <w:tcW w:w="1955" w:type="dxa"/>
            <w:tcBorders>
              <w:top w:val="nil"/>
              <w:left w:val="nil"/>
              <w:bottom w:val="single" w:sz="4" w:space="0" w:color="auto"/>
              <w:right w:val="single" w:sz="4" w:space="0" w:color="auto"/>
            </w:tcBorders>
            <w:shd w:val="clear" w:color="auto" w:fill="D9D9D9" w:themeFill="background1" w:themeFillShade="D9"/>
            <w:noWrap/>
            <w:vAlign w:val="bottom"/>
            <w:hideMark/>
          </w:tcPr>
          <w:p w14:paraId="2B961E73" w14:textId="77777777" w:rsidR="00FB6D6C" w:rsidRPr="006C53B4" w:rsidRDefault="004A7A82">
            <w:pPr>
              <w:jc w:val="center"/>
              <w:rPr>
                <w:rFonts w:eastAsia="Times New Roman" w:cs="Arial"/>
                <w:b/>
                <w:bCs/>
                <w:color w:val="000000"/>
              </w:rPr>
            </w:pPr>
            <w:r w:rsidRPr="006C53B4">
              <w:rPr>
                <w:rFonts w:eastAsia="Times New Roman" w:cs="Arial"/>
                <w:b/>
                <w:bCs/>
                <w:color w:val="000000"/>
              </w:rPr>
              <w:t xml:space="preserve"> £m </w:t>
            </w:r>
          </w:p>
        </w:tc>
      </w:tr>
      <w:tr w:rsidR="00C92CD8" w14:paraId="001DE0BE" w14:textId="77777777" w:rsidTr="00167E9F">
        <w:trPr>
          <w:trHeight w:val="315"/>
        </w:trPr>
        <w:tc>
          <w:tcPr>
            <w:tcW w:w="3157" w:type="dxa"/>
            <w:tcBorders>
              <w:top w:val="nil"/>
              <w:left w:val="single" w:sz="4" w:space="0" w:color="auto"/>
              <w:bottom w:val="single" w:sz="4" w:space="0" w:color="auto"/>
              <w:right w:val="nil"/>
            </w:tcBorders>
            <w:shd w:val="clear" w:color="auto" w:fill="auto"/>
            <w:noWrap/>
            <w:vAlign w:val="center"/>
          </w:tcPr>
          <w:p w14:paraId="56F23F15" w14:textId="77777777" w:rsidR="00FB6D6C" w:rsidRPr="006C53B4" w:rsidRDefault="004A7A82" w:rsidP="00167E9F">
            <w:pPr>
              <w:rPr>
                <w:rFonts w:eastAsia="Times New Roman" w:cs="Arial"/>
                <w:b/>
                <w:bCs/>
                <w:color w:val="000000"/>
              </w:rPr>
            </w:pPr>
            <w:r>
              <w:rPr>
                <w:rFonts w:eastAsia="Times New Roman" w:cs="Arial"/>
                <w:b/>
                <w:bCs/>
                <w:color w:val="000000"/>
              </w:rPr>
              <w:t>2023/24 base budget</w:t>
            </w:r>
          </w:p>
        </w:tc>
        <w:tc>
          <w:tcPr>
            <w:tcW w:w="1955" w:type="dxa"/>
            <w:tcBorders>
              <w:top w:val="nil"/>
              <w:left w:val="single" w:sz="4" w:space="0" w:color="auto"/>
              <w:bottom w:val="single" w:sz="4" w:space="0" w:color="auto"/>
              <w:right w:val="single" w:sz="4" w:space="0" w:color="auto"/>
            </w:tcBorders>
            <w:shd w:val="clear" w:color="auto" w:fill="auto"/>
            <w:noWrap/>
            <w:vAlign w:val="center"/>
          </w:tcPr>
          <w:p w14:paraId="266AFD5E" w14:textId="77777777" w:rsidR="00FB6D6C" w:rsidRPr="006C53B4" w:rsidRDefault="004A7A82">
            <w:pPr>
              <w:jc w:val="right"/>
              <w:rPr>
                <w:rFonts w:eastAsia="Times New Roman" w:cs="Arial"/>
                <w:color w:val="000000"/>
              </w:rPr>
            </w:pPr>
            <w:r>
              <w:rPr>
                <w:rFonts w:eastAsia="Times New Roman" w:cs="Arial"/>
                <w:color w:val="000000"/>
              </w:rPr>
              <w:t>1047.981</w:t>
            </w:r>
          </w:p>
        </w:tc>
        <w:tc>
          <w:tcPr>
            <w:tcW w:w="1955" w:type="dxa"/>
            <w:tcBorders>
              <w:top w:val="nil"/>
              <w:left w:val="nil"/>
              <w:bottom w:val="single" w:sz="4" w:space="0" w:color="auto"/>
              <w:right w:val="single" w:sz="4" w:space="0" w:color="auto"/>
            </w:tcBorders>
            <w:shd w:val="clear" w:color="auto" w:fill="auto"/>
            <w:noWrap/>
            <w:vAlign w:val="center"/>
          </w:tcPr>
          <w:p w14:paraId="7186D8D6" w14:textId="77777777" w:rsidR="00FB6D6C" w:rsidRPr="006C53B4" w:rsidRDefault="00FB6D6C">
            <w:pPr>
              <w:jc w:val="right"/>
              <w:rPr>
                <w:rFonts w:eastAsia="Times New Roman" w:cs="Arial"/>
                <w:color w:val="000000"/>
              </w:rPr>
            </w:pPr>
          </w:p>
        </w:tc>
        <w:tc>
          <w:tcPr>
            <w:tcW w:w="1955" w:type="dxa"/>
            <w:tcBorders>
              <w:top w:val="nil"/>
              <w:left w:val="nil"/>
              <w:bottom w:val="single" w:sz="4" w:space="0" w:color="auto"/>
              <w:right w:val="single" w:sz="4" w:space="0" w:color="auto"/>
            </w:tcBorders>
            <w:shd w:val="clear" w:color="auto" w:fill="auto"/>
            <w:noWrap/>
            <w:vAlign w:val="center"/>
          </w:tcPr>
          <w:p w14:paraId="5D3973D7" w14:textId="77777777" w:rsidR="00FB6D6C" w:rsidRPr="006C53B4" w:rsidRDefault="00FB6D6C">
            <w:pPr>
              <w:jc w:val="right"/>
              <w:rPr>
                <w:rFonts w:eastAsia="Times New Roman" w:cs="Arial"/>
                <w:color w:val="000000"/>
              </w:rPr>
            </w:pPr>
          </w:p>
        </w:tc>
      </w:tr>
      <w:tr w:rsidR="00C92CD8" w14:paraId="4D953BD1" w14:textId="77777777" w:rsidTr="00167E9F">
        <w:trPr>
          <w:trHeight w:val="315"/>
        </w:trPr>
        <w:tc>
          <w:tcPr>
            <w:tcW w:w="3157" w:type="dxa"/>
            <w:tcBorders>
              <w:top w:val="nil"/>
              <w:left w:val="single" w:sz="4" w:space="0" w:color="auto"/>
              <w:bottom w:val="single" w:sz="4" w:space="0" w:color="auto"/>
              <w:right w:val="nil"/>
            </w:tcBorders>
            <w:shd w:val="clear" w:color="auto" w:fill="auto"/>
            <w:noWrap/>
            <w:vAlign w:val="center"/>
            <w:hideMark/>
          </w:tcPr>
          <w:p w14:paraId="15438024" w14:textId="77777777" w:rsidR="00FB6D6C" w:rsidRPr="006C53B4" w:rsidRDefault="004A7A82" w:rsidP="00167E9F">
            <w:pPr>
              <w:rPr>
                <w:rFonts w:eastAsia="Times New Roman" w:cs="Arial"/>
                <w:b/>
                <w:bCs/>
                <w:color w:val="000000"/>
              </w:rPr>
            </w:pPr>
            <w:r w:rsidRPr="006C53B4">
              <w:rPr>
                <w:rFonts w:eastAsia="Times New Roman" w:cs="Arial"/>
                <w:b/>
                <w:bCs/>
                <w:color w:val="000000"/>
              </w:rPr>
              <w:t>Baseline Expenditure</w:t>
            </w:r>
          </w:p>
        </w:tc>
        <w:tc>
          <w:tcPr>
            <w:tcW w:w="1955" w:type="dxa"/>
            <w:tcBorders>
              <w:top w:val="nil"/>
              <w:left w:val="single" w:sz="4" w:space="0" w:color="auto"/>
              <w:bottom w:val="single" w:sz="4" w:space="0" w:color="auto"/>
              <w:right w:val="single" w:sz="4" w:space="0" w:color="auto"/>
            </w:tcBorders>
            <w:shd w:val="clear" w:color="auto" w:fill="auto"/>
            <w:noWrap/>
            <w:vAlign w:val="center"/>
            <w:hideMark/>
          </w:tcPr>
          <w:p w14:paraId="59979183" w14:textId="77777777" w:rsidR="00FB6D6C" w:rsidRPr="006C53B4" w:rsidRDefault="00FB6D6C">
            <w:pPr>
              <w:jc w:val="right"/>
              <w:rPr>
                <w:rFonts w:eastAsia="Times New Roman" w:cs="Arial"/>
                <w:color w:val="000000"/>
              </w:rPr>
            </w:pPr>
          </w:p>
        </w:tc>
        <w:tc>
          <w:tcPr>
            <w:tcW w:w="1955" w:type="dxa"/>
            <w:tcBorders>
              <w:top w:val="nil"/>
              <w:left w:val="nil"/>
              <w:bottom w:val="single" w:sz="4" w:space="0" w:color="auto"/>
              <w:right w:val="single" w:sz="4" w:space="0" w:color="auto"/>
            </w:tcBorders>
            <w:shd w:val="clear" w:color="auto" w:fill="auto"/>
            <w:noWrap/>
            <w:vAlign w:val="center"/>
            <w:hideMark/>
          </w:tcPr>
          <w:p w14:paraId="26B62BC9" w14:textId="7A4F6F00" w:rsidR="00FB6D6C" w:rsidRPr="006C53B4" w:rsidRDefault="004A7A82">
            <w:pPr>
              <w:jc w:val="right"/>
              <w:rPr>
                <w:rFonts w:eastAsia="Times New Roman" w:cs="Arial"/>
                <w:color w:val="000000"/>
              </w:rPr>
            </w:pPr>
            <w:r w:rsidRPr="006C53B4">
              <w:rPr>
                <w:rFonts w:eastAsia="Times New Roman" w:cs="Arial"/>
                <w:color w:val="000000"/>
              </w:rPr>
              <w:t>1,11</w:t>
            </w:r>
            <w:r w:rsidR="00EA7A77">
              <w:rPr>
                <w:rFonts w:eastAsia="Times New Roman" w:cs="Arial"/>
                <w:color w:val="000000"/>
              </w:rPr>
              <w:t>2.610</w:t>
            </w:r>
          </w:p>
        </w:tc>
        <w:tc>
          <w:tcPr>
            <w:tcW w:w="1955" w:type="dxa"/>
            <w:tcBorders>
              <w:top w:val="nil"/>
              <w:left w:val="nil"/>
              <w:bottom w:val="single" w:sz="4" w:space="0" w:color="auto"/>
              <w:right w:val="single" w:sz="4" w:space="0" w:color="auto"/>
            </w:tcBorders>
            <w:shd w:val="clear" w:color="auto" w:fill="auto"/>
            <w:noWrap/>
            <w:vAlign w:val="center"/>
            <w:hideMark/>
          </w:tcPr>
          <w:p w14:paraId="35BA77DD" w14:textId="760EBA7F" w:rsidR="00FB6D6C" w:rsidRPr="006C53B4" w:rsidRDefault="004A7A82">
            <w:pPr>
              <w:jc w:val="right"/>
              <w:rPr>
                <w:rFonts w:eastAsia="Times New Roman" w:cs="Arial"/>
                <w:color w:val="000000"/>
              </w:rPr>
            </w:pPr>
            <w:r w:rsidRPr="006C53B4">
              <w:rPr>
                <w:rFonts w:eastAsia="Times New Roman" w:cs="Arial"/>
                <w:color w:val="000000"/>
              </w:rPr>
              <w:t>1,</w:t>
            </w:r>
            <w:r w:rsidR="00A11290">
              <w:rPr>
                <w:rFonts w:eastAsia="Times New Roman" w:cs="Arial"/>
                <w:color w:val="000000"/>
              </w:rPr>
              <w:t>1</w:t>
            </w:r>
            <w:r w:rsidR="00A147AE">
              <w:rPr>
                <w:rFonts w:eastAsia="Times New Roman" w:cs="Arial"/>
                <w:color w:val="000000"/>
              </w:rPr>
              <w:t>20.153</w:t>
            </w:r>
          </w:p>
        </w:tc>
      </w:tr>
      <w:tr w:rsidR="00C92CD8" w14:paraId="5E6484AA" w14:textId="77777777" w:rsidTr="00167E9F">
        <w:trPr>
          <w:trHeight w:val="300"/>
        </w:trPr>
        <w:tc>
          <w:tcPr>
            <w:tcW w:w="3157" w:type="dxa"/>
            <w:tcBorders>
              <w:top w:val="nil"/>
              <w:left w:val="single" w:sz="4" w:space="0" w:color="auto"/>
              <w:right w:val="single" w:sz="4" w:space="0" w:color="auto"/>
            </w:tcBorders>
            <w:shd w:val="clear" w:color="auto" w:fill="auto"/>
            <w:noWrap/>
            <w:vAlign w:val="center"/>
            <w:hideMark/>
          </w:tcPr>
          <w:p w14:paraId="7124954B" w14:textId="77777777" w:rsidR="00FB6D6C" w:rsidRPr="006C53B4" w:rsidRDefault="004A7A82" w:rsidP="00167E9F">
            <w:pPr>
              <w:rPr>
                <w:rFonts w:eastAsia="Times New Roman" w:cs="Arial"/>
                <w:color w:val="000000"/>
              </w:rPr>
            </w:pPr>
            <w:r w:rsidRPr="006C53B4">
              <w:rPr>
                <w:rFonts w:eastAsia="Times New Roman" w:cs="Arial"/>
                <w:color w:val="000000"/>
              </w:rPr>
              <w:t>Pay &amp; Pensions</w:t>
            </w:r>
          </w:p>
        </w:tc>
        <w:tc>
          <w:tcPr>
            <w:tcW w:w="1955" w:type="dxa"/>
            <w:tcBorders>
              <w:top w:val="nil"/>
              <w:left w:val="nil"/>
              <w:right w:val="single" w:sz="4" w:space="0" w:color="auto"/>
            </w:tcBorders>
            <w:shd w:val="clear" w:color="auto" w:fill="auto"/>
            <w:noWrap/>
            <w:vAlign w:val="center"/>
            <w:hideMark/>
          </w:tcPr>
          <w:p w14:paraId="23804C51" w14:textId="77777777" w:rsidR="00FB6D6C" w:rsidRPr="006C53B4" w:rsidRDefault="004A7A82">
            <w:pPr>
              <w:jc w:val="right"/>
              <w:rPr>
                <w:rFonts w:eastAsia="Times New Roman" w:cs="Arial"/>
                <w:color w:val="000000"/>
              </w:rPr>
            </w:pPr>
            <w:r w:rsidRPr="006C53B4">
              <w:rPr>
                <w:rFonts w:eastAsia="Times New Roman" w:cs="Arial"/>
                <w:color w:val="000000"/>
              </w:rPr>
              <w:t>20.756</w:t>
            </w:r>
          </w:p>
        </w:tc>
        <w:tc>
          <w:tcPr>
            <w:tcW w:w="1955" w:type="dxa"/>
            <w:tcBorders>
              <w:top w:val="nil"/>
              <w:left w:val="nil"/>
              <w:right w:val="single" w:sz="4" w:space="0" w:color="auto"/>
            </w:tcBorders>
            <w:shd w:val="clear" w:color="auto" w:fill="auto"/>
            <w:noWrap/>
            <w:vAlign w:val="center"/>
            <w:hideMark/>
          </w:tcPr>
          <w:p w14:paraId="0BFC92D3" w14:textId="77777777" w:rsidR="00FB6D6C" w:rsidRPr="006C53B4" w:rsidRDefault="004A7A82">
            <w:pPr>
              <w:jc w:val="right"/>
              <w:rPr>
                <w:rFonts w:eastAsia="Times New Roman" w:cs="Arial"/>
                <w:color w:val="000000"/>
              </w:rPr>
            </w:pPr>
            <w:r w:rsidRPr="006C53B4">
              <w:rPr>
                <w:rFonts w:eastAsia="Times New Roman" w:cs="Arial"/>
                <w:color w:val="000000"/>
              </w:rPr>
              <w:t>13.597</w:t>
            </w:r>
          </w:p>
        </w:tc>
        <w:tc>
          <w:tcPr>
            <w:tcW w:w="1955" w:type="dxa"/>
            <w:tcBorders>
              <w:top w:val="nil"/>
              <w:left w:val="nil"/>
              <w:right w:val="single" w:sz="4" w:space="0" w:color="auto"/>
            </w:tcBorders>
            <w:shd w:val="clear" w:color="auto" w:fill="auto"/>
            <w:noWrap/>
            <w:vAlign w:val="center"/>
            <w:hideMark/>
          </w:tcPr>
          <w:p w14:paraId="7399627F" w14:textId="77777777" w:rsidR="00FB6D6C" w:rsidRPr="006C53B4" w:rsidRDefault="004A7A82">
            <w:pPr>
              <w:jc w:val="right"/>
              <w:rPr>
                <w:rFonts w:eastAsia="Times New Roman" w:cs="Arial"/>
                <w:color w:val="000000"/>
              </w:rPr>
            </w:pPr>
            <w:r w:rsidRPr="006C53B4">
              <w:rPr>
                <w:rFonts w:eastAsia="Times New Roman" w:cs="Arial"/>
                <w:color w:val="000000"/>
              </w:rPr>
              <w:t>10.603</w:t>
            </w:r>
          </w:p>
        </w:tc>
      </w:tr>
      <w:tr w:rsidR="00C92CD8" w14:paraId="1E545BD7" w14:textId="77777777" w:rsidTr="00167E9F">
        <w:trPr>
          <w:trHeight w:val="300"/>
        </w:trPr>
        <w:tc>
          <w:tcPr>
            <w:tcW w:w="3157" w:type="dxa"/>
            <w:tcBorders>
              <w:top w:val="nil"/>
              <w:left w:val="single" w:sz="4" w:space="0" w:color="auto"/>
              <w:right w:val="single" w:sz="4" w:space="0" w:color="auto"/>
            </w:tcBorders>
            <w:shd w:val="clear" w:color="auto" w:fill="auto"/>
            <w:noWrap/>
            <w:vAlign w:val="center"/>
            <w:hideMark/>
          </w:tcPr>
          <w:p w14:paraId="51426891" w14:textId="77777777" w:rsidR="00FB6D6C" w:rsidRPr="006C53B4" w:rsidRDefault="004A7A82" w:rsidP="00167E9F">
            <w:pPr>
              <w:rPr>
                <w:rFonts w:eastAsia="Times New Roman" w:cs="Arial"/>
                <w:color w:val="000000"/>
              </w:rPr>
            </w:pPr>
            <w:r w:rsidRPr="006C53B4">
              <w:rPr>
                <w:rFonts w:eastAsia="Times New Roman" w:cs="Arial"/>
                <w:color w:val="000000"/>
              </w:rPr>
              <w:t>Inflation and Cost Changes</w:t>
            </w:r>
          </w:p>
        </w:tc>
        <w:tc>
          <w:tcPr>
            <w:tcW w:w="1955" w:type="dxa"/>
            <w:tcBorders>
              <w:top w:val="nil"/>
              <w:left w:val="nil"/>
              <w:right w:val="single" w:sz="4" w:space="0" w:color="auto"/>
            </w:tcBorders>
            <w:shd w:val="clear" w:color="auto" w:fill="auto"/>
            <w:noWrap/>
            <w:vAlign w:val="center"/>
            <w:hideMark/>
          </w:tcPr>
          <w:p w14:paraId="7BB25159" w14:textId="77777777" w:rsidR="00FB6D6C" w:rsidRPr="006C53B4" w:rsidRDefault="004A7A82">
            <w:pPr>
              <w:jc w:val="right"/>
              <w:rPr>
                <w:rFonts w:eastAsia="Times New Roman" w:cs="Arial"/>
                <w:color w:val="000000"/>
              </w:rPr>
            </w:pPr>
            <w:r w:rsidRPr="006C53B4">
              <w:rPr>
                <w:rFonts w:eastAsia="Times New Roman" w:cs="Arial"/>
                <w:color w:val="000000"/>
              </w:rPr>
              <w:t>52.701</w:t>
            </w:r>
          </w:p>
        </w:tc>
        <w:tc>
          <w:tcPr>
            <w:tcW w:w="1955" w:type="dxa"/>
            <w:tcBorders>
              <w:top w:val="nil"/>
              <w:left w:val="nil"/>
              <w:right w:val="single" w:sz="4" w:space="0" w:color="auto"/>
            </w:tcBorders>
            <w:shd w:val="clear" w:color="auto" w:fill="auto"/>
            <w:noWrap/>
            <w:vAlign w:val="center"/>
            <w:hideMark/>
          </w:tcPr>
          <w:p w14:paraId="02E7B8E6" w14:textId="77777777" w:rsidR="00FB6D6C" w:rsidRPr="006C53B4" w:rsidRDefault="004A7A82">
            <w:pPr>
              <w:jc w:val="right"/>
              <w:rPr>
                <w:rFonts w:eastAsia="Times New Roman" w:cs="Arial"/>
                <w:color w:val="000000"/>
              </w:rPr>
            </w:pPr>
            <w:r w:rsidRPr="006C53B4">
              <w:rPr>
                <w:rFonts w:eastAsia="Times New Roman" w:cs="Arial"/>
                <w:color w:val="000000"/>
              </w:rPr>
              <w:t>48.610</w:t>
            </w:r>
          </w:p>
        </w:tc>
        <w:tc>
          <w:tcPr>
            <w:tcW w:w="1955" w:type="dxa"/>
            <w:tcBorders>
              <w:top w:val="nil"/>
              <w:left w:val="nil"/>
              <w:right w:val="single" w:sz="4" w:space="0" w:color="auto"/>
            </w:tcBorders>
            <w:shd w:val="clear" w:color="auto" w:fill="auto"/>
            <w:noWrap/>
            <w:vAlign w:val="center"/>
            <w:hideMark/>
          </w:tcPr>
          <w:p w14:paraId="0EAD02E2" w14:textId="77777777" w:rsidR="00FB6D6C" w:rsidRPr="006C53B4" w:rsidRDefault="004A7A82">
            <w:pPr>
              <w:jc w:val="right"/>
              <w:rPr>
                <w:rFonts w:eastAsia="Times New Roman" w:cs="Arial"/>
                <w:color w:val="000000"/>
              </w:rPr>
            </w:pPr>
            <w:r w:rsidRPr="006C53B4">
              <w:rPr>
                <w:rFonts w:eastAsia="Times New Roman" w:cs="Arial"/>
                <w:color w:val="000000"/>
              </w:rPr>
              <w:t>35.221</w:t>
            </w:r>
          </w:p>
        </w:tc>
      </w:tr>
      <w:tr w:rsidR="00C92CD8" w14:paraId="1D0F9A01" w14:textId="77777777" w:rsidTr="00167E9F">
        <w:trPr>
          <w:trHeight w:val="300"/>
        </w:trPr>
        <w:tc>
          <w:tcPr>
            <w:tcW w:w="3157" w:type="dxa"/>
            <w:tcBorders>
              <w:top w:val="nil"/>
              <w:left w:val="single" w:sz="4" w:space="0" w:color="auto"/>
              <w:right w:val="single" w:sz="4" w:space="0" w:color="auto"/>
            </w:tcBorders>
            <w:shd w:val="clear" w:color="auto" w:fill="auto"/>
            <w:noWrap/>
            <w:vAlign w:val="center"/>
            <w:hideMark/>
          </w:tcPr>
          <w:p w14:paraId="25541961" w14:textId="77777777" w:rsidR="00FB6D6C" w:rsidRPr="006C53B4" w:rsidRDefault="004A7A82" w:rsidP="00167E9F">
            <w:pPr>
              <w:rPr>
                <w:rFonts w:eastAsia="Times New Roman" w:cs="Arial"/>
                <w:color w:val="000000"/>
              </w:rPr>
            </w:pPr>
            <w:r w:rsidRPr="006C53B4">
              <w:rPr>
                <w:rFonts w:eastAsia="Times New Roman" w:cs="Arial"/>
                <w:color w:val="000000"/>
              </w:rPr>
              <w:t>Service Demand and Volume Pressures</w:t>
            </w:r>
          </w:p>
        </w:tc>
        <w:tc>
          <w:tcPr>
            <w:tcW w:w="1955" w:type="dxa"/>
            <w:tcBorders>
              <w:top w:val="nil"/>
              <w:left w:val="nil"/>
              <w:right w:val="single" w:sz="4" w:space="0" w:color="auto"/>
            </w:tcBorders>
            <w:shd w:val="clear" w:color="auto" w:fill="auto"/>
            <w:noWrap/>
            <w:vAlign w:val="center"/>
            <w:hideMark/>
          </w:tcPr>
          <w:p w14:paraId="265E62A6" w14:textId="77777777" w:rsidR="00FB6D6C" w:rsidRPr="006C53B4" w:rsidRDefault="004A7A82">
            <w:pPr>
              <w:jc w:val="right"/>
              <w:rPr>
                <w:rFonts w:eastAsia="Times New Roman" w:cs="Arial"/>
                <w:color w:val="000000"/>
              </w:rPr>
            </w:pPr>
            <w:r w:rsidRPr="006C53B4">
              <w:rPr>
                <w:rFonts w:eastAsia="Times New Roman" w:cs="Arial"/>
                <w:color w:val="000000"/>
              </w:rPr>
              <w:t>39.003</w:t>
            </w:r>
          </w:p>
        </w:tc>
        <w:tc>
          <w:tcPr>
            <w:tcW w:w="1955" w:type="dxa"/>
            <w:tcBorders>
              <w:top w:val="nil"/>
              <w:left w:val="nil"/>
              <w:right w:val="single" w:sz="4" w:space="0" w:color="auto"/>
            </w:tcBorders>
            <w:shd w:val="clear" w:color="auto" w:fill="auto"/>
            <w:noWrap/>
            <w:vAlign w:val="center"/>
            <w:hideMark/>
          </w:tcPr>
          <w:p w14:paraId="0DFB4DEE" w14:textId="77777777" w:rsidR="00FB6D6C" w:rsidRPr="006C53B4" w:rsidRDefault="004A7A82">
            <w:pPr>
              <w:jc w:val="right"/>
              <w:rPr>
                <w:rFonts w:eastAsia="Times New Roman" w:cs="Arial"/>
                <w:color w:val="000000"/>
              </w:rPr>
            </w:pPr>
            <w:r w:rsidRPr="006C53B4">
              <w:rPr>
                <w:rFonts w:eastAsia="Times New Roman" w:cs="Arial"/>
                <w:color w:val="000000"/>
              </w:rPr>
              <w:t>19.064</w:t>
            </w:r>
          </w:p>
        </w:tc>
        <w:tc>
          <w:tcPr>
            <w:tcW w:w="1955" w:type="dxa"/>
            <w:tcBorders>
              <w:top w:val="nil"/>
              <w:left w:val="nil"/>
              <w:right w:val="single" w:sz="4" w:space="0" w:color="auto"/>
            </w:tcBorders>
            <w:shd w:val="clear" w:color="auto" w:fill="auto"/>
            <w:noWrap/>
            <w:vAlign w:val="center"/>
            <w:hideMark/>
          </w:tcPr>
          <w:p w14:paraId="7CE94BD8" w14:textId="77777777" w:rsidR="00FB6D6C" w:rsidRPr="006C53B4" w:rsidRDefault="004A7A82">
            <w:pPr>
              <w:jc w:val="right"/>
              <w:rPr>
                <w:rFonts w:eastAsia="Times New Roman" w:cs="Arial"/>
                <w:color w:val="000000"/>
              </w:rPr>
            </w:pPr>
            <w:r w:rsidRPr="006C53B4">
              <w:rPr>
                <w:rFonts w:eastAsia="Times New Roman" w:cs="Arial"/>
                <w:color w:val="000000"/>
              </w:rPr>
              <w:t>16.210</w:t>
            </w:r>
          </w:p>
        </w:tc>
      </w:tr>
      <w:tr w:rsidR="00C92CD8" w14:paraId="21BEF158" w14:textId="77777777" w:rsidTr="00167E9F">
        <w:trPr>
          <w:trHeight w:val="300"/>
        </w:trPr>
        <w:tc>
          <w:tcPr>
            <w:tcW w:w="3157" w:type="dxa"/>
            <w:tcBorders>
              <w:top w:val="nil"/>
              <w:left w:val="single" w:sz="4" w:space="0" w:color="auto"/>
              <w:right w:val="single" w:sz="4" w:space="0" w:color="auto"/>
            </w:tcBorders>
            <w:shd w:val="clear" w:color="auto" w:fill="auto"/>
            <w:noWrap/>
            <w:vAlign w:val="center"/>
            <w:hideMark/>
          </w:tcPr>
          <w:p w14:paraId="7A93C7A4" w14:textId="77777777" w:rsidR="00FB6D6C" w:rsidRPr="006C53B4" w:rsidRDefault="004A7A82" w:rsidP="00167E9F">
            <w:pPr>
              <w:rPr>
                <w:rFonts w:eastAsia="Times New Roman" w:cs="Arial"/>
                <w:color w:val="000000"/>
              </w:rPr>
            </w:pPr>
            <w:r w:rsidRPr="006C53B4">
              <w:rPr>
                <w:rFonts w:eastAsia="Times New Roman" w:cs="Arial"/>
                <w:color w:val="000000"/>
              </w:rPr>
              <w:t>Additional Grant</w:t>
            </w:r>
          </w:p>
        </w:tc>
        <w:tc>
          <w:tcPr>
            <w:tcW w:w="1955" w:type="dxa"/>
            <w:tcBorders>
              <w:top w:val="nil"/>
              <w:left w:val="nil"/>
              <w:right w:val="single" w:sz="4" w:space="0" w:color="auto"/>
            </w:tcBorders>
            <w:shd w:val="clear" w:color="auto" w:fill="auto"/>
            <w:noWrap/>
            <w:vAlign w:val="center"/>
            <w:hideMark/>
          </w:tcPr>
          <w:p w14:paraId="125ED006" w14:textId="77777777" w:rsidR="00FB6D6C" w:rsidRPr="006C53B4" w:rsidRDefault="004A7A82">
            <w:pPr>
              <w:jc w:val="right"/>
              <w:rPr>
                <w:rFonts w:eastAsia="Times New Roman" w:cs="Arial"/>
                <w:color w:val="000000"/>
              </w:rPr>
            </w:pPr>
            <w:r w:rsidRPr="006C53B4">
              <w:rPr>
                <w:rFonts w:eastAsia="Times New Roman" w:cs="Arial"/>
                <w:color w:val="000000"/>
              </w:rPr>
              <w:t>-15.392</w:t>
            </w:r>
          </w:p>
        </w:tc>
        <w:tc>
          <w:tcPr>
            <w:tcW w:w="1955" w:type="dxa"/>
            <w:tcBorders>
              <w:top w:val="nil"/>
              <w:left w:val="nil"/>
              <w:right w:val="single" w:sz="4" w:space="0" w:color="auto"/>
            </w:tcBorders>
            <w:shd w:val="clear" w:color="auto" w:fill="auto"/>
            <w:noWrap/>
            <w:vAlign w:val="center"/>
            <w:hideMark/>
          </w:tcPr>
          <w:p w14:paraId="5A5F29F4" w14:textId="77777777" w:rsidR="00FB6D6C" w:rsidRPr="006C53B4" w:rsidRDefault="004A7A82">
            <w:pPr>
              <w:jc w:val="right"/>
              <w:rPr>
                <w:rFonts w:eastAsia="Times New Roman" w:cs="Arial"/>
                <w:color w:val="000000"/>
              </w:rPr>
            </w:pPr>
            <w:r w:rsidRPr="006C53B4">
              <w:rPr>
                <w:rFonts w:eastAsia="Times New Roman" w:cs="Arial"/>
                <w:color w:val="000000"/>
              </w:rPr>
              <w:t>-39.478</w:t>
            </w:r>
          </w:p>
        </w:tc>
        <w:tc>
          <w:tcPr>
            <w:tcW w:w="1955" w:type="dxa"/>
            <w:tcBorders>
              <w:top w:val="nil"/>
              <w:left w:val="nil"/>
              <w:right w:val="single" w:sz="4" w:space="0" w:color="auto"/>
            </w:tcBorders>
            <w:shd w:val="clear" w:color="auto" w:fill="auto"/>
            <w:noWrap/>
            <w:vAlign w:val="center"/>
            <w:hideMark/>
          </w:tcPr>
          <w:p w14:paraId="0FD96330" w14:textId="77777777" w:rsidR="00FB6D6C" w:rsidRPr="006C53B4" w:rsidRDefault="004A7A82">
            <w:pPr>
              <w:jc w:val="right"/>
              <w:rPr>
                <w:rFonts w:eastAsia="Times New Roman" w:cs="Arial"/>
                <w:color w:val="000000"/>
              </w:rPr>
            </w:pPr>
            <w:r w:rsidRPr="006C53B4">
              <w:rPr>
                <w:rFonts w:eastAsia="Times New Roman" w:cs="Arial"/>
                <w:color w:val="000000"/>
              </w:rPr>
              <w:t>0.000</w:t>
            </w:r>
          </w:p>
        </w:tc>
      </w:tr>
      <w:tr w:rsidR="00C92CD8" w14:paraId="09D823E2" w14:textId="77777777" w:rsidTr="00167E9F">
        <w:trPr>
          <w:trHeight w:val="300"/>
        </w:trPr>
        <w:tc>
          <w:tcPr>
            <w:tcW w:w="3157" w:type="dxa"/>
            <w:tcBorders>
              <w:top w:val="nil"/>
              <w:left w:val="single" w:sz="4" w:space="0" w:color="auto"/>
              <w:right w:val="single" w:sz="4" w:space="0" w:color="auto"/>
            </w:tcBorders>
            <w:shd w:val="clear" w:color="auto" w:fill="auto"/>
            <w:noWrap/>
            <w:vAlign w:val="center"/>
            <w:hideMark/>
          </w:tcPr>
          <w:p w14:paraId="353D8CB2" w14:textId="77777777" w:rsidR="00FB6D6C" w:rsidRPr="006C53B4" w:rsidRDefault="004A7A82" w:rsidP="00167E9F">
            <w:pPr>
              <w:rPr>
                <w:rFonts w:eastAsia="Times New Roman" w:cs="Arial"/>
                <w:color w:val="000000"/>
              </w:rPr>
            </w:pPr>
            <w:r w:rsidRPr="006C53B4">
              <w:rPr>
                <w:rFonts w:eastAsia="Times New Roman" w:cs="Arial"/>
                <w:color w:val="000000"/>
              </w:rPr>
              <w:t>Savings</w:t>
            </w:r>
          </w:p>
        </w:tc>
        <w:tc>
          <w:tcPr>
            <w:tcW w:w="1955" w:type="dxa"/>
            <w:tcBorders>
              <w:top w:val="nil"/>
              <w:left w:val="nil"/>
              <w:right w:val="single" w:sz="4" w:space="0" w:color="auto"/>
            </w:tcBorders>
            <w:shd w:val="clear" w:color="auto" w:fill="auto"/>
            <w:noWrap/>
            <w:vAlign w:val="center"/>
            <w:hideMark/>
          </w:tcPr>
          <w:p w14:paraId="154B4655" w14:textId="62CF0498" w:rsidR="00FB6D6C" w:rsidRPr="006C53B4" w:rsidRDefault="004A7A82">
            <w:pPr>
              <w:jc w:val="right"/>
              <w:rPr>
                <w:rFonts w:eastAsia="Times New Roman" w:cs="Arial"/>
                <w:color w:val="000000"/>
              </w:rPr>
            </w:pPr>
            <w:r w:rsidRPr="006C53B4">
              <w:rPr>
                <w:rFonts w:eastAsia="Times New Roman" w:cs="Arial"/>
                <w:color w:val="000000"/>
              </w:rPr>
              <w:t>-3</w:t>
            </w:r>
            <w:r w:rsidR="00B8069E">
              <w:rPr>
                <w:rFonts w:eastAsia="Times New Roman" w:cs="Arial"/>
                <w:color w:val="000000"/>
              </w:rPr>
              <w:t>6.701</w:t>
            </w:r>
          </w:p>
        </w:tc>
        <w:tc>
          <w:tcPr>
            <w:tcW w:w="1955" w:type="dxa"/>
            <w:tcBorders>
              <w:top w:val="nil"/>
              <w:left w:val="nil"/>
              <w:right w:val="single" w:sz="4" w:space="0" w:color="auto"/>
            </w:tcBorders>
            <w:shd w:val="clear" w:color="auto" w:fill="auto"/>
            <w:noWrap/>
            <w:vAlign w:val="center"/>
            <w:hideMark/>
          </w:tcPr>
          <w:p w14:paraId="03D5F12A" w14:textId="0C3C5210" w:rsidR="00FB6D6C" w:rsidRPr="006C53B4" w:rsidRDefault="004A7A82">
            <w:pPr>
              <w:jc w:val="right"/>
              <w:rPr>
                <w:rFonts w:eastAsia="Times New Roman" w:cs="Arial"/>
                <w:color w:val="000000"/>
              </w:rPr>
            </w:pPr>
            <w:r w:rsidRPr="006C53B4">
              <w:rPr>
                <w:rFonts w:eastAsia="Times New Roman" w:cs="Arial"/>
                <w:color w:val="000000"/>
              </w:rPr>
              <w:t>-3</w:t>
            </w:r>
            <w:r w:rsidR="00514D6D">
              <w:rPr>
                <w:rFonts w:eastAsia="Times New Roman" w:cs="Arial"/>
                <w:color w:val="000000"/>
              </w:rPr>
              <w:t>6</w:t>
            </w:r>
            <w:r w:rsidR="003740A9">
              <w:rPr>
                <w:rFonts w:eastAsia="Times New Roman" w:cs="Arial"/>
                <w:color w:val="000000"/>
              </w:rPr>
              <w:t>.</w:t>
            </w:r>
            <w:r w:rsidR="00F67B65">
              <w:rPr>
                <w:rFonts w:eastAsia="Times New Roman" w:cs="Arial"/>
                <w:color w:val="000000"/>
              </w:rPr>
              <w:t>787</w:t>
            </w:r>
          </w:p>
        </w:tc>
        <w:tc>
          <w:tcPr>
            <w:tcW w:w="1955" w:type="dxa"/>
            <w:tcBorders>
              <w:top w:val="nil"/>
              <w:left w:val="nil"/>
              <w:right w:val="single" w:sz="4" w:space="0" w:color="auto"/>
            </w:tcBorders>
            <w:shd w:val="clear" w:color="auto" w:fill="auto"/>
            <w:noWrap/>
            <w:vAlign w:val="center"/>
            <w:hideMark/>
          </w:tcPr>
          <w:p w14:paraId="41919A45" w14:textId="39535CC0" w:rsidR="00FB6D6C" w:rsidRPr="006C53B4" w:rsidRDefault="004A7A82">
            <w:pPr>
              <w:jc w:val="right"/>
              <w:rPr>
                <w:rFonts w:eastAsia="Times New Roman" w:cs="Arial"/>
                <w:color w:val="000000"/>
              </w:rPr>
            </w:pPr>
            <w:r w:rsidRPr="006C53B4">
              <w:rPr>
                <w:rFonts w:eastAsia="Times New Roman" w:cs="Arial"/>
                <w:color w:val="000000"/>
              </w:rPr>
              <w:t>-2</w:t>
            </w:r>
            <w:r w:rsidR="00BC20A3">
              <w:rPr>
                <w:rFonts w:eastAsia="Times New Roman" w:cs="Arial"/>
                <w:color w:val="000000"/>
              </w:rPr>
              <w:t>4.356</w:t>
            </w:r>
          </w:p>
        </w:tc>
      </w:tr>
      <w:tr w:rsidR="00C92CD8" w14:paraId="02F80B93" w14:textId="77777777" w:rsidTr="00167E9F">
        <w:trPr>
          <w:trHeight w:val="300"/>
        </w:trPr>
        <w:tc>
          <w:tcPr>
            <w:tcW w:w="3157" w:type="dxa"/>
            <w:tcBorders>
              <w:top w:val="nil"/>
              <w:left w:val="single" w:sz="4" w:space="0" w:color="auto"/>
              <w:right w:val="single" w:sz="4" w:space="0" w:color="auto"/>
            </w:tcBorders>
            <w:shd w:val="clear" w:color="auto" w:fill="auto"/>
            <w:noWrap/>
            <w:vAlign w:val="center"/>
            <w:hideMark/>
          </w:tcPr>
          <w:p w14:paraId="43E54E46" w14:textId="77777777" w:rsidR="00FB6D6C" w:rsidRPr="006C53B4" w:rsidRDefault="004A7A82" w:rsidP="00167E9F">
            <w:pPr>
              <w:rPr>
                <w:rFonts w:eastAsia="Times New Roman" w:cs="Arial"/>
                <w:color w:val="000000"/>
              </w:rPr>
            </w:pPr>
            <w:r w:rsidRPr="006C53B4">
              <w:rPr>
                <w:rFonts w:eastAsia="Times New Roman" w:cs="Arial"/>
                <w:color w:val="000000"/>
              </w:rPr>
              <w:t>Capital Financing</w:t>
            </w:r>
          </w:p>
        </w:tc>
        <w:tc>
          <w:tcPr>
            <w:tcW w:w="1955" w:type="dxa"/>
            <w:tcBorders>
              <w:top w:val="nil"/>
              <w:left w:val="nil"/>
              <w:right w:val="single" w:sz="4" w:space="0" w:color="auto"/>
            </w:tcBorders>
            <w:shd w:val="clear" w:color="auto" w:fill="auto"/>
            <w:noWrap/>
            <w:vAlign w:val="center"/>
            <w:hideMark/>
          </w:tcPr>
          <w:p w14:paraId="4EF89D9C" w14:textId="77777777" w:rsidR="00FB6D6C" w:rsidRPr="006C53B4" w:rsidRDefault="004A7A82">
            <w:pPr>
              <w:jc w:val="right"/>
              <w:rPr>
                <w:rFonts w:eastAsia="Times New Roman" w:cs="Arial"/>
                <w:color w:val="000000"/>
              </w:rPr>
            </w:pPr>
            <w:r w:rsidRPr="006C53B4">
              <w:rPr>
                <w:rFonts w:eastAsia="Times New Roman" w:cs="Arial"/>
                <w:color w:val="000000"/>
              </w:rPr>
              <w:t>5.368</w:t>
            </w:r>
          </w:p>
        </w:tc>
        <w:tc>
          <w:tcPr>
            <w:tcW w:w="1955" w:type="dxa"/>
            <w:tcBorders>
              <w:top w:val="nil"/>
              <w:left w:val="nil"/>
              <w:right w:val="single" w:sz="4" w:space="0" w:color="auto"/>
            </w:tcBorders>
            <w:shd w:val="clear" w:color="auto" w:fill="auto"/>
            <w:noWrap/>
            <w:vAlign w:val="center"/>
            <w:hideMark/>
          </w:tcPr>
          <w:p w14:paraId="32C33CC5" w14:textId="77777777" w:rsidR="00FB6D6C" w:rsidRPr="006C53B4" w:rsidRDefault="004A7A82">
            <w:pPr>
              <w:jc w:val="right"/>
              <w:rPr>
                <w:rFonts w:eastAsia="Times New Roman" w:cs="Arial"/>
                <w:color w:val="000000"/>
              </w:rPr>
            </w:pPr>
            <w:r w:rsidRPr="006C53B4">
              <w:rPr>
                <w:rFonts w:eastAsia="Times New Roman" w:cs="Arial"/>
                <w:color w:val="000000"/>
              </w:rPr>
              <w:t>1.180</w:t>
            </w:r>
          </w:p>
        </w:tc>
        <w:tc>
          <w:tcPr>
            <w:tcW w:w="1955" w:type="dxa"/>
            <w:tcBorders>
              <w:top w:val="nil"/>
              <w:left w:val="nil"/>
              <w:right w:val="single" w:sz="4" w:space="0" w:color="auto"/>
            </w:tcBorders>
            <w:shd w:val="clear" w:color="auto" w:fill="auto"/>
            <w:noWrap/>
            <w:vAlign w:val="center"/>
            <w:hideMark/>
          </w:tcPr>
          <w:p w14:paraId="06FF15E8" w14:textId="77777777" w:rsidR="00FB6D6C" w:rsidRPr="006C53B4" w:rsidRDefault="004A7A82">
            <w:pPr>
              <w:jc w:val="right"/>
              <w:rPr>
                <w:rFonts w:eastAsia="Times New Roman" w:cs="Arial"/>
                <w:color w:val="000000"/>
              </w:rPr>
            </w:pPr>
            <w:r w:rsidRPr="006C53B4">
              <w:rPr>
                <w:rFonts w:eastAsia="Times New Roman" w:cs="Arial"/>
                <w:color w:val="000000"/>
              </w:rPr>
              <w:t>-1.537</w:t>
            </w:r>
          </w:p>
        </w:tc>
      </w:tr>
      <w:tr w:rsidR="00C92CD8" w14:paraId="549B98C6" w14:textId="77777777" w:rsidTr="00167E9F">
        <w:trPr>
          <w:trHeight w:val="300"/>
        </w:trPr>
        <w:tc>
          <w:tcPr>
            <w:tcW w:w="3157" w:type="dxa"/>
            <w:tcBorders>
              <w:top w:val="nil"/>
              <w:left w:val="single" w:sz="4" w:space="0" w:color="auto"/>
              <w:right w:val="single" w:sz="4" w:space="0" w:color="auto"/>
            </w:tcBorders>
            <w:shd w:val="clear" w:color="auto" w:fill="auto"/>
            <w:noWrap/>
            <w:vAlign w:val="center"/>
            <w:hideMark/>
          </w:tcPr>
          <w:p w14:paraId="00E0B2EA" w14:textId="77777777" w:rsidR="00FB6D6C" w:rsidRPr="006C53B4" w:rsidRDefault="004A7A82" w:rsidP="00167E9F">
            <w:pPr>
              <w:rPr>
                <w:rFonts w:eastAsia="Times New Roman" w:cs="Arial"/>
                <w:color w:val="000000"/>
              </w:rPr>
            </w:pPr>
            <w:r w:rsidRPr="006C53B4">
              <w:rPr>
                <w:rFonts w:eastAsia="Times New Roman" w:cs="Arial"/>
                <w:color w:val="000000"/>
              </w:rPr>
              <w:t>Other</w:t>
            </w:r>
          </w:p>
        </w:tc>
        <w:tc>
          <w:tcPr>
            <w:tcW w:w="1955" w:type="dxa"/>
            <w:tcBorders>
              <w:top w:val="nil"/>
              <w:left w:val="nil"/>
              <w:bottom w:val="single" w:sz="4" w:space="0" w:color="auto"/>
              <w:right w:val="single" w:sz="4" w:space="0" w:color="auto"/>
            </w:tcBorders>
            <w:shd w:val="clear" w:color="auto" w:fill="auto"/>
            <w:noWrap/>
            <w:vAlign w:val="center"/>
            <w:hideMark/>
          </w:tcPr>
          <w:p w14:paraId="473C6A71" w14:textId="14E0CAF8" w:rsidR="00FB6D6C" w:rsidRPr="006C53B4" w:rsidRDefault="004A7A82">
            <w:pPr>
              <w:jc w:val="right"/>
              <w:rPr>
                <w:rFonts w:eastAsia="Times New Roman" w:cs="Arial"/>
                <w:color w:val="000000"/>
              </w:rPr>
            </w:pPr>
            <w:r w:rsidRPr="006C53B4">
              <w:rPr>
                <w:rFonts w:eastAsia="Times New Roman" w:cs="Arial"/>
                <w:color w:val="000000"/>
              </w:rPr>
              <w:t>-</w:t>
            </w:r>
            <w:r w:rsidR="00507CC6">
              <w:rPr>
                <w:rFonts w:eastAsia="Times New Roman" w:cs="Arial"/>
                <w:color w:val="000000"/>
              </w:rPr>
              <w:t>1.106</w:t>
            </w:r>
          </w:p>
        </w:tc>
        <w:tc>
          <w:tcPr>
            <w:tcW w:w="1955" w:type="dxa"/>
            <w:tcBorders>
              <w:top w:val="nil"/>
              <w:left w:val="nil"/>
              <w:right w:val="single" w:sz="4" w:space="0" w:color="auto"/>
            </w:tcBorders>
            <w:shd w:val="clear" w:color="auto" w:fill="auto"/>
            <w:noWrap/>
            <w:vAlign w:val="center"/>
            <w:hideMark/>
          </w:tcPr>
          <w:p w14:paraId="73CC3AB2" w14:textId="099B63C6" w:rsidR="00FB6D6C" w:rsidRPr="006C53B4" w:rsidRDefault="004A7A82">
            <w:pPr>
              <w:jc w:val="right"/>
              <w:rPr>
                <w:rFonts w:eastAsia="Times New Roman" w:cs="Arial"/>
                <w:color w:val="000000"/>
              </w:rPr>
            </w:pPr>
            <w:r>
              <w:rPr>
                <w:rFonts w:eastAsia="Times New Roman" w:cs="Arial"/>
                <w:color w:val="000000"/>
              </w:rPr>
              <w:t>1.357</w:t>
            </w:r>
          </w:p>
        </w:tc>
        <w:tc>
          <w:tcPr>
            <w:tcW w:w="1955" w:type="dxa"/>
            <w:tcBorders>
              <w:top w:val="nil"/>
              <w:left w:val="nil"/>
              <w:right w:val="single" w:sz="4" w:space="0" w:color="auto"/>
            </w:tcBorders>
            <w:shd w:val="clear" w:color="auto" w:fill="auto"/>
            <w:noWrap/>
            <w:vAlign w:val="center"/>
            <w:hideMark/>
          </w:tcPr>
          <w:p w14:paraId="7CF4C0F6" w14:textId="77777777" w:rsidR="00FB6D6C" w:rsidRPr="006C53B4" w:rsidRDefault="004A7A82">
            <w:pPr>
              <w:jc w:val="right"/>
              <w:rPr>
                <w:rFonts w:eastAsia="Times New Roman" w:cs="Arial"/>
                <w:color w:val="000000"/>
              </w:rPr>
            </w:pPr>
            <w:r w:rsidRPr="006C53B4">
              <w:rPr>
                <w:rFonts w:eastAsia="Times New Roman" w:cs="Arial"/>
                <w:color w:val="000000"/>
              </w:rPr>
              <w:t>0.037</w:t>
            </w:r>
          </w:p>
        </w:tc>
      </w:tr>
      <w:tr w:rsidR="00C92CD8" w14:paraId="6DFFDE2D" w14:textId="77777777">
        <w:trPr>
          <w:trHeight w:val="315"/>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0C40F" w14:textId="77777777" w:rsidR="00FB6D6C" w:rsidRPr="006C53B4" w:rsidRDefault="004A7A82">
            <w:pPr>
              <w:rPr>
                <w:rFonts w:eastAsia="Times New Roman" w:cs="Arial"/>
                <w:b/>
                <w:bCs/>
                <w:color w:val="000000"/>
              </w:rPr>
            </w:pPr>
            <w:r w:rsidRPr="006C53B4">
              <w:rPr>
                <w:rFonts w:eastAsia="Times New Roman" w:cs="Arial"/>
                <w:b/>
                <w:bCs/>
                <w:color w:val="000000"/>
              </w:rPr>
              <w:t>Budget Requirement</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7FAE755F" w14:textId="123BF7B9" w:rsidR="00FB6D6C" w:rsidRPr="006C53B4" w:rsidRDefault="004A7A82">
            <w:pPr>
              <w:jc w:val="right"/>
              <w:rPr>
                <w:rFonts w:eastAsia="Times New Roman" w:cs="Arial"/>
                <w:color w:val="000000"/>
              </w:rPr>
            </w:pPr>
            <w:r w:rsidRPr="006C53B4">
              <w:rPr>
                <w:rFonts w:eastAsia="Times New Roman" w:cs="Arial"/>
                <w:color w:val="000000"/>
              </w:rPr>
              <w:t>1,11</w:t>
            </w:r>
            <w:r w:rsidR="0026350F">
              <w:rPr>
                <w:rFonts w:eastAsia="Times New Roman" w:cs="Arial"/>
                <w:color w:val="000000"/>
              </w:rPr>
              <w:t>2.610</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62D9BC83" w14:textId="0F6E0888" w:rsidR="00FB6D6C" w:rsidRPr="006C53B4" w:rsidRDefault="004A7A82">
            <w:pPr>
              <w:jc w:val="right"/>
              <w:rPr>
                <w:rFonts w:eastAsia="Times New Roman" w:cs="Arial"/>
                <w:color w:val="000000"/>
              </w:rPr>
            </w:pPr>
            <w:r w:rsidRPr="006C53B4">
              <w:rPr>
                <w:rFonts w:eastAsia="Times New Roman" w:cs="Arial"/>
                <w:color w:val="000000"/>
              </w:rPr>
              <w:t>1,120.</w:t>
            </w:r>
            <w:r w:rsidR="00B10748">
              <w:rPr>
                <w:rFonts w:eastAsia="Times New Roman" w:cs="Arial"/>
                <w:color w:val="000000"/>
              </w:rPr>
              <w:t>153</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5621E94C" w14:textId="16A7252A" w:rsidR="00FB6D6C" w:rsidRPr="006C53B4" w:rsidRDefault="004A7A82">
            <w:pPr>
              <w:jc w:val="right"/>
              <w:rPr>
                <w:rFonts w:eastAsia="Times New Roman" w:cs="Arial"/>
                <w:color w:val="000000"/>
              </w:rPr>
            </w:pPr>
            <w:r w:rsidRPr="006C53B4">
              <w:rPr>
                <w:rFonts w:eastAsia="Times New Roman" w:cs="Arial"/>
                <w:color w:val="000000"/>
              </w:rPr>
              <w:t>1,1</w:t>
            </w:r>
            <w:r w:rsidR="00160A55">
              <w:rPr>
                <w:rFonts w:eastAsia="Times New Roman" w:cs="Arial"/>
                <w:color w:val="000000"/>
              </w:rPr>
              <w:t>56.331</w:t>
            </w:r>
          </w:p>
        </w:tc>
      </w:tr>
      <w:tr w:rsidR="00C92CD8" w14:paraId="1F3E7802" w14:textId="77777777">
        <w:trPr>
          <w:trHeight w:val="300"/>
        </w:trPr>
        <w:tc>
          <w:tcPr>
            <w:tcW w:w="3157" w:type="dxa"/>
            <w:tcBorders>
              <w:top w:val="nil"/>
              <w:left w:val="single" w:sz="4" w:space="0" w:color="auto"/>
              <w:right w:val="nil"/>
            </w:tcBorders>
            <w:shd w:val="clear" w:color="auto" w:fill="auto"/>
            <w:noWrap/>
            <w:vAlign w:val="bottom"/>
            <w:hideMark/>
          </w:tcPr>
          <w:p w14:paraId="0BFB4ED3" w14:textId="77777777" w:rsidR="00FB6D6C" w:rsidRPr="006C53B4" w:rsidRDefault="004A7A82">
            <w:pPr>
              <w:rPr>
                <w:rFonts w:eastAsia="Times New Roman" w:cs="Arial"/>
                <w:color w:val="000000"/>
              </w:rPr>
            </w:pPr>
            <w:r w:rsidRPr="006C53B4">
              <w:rPr>
                <w:rFonts w:eastAsia="Times New Roman" w:cs="Arial"/>
                <w:color w:val="000000"/>
              </w:rPr>
              <w:t> </w:t>
            </w:r>
          </w:p>
        </w:tc>
        <w:tc>
          <w:tcPr>
            <w:tcW w:w="1955" w:type="dxa"/>
            <w:tcBorders>
              <w:top w:val="nil"/>
              <w:left w:val="single" w:sz="4" w:space="0" w:color="auto"/>
              <w:right w:val="single" w:sz="4" w:space="0" w:color="auto"/>
            </w:tcBorders>
            <w:shd w:val="clear" w:color="auto" w:fill="auto"/>
            <w:noWrap/>
            <w:vAlign w:val="center"/>
            <w:hideMark/>
          </w:tcPr>
          <w:p w14:paraId="430BAC79" w14:textId="77777777" w:rsidR="00FB6D6C" w:rsidRPr="006C53B4" w:rsidRDefault="004A7A82">
            <w:pPr>
              <w:jc w:val="right"/>
              <w:rPr>
                <w:rFonts w:eastAsia="Times New Roman" w:cs="Arial"/>
                <w:color w:val="000000"/>
              </w:rPr>
            </w:pPr>
            <w:r w:rsidRPr="006C53B4">
              <w:rPr>
                <w:rFonts w:eastAsia="Times New Roman" w:cs="Arial"/>
                <w:color w:val="000000"/>
              </w:rPr>
              <w:t> </w:t>
            </w:r>
          </w:p>
        </w:tc>
        <w:tc>
          <w:tcPr>
            <w:tcW w:w="1955" w:type="dxa"/>
            <w:tcBorders>
              <w:top w:val="nil"/>
              <w:left w:val="nil"/>
              <w:right w:val="single" w:sz="4" w:space="0" w:color="auto"/>
            </w:tcBorders>
            <w:shd w:val="clear" w:color="auto" w:fill="auto"/>
            <w:noWrap/>
            <w:vAlign w:val="center"/>
            <w:hideMark/>
          </w:tcPr>
          <w:p w14:paraId="31E48429" w14:textId="77777777" w:rsidR="00FB6D6C" w:rsidRPr="006C53B4" w:rsidRDefault="004A7A82">
            <w:pPr>
              <w:jc w:val="right"/>
              <w:rPr>
                <w:rFonts w:eastAsia="Times New Roman" w:cs="Arial"/>
                <w:color w:val="000000"/>
              </w:rPr>
            </w:pPr>
            <w:r w:rsidRPr="006C53B4">
              <w:rPr>
                <w:rFonts w:eastAsia="Times New Roman" w:cs="Arial"/>
                <w:color w:val="000000"/>
              </w:rPr>
              <w:t> </w:t>
            </w:r>
          </w:p>
        </w:tc>
        <w:tc>
          <w:tcPr>
            <w:tcW w:w="1955" w:type="dxa"/>
            <w:tcBorders>
              <w:top w:val="nil"/>
              <w:left w:val="nil"/>
              <w:right w:val="single" w:sz="4" w:space="0" w:color="auto"/>
            </w:tcBorders>
            <w:shd w:val="clear" w:color="auto" w:fill="auto"/>
            <w:noWrap/>
            <w:vAlign w:val="center"/>
            <w:hideMark/>
          </w:tcPr>
          <w:p w14:paraId="26AEE972" w14:textId="77777777" w:rsidR="00FB6D6C" w:rsidRPr="006C53B4" w:rsidRDefault="004A7A82">
            <w:pPr>
              <w:jc w:val="right"/>
              <w:rPr>
                <w:rFonts w:eastAsia="Times New Roman" w:cs="Arial"/>
                <w:color w:val="000000"/>
              </w:rPr>
            </w:pPr>
            <w:r w:rsidRPr="006C53B4">
              <w:rPr>
                <w:rFonts w:eastAsia="Times New Roman" w:cs="Arial"/>
                <w:color w:val="000000"/>
              </w:rPr>
              <w:t> </w:t>
            </w:r>
          </w:p>
        </w:tc>
      </w:tr>
      <w:tr w:rsidR="00C92CD8" w14:paraId="65C06973" w14:textId="77777777">
        <w:trPr>
          <w:trHeight w:val="300"/>
        </w:trPr>
        <w:tc>
          <w:tcPr>
            <w:tcW w:w="3157" w:type="dxa"/>
            <w:tcBorders>
              <w:left w:val="single" w:sz="4" w:space="0" w:color="auto"/>
              <w:right w:val="single" w:sz="4" w:space="0" w:color="auto"/>
            </w:tcBorders>
            <w:shd w:val="clear" w:color="auto" w:fill="auto"/>
            <w:noWrap/>
            <w:vAlign w:val="bottom"/>
            <w:hideMark/>
          </w:tcPr>
          <w:p w14:paraId="3A8EA40B" w14:textId="77777777" w:rsidR="00FB6D6C" w:rsidRPr="006C53B4" w:rsidRDefault="004A7A82">
            <w:pPr>
              <w:rPr>
                <w:rFonts w:eastAsia="Times New Roman" w:cs="Arial"/>
                <w:color w:val="000000"/>
              </w:rPr>
            </w:pPr>
            <w:r w:rsidRPr="006C53B4">
              <w:rPr>
                <w:rFonts w:eastAsia="Times New Roman" w:cs="Arial"/>
                <w:color w:val="000000"/>
              </w:rPr>
              <w:t>Funding (Council Tax, Business Rates and Government Grants)</w:t>
            </w:r>
          </w:p>
        </w:tc>
        <w:tc>
          <w:tcPr>
            <w:tcW w:w="1955" w:type="dxa"/>
            <w:tcBorders>
              <w:left w:val="nil"/>
              <w:right w:val="single" w:sz="4" w:space="0" w:color="auto"/>
            </w:tcBorders>
            <w:shd w:val="clear" w:color="auto" w:fill="auto"/>
            <w:noWrap/>
            <w:vAlign w:val="center"/>
            <w:hideMark/>
          </w:tcPr>
          <w:p w14:paraId="0D380022" w14:textId="1FF01800" w:rsidR="00FB6D6C" w:rsidRPr="006C53B4" w:rsidRDefault="004A7A82">
            <w:pPr>
              <w:jc w:val="right"/>
              <w:rPr>
                <w:rFonts w:eastAsia="Times New Roman" w:cs="Arial"/>
                <w:color w:val="000000"/>
              </w:rPr>
            </w:pPr>
            <w:r w:rsidRPr="006C53B4">
              <w:rPr>
                <w:rFonts w:eastAsia="Times New Roman" w:cs="Arial"/>
                <w:color w:val="000000"/>
              </w:rPr>
              <w:t>1,11</w:t>
            </w:r>
            <w:r w:rsidR="0026350F">
              <w:rPr>
                <w:rFonts w:eastAsia="Times New Roman" w:cs="Arial"/>
                <w:color w:val="000000"/>
              </w:rPr>
              <w:t>1</w:t>
            </w:r>
            <w:r w:rsidRPr="006C53B4">
              <w:rPr>
                <w:rFonts w:eastAsia="Times New Roman" w:cs="Arial"/>
                <w:color w:val="000000"/>
              </w:rPr>
              <w:t>.</w:t>
            </w:r>
            <w:r w:rsidR="00EA7A77">
              <w:rPr>
                <w:rFonts w:eastAsia="Times New Roman" w:cs="Arial"/>
                <w:color w:val="000000"/>
              </w:rPr>
              <w:t>7</w:t>
            </w:r>
            <w:r w:rsidR="0026350F">
              <w:rPr>
                <w:rFonts w:eastAsia="Times New Roman" w:cs="Arial"/>
                <w:color w:val="000000"/>
              </w:rPr>
              <w:t>54</w:t>
            </w:r>
          </w:p>
        </w:tc>
        <w:tc>
          <w:tcPr>
            <w:tcW w:w="1955" w:type="dxa"/>
            <w:tcBorders>
              <w:left w:val="nil"/>
              <w:right w:val="single" w:sz="4" w:space="0" w:color="auto"/>
            </w:tcBorders>
            <w:shd w:val="clear" w:color="auto" w:fill="auto"/>
            <w:noWrap/>
            <w:vAlign w:val="center"/>
            <w:hideMark/>
          </w:tcPr>
          <w:p w14:paraId="3869CC6D" w14:textId="10D32CBB" w:rsidR="00FB6D6C" w:rsidRPr="006C53B4" w:rsidRDefault="004A7A82">
            <w:pPr>
              <w:jc w:val="right"/>
              <w:rPr>
                <w:rFonts w:eastAsia="Times New Roman" w:cs="Arial"/>
                <w:color w:val="000000"/>
              </w:rPr>
            </w:pPr>
            <w:r w:rsidRPr="006C53B4">
              <w:rPr>
                <w:rFonts w:eastAsia="Times New Roman" w:cs="Arial"/>
                <w:color w:val="000000"/>
              </w:rPr>
              <w:t>1,1</w:t>
            </w:r>
            <w:r w:rsidR="00141A13">
              <w:rPr>
                <w:rFonts w:eastAsia="Times New Roman" w:cs="Arial"/>
                <w:color w:val="000000"/>
              </w:rPr>
              <w:t>09.6</w:t>
            </w:r>
            <w:r w:rsidR="008B74D9">
              <w:rPr>
                <w:rFonts w:eastAsia="Times New Roman" w:cs="Arial"/>
                <w:color w:val="000000"/>
              </w:rPr>
              <w:t>6</w:t>
            </w:r>
            <w:r w:rsidR="00141A13">
              <w:rPr>
                <w:rFonts w:eastAsia="Times New Roman" w:cs="Arial"/>
                <w:color w:val="000000"/>
              </w:rPr>
              <w:t>5</w:t>
            </w:r>
          </w:p>
        </w:tc>
        <w:tc>
          <w:tcPr>
            <w:tcW w:w="1955" w:type="dxa"/>
            <w:tcBorders>
              <w:left w:val="nil"/>
              <w:right w:val="single" w:sz="4" w:space="0" w:color="auto"/>
            </w:tcBorders>
            <w:shd w:val="clear" w:color="auto" w:fill="auto"/>
            <w:noWrap/>
            <w:vAlign w:val="center"/>
            <w:hideMark/>
          </w:tcPr>
          <w:p w14:paraId="4DD454A7" w14:textId="59AB5E83" w:rsidR="00FB6D6C" w:rsidRPr="006C53B4" w:rsidRDefault="004A7A82">
            <w:pPr>
              <w:jc w:val="right"/>
              <w:rPr>
                <w:rFonts w:eastAsia="Times New Roman" w:cs="Arial"/>
                <w:color w:val="000000"/>
              </w:rPr>
            </w:pPr>
            <w:r w:rsidRPr="006C53B4">
              <w:rPr>
                <w:rFonts w:eastAsia="Times New Roman" w:cs="Arial"/>
                <w:color w:val="000000"/>
              </w:rPr>
              <w:t>1,1</w:t>
            </w:r>
            <w:r w:rsidR="005E6AC5">
              <w:rPr>
                <w:rFonts w:eastAsia="Times New Roman" w:cs="Arial"/>
                <w:color w:val="000000"/>
              </w:rPr>
              <w:t>52.980</w:t>
            </w:r>
          </w:p>
        </w:tc>
      </w:tr>
      <w:tr w:rsidR="00C92CD8" w14:paraId="5701B92E" w14:textId="77777777">
        <w:trPr>
          <w:trHeight w:val="300"/>
        </w:trPr>
        <w:tc>
          <w:tcPr>
            <w:tcW w:w="3157" w:type="dxa"/>
            <w:tcBorders>
              <w:top w:val="nil"/>
              <w:left w:val="single" w:sz="4" w:space="0" w:color="auto"/>
              <w:bottom w:val="single" w:sz="4" w:space="0" w:color="auto"/>
              <w:right w:val="nil"/>
            </w:tcBorders>
            <w:shd w:val="clear" w:color="auto" w:fill="auto"/>
            <w:noWrap/>
            <w:vAlign w:val="bottom"/>
            <w:hideMark/>
          </w:tcPr>
          <w:p w14:paraId="219A585D" w14:textId="77777777" w:rsidR="00FB6D6C" w:rsidRPr="006C53B4" w:rsidRDefault="004A7A82">
            <w:pPr>
              <w:rPr>
                <w:rFonts w:eastAsia="Times New Roman" w:cs="Arial"/>
                <w:color w:val="000000"/>
              </w:rPr>
            </w:pPr>
            <w:r w:rsidRPr="006C53B4">
              <w:rPr>
                <w:rFonts w:eastAsia="Times New Roman" w:cs="Arial"/>
                <w:color w:val="000000"/>
              </w:rPr>
              <w:t> </w:t>
            </w:r>
          </w:p>
        </w:tc>
        <w:tc>
          <w:tcPr>
            <w:tcW w:w="1955" w:type="dxa"/>
            <w:tcBorders>
              <w:top w:val="nil"/>
              <w:left w:val="single" w:sz="4" w:space="0" w:color="auto"/>
              <w:bottom w:val="single" w:sz="4" w:space="0" w:color="auto"/>
              <w:right w:val="single" w:sz="4" w:space="0" w:color="auto"/>
            </w:tcBorders>
            <w:shd w:val="clear" w:color="auto" w:fill="auto"/>
            <w:noWrap/>
            <w:vAlign w:val="center"/>
            <w:hideMark/>
          </w:tcPr>
          <w:p w14:paraId="393CBDBB" w14:textId="77777777" w:rsidR="00FB6D6C" w:rsidRPr="006C53B4" w:rsidRDefault="004A7A82">
            <w:pPr>
              <w:jc w:val="right"/>
              <w:rPr>
                <w:rFonts w:eastAsia="Times New Roman" w:cs="Arial"/>
                <w:color w:val="000000"/>
              </w:rPr>
            </w:pPr>
            <w:r w:rsidRPr="006C53B4">
              <w:rPr>
                <w:rFonts w:eastAsia="Times New Roman" w:cs="Arial"/>
                <w:color w:val="000000"/>
              </w:rPr>
              <w:t> </w:t>
            </w:r>
          </w:p>
        </w:tc>
        <w:tc>
          <w:tcPr>
            <w:tcW w:w="1955" w:type="dxa"/>
            <w:tcBorders>
              <w:top w:val="nil"/>
              <w:left w:val="nil"/>
              <w:bottom w:val="single" w:sz="4" w:space="0" w:color="auto"/>
              <w:right w:val="single" w:sz="4" w:space="0" w:color="auto"/>
            </w:tcBorders>
            <w:shd w:val="clear" w:color="auto" w:fill="auto"/>
            <w:noWrap/>
            <w:vAlign w:val="center"/>
            <w:hideMark/>
          </w:tcPr>
          <w:p w14:paraId="6A476F85" w14:textId="77777777" w:rsidR="00FB6D6C" w:rsidRPr="006C53B4" w:rsidRDefault="004A7A82">
            <w:pPr>
              <w:jc w:val="right"/>
              <w:rPr>
                <w:rFonts w:eastAsia="Times New Roman" w:cs="Arial"/>
                <w:color w:val="000000"/>
              </w:rPr>
            </w:pPr>
            <w:r w:rsidRPr="006C53B4">
              <w:rPr>
                <w:rFonts w:eastAsia="Times New Roman" w:cs="Arial"/>
                <w:color w:val="000000"/>
              </w:rPr>
              <w:t> </w:t>
            </w:r>
          </w:p>
        </w:tc>
        <w:tc>
          <w:tcPr>
            <w:tcW w:w="1955" w:type="dxa"/>
            <w:tcBorders>
              <w:top w:val="nil"/>
              <w:left w:val="nil"/>
              <w:bottom w:val="single" w:sz="4" w:space="0" w:color="auto"/>
              <w:right w:val="single" w:sz="4" w:space="0" w:color="auto"/>
            </w:tcBorders>
            <w:shd w:val="clear" w:color="auto" w:fill="auto"/>
            <w:noWrap/>
            <w:vAlign w:val="center"/>
            <w:hideMark/>
          </w:tcPr>
          <w:p w14:paraId="518E312F" w14:textId="77777777" w:rsidR="00FB6D6C" w:rsidRPr="006C53B4" w:rsidRDefault="004A7A82">
            <w:pPr>
              <w:jc w:val="right"/>
              <w:rPr>
                <w:rFonts w:eastAsia="Times New Roman" w:cs="Arial"/>
                <w:color w:val="000000"/>
              </w:rPr>
            </w:pPr>
            <w:r w:rsidRPr="006C53B4">
              <w:rPr>
                <w:rFonts w:eastAsia="Times New Roman" w:cs="Arial"/>
                <w:color w:val="000000"/>
              </w:rPr>
              <w:t> </w:t>
            </w:r>
          </w:p>
        </w:tc>
      </w:tr>
      <w:tr w:rsidR="00C92CD8" w14:paraId="4AF09037" w14:textId="77777777" w:rsidTr="33D0C1D4">
        <w:trPr>
          <w:trHeight w:val="315"/>
        </w:trPr>
        <w:tc>
          <w:tcPr>
            <w:tcW w:w="3157" w:type="dxa"/>
            <w:tcBorders>
              <w:top w:val="nil"/>
              <w:left w:val="single" w:sz="4" w:space="0" w:color="auto"/>
              <w:bottom w:val="single" w:sz="4" w:space="0" w:color="auto"/>
              <w:right w:val="nil"/>
            </w:tcBorders>
            <w:shd w:val="clear" w:color="auto" w:fill="D9D9D9" w:themeFill="background1" w:themeFillShade="D9"/>
            <w:noWrap/>
            <w:vAlign w:val="center"/>
            <w:hideMark/>
          </w:tcPr>
          <w:p w14:paraId="782A0322" w14:textId="77777777" w:rsidR="00FB6D6C" w:rsidRPr="006C53B4" w:rsidRDefault="004A7A82">
            <w:pPr>
              <w:rPr>
                <w:rFonts w:eastAsia="Times New Roman" w:cs="Arial"/>
                <w:b/>
                <w:bCs/>
                <w:color w:val="000000"/>
              </w:rPr>
            </w:pPr>
            <w:r w:rsidRPr="006C53B4">
              <w:rPr>
                <w:rFonts w:eastAsia="Times New Roman" w:cs="Arial"/>
                <w:b/>
                <w:bCs/>
                <w:color w:val="000000"/>
              </w:rPr>
              <w:t>Budget Gap</w:t>
            </w:r>
          </w:p>
        </w:tc>
        <w:tc>
          <w:tcPr>
            <w:tcW w:w="195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C71EFE" w14:textId="219B811F" w:rsidR="00FB6D6C" w:rsidRPr="006C53B4" w:rsidRDefault="004A7A82">
            <w:pPr>
              <w:jc w:val="right"/>
              <w:rPr>
                <w:rFonts w:eastAsia="Times New Roman" w:cs="Arial"/>
                <w:b/>
                <w:bCs/>
                <w:color w:val="000000"/>
              </w:rPr>
            </w:pPr>
            <w:r>
              <w:rPr>
                <w:rFonts w:eastAsia="Times New Roman" w:cs="Arial"/>
                <w:b/>
                <w:bCs/>
                <w:color w:val="000000"/>
              </w:rPr>
              <w:t>0.856</w:t>
            </w:r>
          </w:p>
        </w:tc>
        <w:tc>
          <w:tcPr>
            <w:tcW w:w="1955" w:type="dxa"/>
            <w:tcBorders>
              <w:top w:val="nil"/>
              <w:left w:val="nil"/>
              <w:bottom w:val="single" w:sz="4" w:space="0" w:color="auto"/>
              <w:right w:val="single" w:sz="4" w:space="0" w:color="auto"/>
            </w:tcBorders>
            <w:shd w:val="clear" w:color="auto" w:fill="D9D9D9" w:themeFill="background1" w:themeFillShade="D9"/>
            <w:noWrap/>
            <w:vAlign w:val="center"/>
            <w:hideMark/>
          </w:tcPr>
          <w:p w14:paraId="37FCE8FD" w14:textId="64175041" w:rsidR="00FB6D6C" w:rsidRPr="006C53B4" w:rsidRDefault="004A7A82">
            <w:pPr>
              <w:jc w:val="right"/>
              <w:rPr>
                <w:rFonts w:eastAsia="Times New Roman" w:cs="Arial"/>
                <w:b/>
                <w:bCs/>
                <w:color w:val="000000"/>
              </w:rPr>
            </w:pPr>
            <w:r>
              <w:rPr>
                <w:rFonts w:eastAsia="Times New Roman" w:cs="Arial"/>
                <w:b/>
                <w:bCs/>
                <w:color w:val="000000"/>
              </w:rPr>
              <w:t>10.488</w:t>
            </w:r>
          </w:p>
        </w:tc>
        <w:tc>
          <w:tcPr>
            <w:tcW w:w="1955" w:type="dxa"/>
            <w:tcBorders>
              <w:top w:val="nil"/>
              <w:left w:val="nil"/>
              <w:bottom w:val="single" w:sz="4" w:space="0" w:color="auto"/>
              <w:right w:val="single" w:sz="4" w:space="0" w:color="auto"/>
            </w:tcBorders>
            <w:shd w:val="clear" w:color="auto" w:fill="D9D9D9" w:themeFill="background1" w:themeFillShade="D9"/>
            <w:noWrap/>
            <w:vAlign w:val="center"/>
            <w:hideMark/>
          </w:tcPr>
          <w:p w14:paraId="7C830F58" w14:textId="272F5517" w:rsidR="00FB6D6C" w:rsidRPr="006C53B4" w:rsidRDefault="004A7A82">
            <w:pPr>
              <w:jc w:val="right"/>
              <w:rPr>
                <w:rFonts w:eastAsia="Times New Roman" w:cs="Arial"/>
                <w:b/>
                <w:bCs/>
                <w:color w:val="000000"/>
              </w:rPr>
            </w:pPr>
            <w:r>
              <w:rPr>
                <w:rFonts w:eastAsia="Times New Roman" w:cs="Arial"/>
                <w:b/>
                <w:bCs/>
                <w:color w:val="000000"/>
              </w:rPr>
              <w:t>3.351</w:t>
            </w:r>
          </w:p>
        </w:tc>
      </w:tr>
      <w:tr w:rsidR="00C92CD8" w14:paraId="0A13C419" w14:textId="77777777">
        <w:trPr>
          <w:trHeight w:val="315"/>
        </w:trPr>
        <w:tc>
          <w:tcPr>
            <w:tcW w:w="3157" w:type="dxa"/>
            <w:tcBorders>
              <w:top w:val="single" w:sz="4" w:space="0" w:color="auto"/>
              <w:left w:val="single" w:sz="4" w:space="0" w:color="auto"/>
              <w:bottom w:val="single" w:sz="4" w:space="0" w:color="auto"/>
              <w:right w:val="nil"/>
            </w:tcBorders>
            <w:shd w:val="clear" w:color="auto" w:fill="auto"/>
            <w:noWrap/>
            <w:vAlign w:val="bottom"/>
          </w:tcPr>
          <w:p w14:paraId="09D96187" w14:textId="77777777" w:rsidR="00FB6D6C" w:rsidRPr="006C53B4" w:rsidRDefault="00FB6D6C">
            <w:pPr>
              <w:rPr>
                <w:rFonts w:eastAsia="Times New Roman" w:cs="Arial"/>
                <w:b/>
                <w:bCs/>
                <w:color w:val="000000"/>
              </w:rPr>
            </w:pP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F3FD2" w14:textId="77777777" w:rsidR="00FB6D6C" w:rsidRPr="006C53B4" w:rsidRDefault="00FB6D6C">
            <w:pPr>
              <w:jc w:val="right"/>
              <w:rPr>
                <w:rFonts w:eastAsia="Times New Roman" w:cs="Arial"/>
                <w:b/>
                <w:bCs/>
                <w:color w:val="000000"/>
              </w:rPr>
            </w:pPr>
          </w:p>
        </w:tc>
        <w:tc>
          <w:tcPr>
            <w:tcW w:w="1955" w:type="dxa"/>
            <w:tcBorders>
              <w:top w:val="single" w:sz="4" w:space="0" w:color="auto"/>
              <w:left w:val="nil"/>
              <w:bottom w:val="single" w:sz="4" w:space="0" w:color="auto"/>
              <w:right w:val="single" w:sz="4" w:space="0" w:color="auto"/>
            </w:tcBorders>
            <w:shd w:val="clear" w:color="auto" w:fill="auto"/>
            <w:noWrap/>
            <w:vAlign w:val="center"/>
          </w:tcPr>
          <w:p w14:paraId="73C05BF0" w14:textId="77777777" w:rsidR="00FB6D6C" w:rsidRPr="006C53B4" w:rsidRDefault="00FB6D6C">
            <w:pPr>
              <w:jc w:val="right"/>
              <w:rPr>
                <w:rFonts w:eastAsia="Times New Roman" w:cs="Arial"/>
                <w:b/>
                <w:bCs/>
                <w:color w:val="000000"/>
              </w:rPr>
            </w:pPr>
          </w:p>
        </w:tc>
        <w:tc>
          <w:tcPr>
            <w:tcW w:w="1955" w:type="dxa"/>
            <w:tcBorders>
              <w:top w:val="single" w:sz="4" w:space="0" w:color="auto"/>
              <w:left w:val="nil"/>
              <w:bottom w:val="single" w:sz="4" w:space="0" w:color="auto"/>
              <w:right w:val="single" w:sz="4" w:space="0" w:color="auto"/>
            </w:tcBorders>
            <w:shd w:val="clear" w:color="auto" w:fill="auto"/>
            <w:noWrap/>
            <w:vAlign w:val="center"/>
          </w:tcPr>
          <w:p w14:paraId="359401BF" w14:textId="77777777" w:rsidR="00FB6D6C" w:rsidRPr="006C53B4" w:rsidRDefault="00FB6D6C">
            <w:pPr>
              <w:jc w:val="right"/>
              <w:rPr>
                <w:rFonts w:eastAsia="Times New Roman" w:cs="Arial"/>
                <w:b/>
                <w:bCs/>
                <w:color w:val="000000"/>
              </w:rPr>
            </w:pPr>
          </w:p>
        </w:tc>
      </w:tr>
      <w:tr w:rsidR="00C92CD8" w14:paraId="27CCA158" w14:textId="77777777">
        <w:trPr>
          <w:trHeight w:val="315"/>
        </w:trPr>
        <w:tc>
          <w:tcPr>
            <w:tcW w:w="3157" w:type="dxa"/>
            <w:tcBorders>
              <w:top w:val="nil"/>
              <w:left w:val="single" w:sz="4" w:space="0" w:color="auto"/>
              <w:bottom w:val="single" w:sz="4" w:space="0" w:color="auto"/>
              <w:right w:val="nil"/>
            </w:tcBorders>
            <w:shd w:val="clear" w:color="auto" w:fill="auto"/>
            <w:noWrap/>
            <w:vAlign w:val="bottom"/>
          </w:tcPr>
          <w:p w14:paraId="3356A00A" w14:textId="77777777" w:rsidR="00FB6D6C" w:rsidRPr="007958D2" w:rsidRDefault="004A7A82">
            <w:pPr>
              <w:rPr>
                <w:rFonts w:eastAsia="Times New Roman" w:cs="Arial"/>
                <w:color w:val="000000"/>
              </w:rPr>
            </w:pPr>
            <w:r w:rsidRPr="007958D2">
              <w:rPr>
                <w:rFonts w:eastAsia="Times New Roman" w:cs="Arial"/>
                <w:color w:val="000000"/>
              </w:rPr>
              <w:t>Funding from transitional reserve</w:t>
            </w:r>
            <w:r>
              <w:rPr>
                <w:rFonts w:eastAsia="Times New Roman" w:cs="Arial"/>
                <w:color w:val="000000"/>
              </w:rPr>
              <w:t xml:space="preserve"> (2024/25)</w:t>
            </w:r>
          </w:p>
        </w:tc>
        <w:tc>
          <w:tcPr>
            <w:tcW w:w="1955" w:type="dxa"/>
            <w:tcBorders>
              <w:top w:val="nil"/>
              <w:left w:val="single" w:sz="4" w:space="0" w:color="auto"/>
              <w:bottom w:val="single" w:sz="4" w:space="0" w:color="auto"/>
              <w:right w:val="single" w:sz="4" w:space="0" w:color="auto"/>
            </w:tcBorders>
            <w:shd w:val="clear" w:color="auto" w:fill="auto"/>
            <w:noWrap/>
            <w:vAlign w:val="center"/>
          </w:tcPr>
          <w:p w14:paraId="1D4678E0" w14:textId="50F30A97" w:rsidR="00FB6D6C" w:rsidRPr="007958D2" w:rsidRDefault="004A7A82">
            <w:pPr>
              <w:jc w:val="right"/>
              <w:rPr>
                <w:rFonts w:eastAsia="Times New Roman" w:cs="Arial"/>
                <w:color w:val="000000"/>
              </w:rPr>
            </w:pPr>
            <w:r w:rsidRPr="007958D2">
              <w:rPr>
                <w:rFonts w:eastAsia="Times New Roman" w:cs="Arial"/>
                <w:color w:val="000000"/>
              </w:rPr>
              <w:t>-</w:t>
            </w:r>
            <w:r w:rsidR="00EA7A77">
              <w:rPr>
                <w:rFonts w:eastAsia="Times New Roman" w:cs="Arial"/>
                <w:color w:val="000000"/>
              </w:rPr>
              <w:t>0.856</w:t>
            </w:r>
          </w:p>
        </w:tc>
        <w:tc>
          <w:tcPr>
            <w:tcW w:w="1955" w:type="dxa"/>
            <w:tcBorders>
              <w:top w:val="nil"/>
              <w:left w:val="nil"/>
              <w:bottom w:val="single" w:sz="4" w:space="0" w:color="auto"/>
              <w:right w:val="single" w:sz="4" w:space="0" w:color="auto"/>
            </w:tcBorders>
            <w:shd w:val="clear" w:color="auto" w:fill="auto"/>
            <w:noWrap/>
            <w:vAlign w:val="center"/>
          </w:tcPr>
          <w:p w14:paraId="3397E9AA" w14:textId="77777777" w:rsidR="00FB6D6C" w:rsidRPr="007958D2" w:rsidRDefault="004A7A82">
            <w:pPr>
              <w:jc w:val="right"/>
              <w:rPr>
                <w:rFonts w:eastAsia="Times New Roman" w:cs="Arial"/>
                <w:color w:val="000000"/>
              </w:rPr>
            </w:pPr>
            <w:r w:rsidRPr="007958D2">
              <w:rPr>
                <w:rFonts w:eastAsia="Times New Roman" w:cs="Arial"/>
                <w:color w:val="000000"/>
              </w:rPr>
              <w:t>0.000</w:t>
            </w:r>
          </w:p>
        </w:tc>
        <w:tc>
          <w:tcPr>
            <w:tcW w:w="1955" w:type="dxa"/>
            <w:tcBorders>
              <w:top w:val="nil"/>
              <w:left w:val="nil"/>
              <w:bottom w:val="single" w:sz="4" w:space="0" w:color="auto"/>
              <w:right w:val="single" w:sz="4" w:space="0" w:color="auto"/>
            </w:tcBorders>
            <w:shd w:val="clear" w:color="auto" w:fill="auto"/>
            <w:noWrap/>
            <w:vAlign w:val="center"/>
          </w:tcPr>
          <w:p w14:paraId="65EBF2C0" w14:textId="77777777" w:rsidR="00FB6D6C" w:rsidRPr="007958D2" w:rsidRDefault="004A7A82">
            <w:pPr>
              <w:jc w:val="right"/>
              <w:rPr>
                <w:rFonts w:eastAsia="Times New Roman" w:cs="Arial"/>
                <w:color w:val="000000"/>
              </w:rPr>
            </w:pPr>
            <w:r w:rsidRPr="007958D2">
              <w:rPr>
                <w:rFonts w:eastAsia="Times New Roman" w:cs="Arial"/>
                <w:color w:val="000000"/>
              </w:rPr>
              <w:t>0.000</w:t>
            </w:r>
          </w:p>
        </w:tc>
      </w:tr>
      <w:tr w:rsidR="00C92CD8" w14:paraId="4991E712" w14:textId="77777777">
        <w:trPr>
          <w:trHeight w:val="315"/>
        </w:trPr>
        <w:tc>
          <w:tcPr>
            <w:tcW w:w="3157" w:type="dxa"/>
            <w:tcBorders>
              <w:top w:val="nil"/>
              <w:left w:val="single" w:sz="4" w:space="0" w:color="auto"/>
              <w:bottom w:val="single" w:sz="4" w:space="0" w:color="auto"/>
              <w:right w:val="nil"/>
            </w:tcBorders>
            <w:shd w:val="clear" w:color="auto" w:fill="auto"/>
            <w:noWrap/>
            <w:vAlign w:val="bottom"/>
          </w:tcPr>
          <w:p w14:paraId="70566E87" w14:textId="77777777" w:rsidR="00FB6D6C" w:rsidRDefault="00FB6D6C">
            <w:pPr>
              <w:rPr>
                <w:rFonts w:eastAsia="Times New Roman" w:cs="Arial"/>
                <w:b/>
                <w:bCs/>
                <w:color w:val="000000"/>
              </w:rPr>
            </w:pPr>
          </w:p>
        </w:tc>
        <w:tc>
          <w:tcPr>
            <w:tcW w:w="1955" w:type="dxa"/>
            <w:tcBorders>
              <w:top w:val="nil"/>
              <w:left w:val="single" w:sz="4" w:space="0" w:color="auto"/>
              <w:bottom w:val="single" w:sz="4" w:space="0" w:color="auto"/>
              <w:right w:val="single" w:sz="4" w:space="0" w:color="auto"/>
            </w:tcBorders>
            <w:shd w:val="clear" w:color="auto" w:fill="auto"/>
            <w:noWrap/>
            <w:vAlign w:val="center"/>
          </w:tcPr>
          <w:p w14:paraId="3EDB2EC6" w14:textId="77777777" w:rsidR="00FB6D6C" w:rsidRDefault="00FB6D6C">
            <w:pPr>
              <w:jc w:val="right"/>
              <w:rPr>
                <w:rFonts w:eastAsia="Times New Roman" w:cs="Arial"/>
                <w:b/>
                <w:bCs/>
                <w:color w:val="000000"/>
              </w:rPr>
            </w:pPr>
          </w:p>
        </w:tc>
        <w:tc>
          <w:tcPr>
            <w:tcW w:w="1955" w:type="dxa"/>
            <w:tcBorders>
              <w:top w:val="nil"/>
              <w:left w:val="nil"/>
              <w:bottom w:val="single" w:sz="4" w:space="0" w:color="auto"/>
              <w:right w:val="single" w:sz="4" w:space="0" w:color="auto"/>
            </w:tcBorders>
            <w:shd w:val="clear" w:color="auto" w:fill="auto"/>
            <w:noWrap/>
            <w:vAlign w:val="center"/>
          </w:tcPr>
          <w:p w14:paraId="799E33F9" w14:textId="77777777" w:rsidR="00FB6D6C" w:rsidRPr="006C53B4" w:rsidRDefault="00FB6D6C">
            <w:pPr>
              <w:jc w:val="right"/>
              <w:rPr>
                <w:rFonts w:eastAsia="Times New Roman" w:cs="Arial"/>
                <w:b/>
                <w:bCs/>
                <w:color w:val="000000"/>
              </w:rPr>
            </w:pPr>
          </w:p>
        </w:tc>
        <w:tc>
          <w:tcPr>
            <w:tcW w:w="1955" w:type="dxa"/>
            <w:tcBorders>
              <w:top w:val="nil"/>
              <w:left w:val="nil"/>
              <w:bottom w:val="single" w:sz="4" w:space="0" w:color="auto"/>
              <w:right w:val="single" w:sz="4" w:space="0" w:color="auto"/>
            </w:tcBorders>
            <w:shd w:val="clear" w:color="auto" w:fill="auto"/>
            <w:noWrap/>
            <w:vAlign w:val="center"/>
          </w:tcPr>
          <w:p w14:paraId="453CD3B0" w14:textId="77777777" w:rsidR="00FB6D6C" w:rsidRPr="006C53B4" w:rsidRDefault="00FB6D6C">
            <w:pPr>
              <w:jc w:val="right"/>
              <w:rPr>
                <w:rFonts w:eastAsia="Times New Roman" w:cs="Arial"/>
                <w:b/>
                <w:bCs/>
                <w:color w:val="000000"/>
              </w:rPr>
            </w:pPr>
          </w:p>
        </w:tc>
      </w:tr>
      <w:tr w:rsidR="00C92CD8" w14:paraId="18918F45" w14:textId="77777777" w:rsidTr="33D0C1D4">
        <w:trPr>
          <w:trHeight w:val="315"/>
        </w:trPr>
        <w:tc>
          <w:tcPr>
            <w:tcW w:w="3157"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7D5A7919" w14:textId="77777777" w:rsidR="00FB6D6C" w:rsidRPr="006C53B4" w:rsidRDefault="004A7A82">
            <w:pPr>
              <w:rPr>
                <w:rFonts w:eastAsia="Times New Roman" w:cs="Arial"/>
                <w:b/>
                <w:bCs/>
                <w:color w:val="000000"/>
              </w:rPr>
            </w:pPr>
            <w:r>
              <w:rPr>
                <w:rFonts w:eastAsia="Times New Roman" w:cs="Arial"/>
                <w:b/>
                <w:bCs/>
                <w:color w:val="000000"/>
              </w:rPr>
              <w:t>Final Budget Gap</w:t>
            </w:r>
          </w:p>
        </w:tc>
        <w:tc>
          <w:tcPr>
            <w:tcW w:w="1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2E4B2F0" w14:textId="77777777" w:rsidR="00FB6D6C" w:rsidRPr="006C53B4" w:rsidRDefault="004A7A82">
            <w:pPr>
              <w:jc w:val="right"/>
              <w:rPr>
                <w:rFonts w:eastAsia="Times New Roman" w:cs="Arial"/>
                <w:b/>
                <w:bCs/>
                <w:color w:val="000000"/>
              </w:rPr>
            </w:pPr>
            <w:r>
              <w:rPr>
                <w:rFonts w:eastAsia="Times New Roman" w:cs="Arial"/>
                <w:b/>
                <w:bCs/>
                <w:color w:val="000000"/>
              </w:rPr>
              <w:t>0.000</w:t>
            </w:r>
          </w:p>
        </w:tc>
        <w:tc>
          <w:tcPr>
            <w:tcW w:w="19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AB16898" w14:textId="6D5CF3E7" w:rsidR="00FB6D6C" w:rsidRPr="006C53B4" w:rsidRDefault="004A7A82">
            <w:pPr>
              <w:jc w:val="right"/>
              <w:rPr>
                <w:rFonts w:eastAsia="Times New Roman" w:cs="Arial"/>
                <w:b/>
                <w:bCs/>
                <w:color w:val="000000"/>
              </w:rPr>
            </w:pPr>
            <w:r>
              <w:rPr>
                <w:rFonts w:eastAsia="Times New Roman" w:cs="Arial"/>
                <w:b/>
                <w:bCs/>
                <w:color w:val="000000"/>
              </w:rPr>
              <w:t>10.488</w:t>
            </w:r>
          </w:p>
        </w:tc>
        <w:tc>
          <w:tcPr>
            <w:tcW w:w="19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3066D08" w14:textId="3CFBC85C" w:rsidR="00FB6D6C" w:rsidRPr="006C53B4" w:rsidRDefault="004A7A82">
            <w:pPr>
              <w:jc w:val="right"/>
              <w:rPr>
                <w:rFonts w:eastAsia="Times New Roman" w:cs="Arial"/>
                <w:b/>
                <w:bCs/>
                <w:color w:val="000000"/>
              </w:rPr>
            </w:pPr>
            <w:r>
              <w:rPr>
                <w:rFonts w:eastAsia="Times New Roman" w:cs="Arial"/>
                <w:b/>
                <w:bCs/>
                <w:color w:val="000000"/>
              </w:rPr>
              <w:t>3.351</w:t>
            </w:r>
          </w:p>
        </w:tc>
      </w:tr>
    </w:tbl>
    <w:p w14:paraId="53FFAC29" w14:textId="77777777" w:rsidR="009F24E1" w:rsidRDefault="009F24E1" w:rsidP="00320643">
      <w:pPr>
        <w:rPr>
          <w:rFonts w:cs="Arial"/>
          <w:b/>
          <w:i/>
          <w:iCs/>
          <w:highlight w:val="yellow"/>
          <w:u w:val="single"/>
        </w:rPr>
      </w:pPr>
    </w:p>
    <w:p w14:paraId="30D2A697" w14:textId="77777777" w:rsidR="00643ABA" w:rsidRDefault="004A7A82" w:rsidP="00643ABA">
      <w:pPr>
        <w:autoSpaceDE w:val="0"/>
        <w:autoSpaceDN w:val="0"/>
        <w:adjustRightInd w:val="0"/>
        <w:jc w:val="both"/>
        <w:rPr>
          <w:rFonts w:eastAsia="Calibri" w:cs="Helvetica-Light"/>
          <w:b/>
          <w:color w:val="000000"/>
        </w:rPr>
      </w:pPr>
      <w:r>
        <w:rPr>
          <w:rFonts w:eastAsia="Calibri" w:cs="Helvetica-Light"/>
          <w:b/>
          <w:color w:val="000000"/>
        </w:rPr>
        <w:t>4.</w:t>
      </w:r>
      <w:r>
        <w:rPr>
          <w:rFonts w:eastAsia="Calibri" w:cs="Helvetica-Light"/>
          <w:b/>
          <w:color w:val="000000"/>
        </w:rPr>
        <w:tab/>
        <w:t xml:space="preserve">Pay </w:t>
      </w:r>
    </w:p>
    <w:p w14:paraId="1C4DB0F2" w14:textId="77777777" w:rsidR="00643ABA" w:rsidRDefault="00643ABA" w:rsidP="00643ABA">
      <w:pPr>
        <w:autoSpaceDE w:val="0"/>
        <w:autoSpaceDN w:val="0"/>
        <w:adjustRightInd w:val="0"/>
        <w:jc w:val="both"/>
        <w:rPr>
          <w:rFonts w:eastAsia="Calibri" w:cs="Helvetica-Light"/>
          <w:b/>
          <w:color w:val="000000"/>
        </w:rPr>
      </w:pPr>
    </w:p>
    <w:p w14:paraId="251CA074" w14:textId="05658060" w:rsidR="00643ABA" w:rsidRDefault="004A7A82" w:rsidP="00CB2890">
      <w:pPr>
        <w:spacing w:line="259" w:lineRule="auto"/>
        <w:ind w:left="720" w:hanging="720"/>
        <w:contextualSpacing/>
        <w:jc w:val="both"/>
        <w:rPr>
          <w:rFonts w:cs="Arial"/>
        </w:rPr>
      </w:pPr>
      <w:r w:rsidRPr="2165DDB2">
        <w:rPr>
          <w:rFonts w:cs="Arial"/>
        </w:rPr>
        <w:t>4.1</w:t>
      </w:r>
      <w:r>
        <w:tab/>
      </w:r>
      <w:r w:rsidRPr="2165DDB2">
        <w:rPr>
          <w:rFonts w:cs="Arial"/>
        </w:rPr>
        <w:t xml:space="preserve">The </w:t>
      </w:r>
      <w:r w:rsidR="00140841">
        <w:rPr>
          <w:rFonts w:cs="Arial"/>
        </w:rPr>
        <w:t>C</w:t>
      </w:r>
      <w:r w:rsidR="32BAC755" w:rsidRPr="2165DDB2">
        <w:rPr>
          <w:rFonts w:cs="Arial"/>
        </w:rPr>
        <w:t>ouncil</w:t>
      </w:r>
      <w:r w:rsidR="00CB2890">
        <w:rPr>
          <w:rFonts w:cs="Arial"/>
        </w:rPr>
        <w:t>'</w:t>
      </w:r>
      <w:r w:rsidR="32BAC755" w:rsidRPr="2165DDB2">
        <w:rPr>
          <w:rFonts w:cs="Arial"/>
        </w:rPr>
        <w:t>s pay costs have increased by £20.</w:t>
      </w:r>
      <w:r w:rsidR="00CB2890">
        <w:rPr>
          <w:rFonts w:cs="Arial"/>
        </w:rPr>
        <w:t>756</w:t>
      </w:r>
      <w:r w:rsidR="32BAC755" w:rsidRPr="2165DDB2">
        <w:rPr>
          <w:rFonts w:cs="Arial"/>
        </w:rPr>
        <w:t xml:space="preserve">m in 2024/25. These cost increases have arisen </w:t>
      </w:r>
      <w:r w:rsidR="6A5B2B27" w:rsidRPr="2165DDB2">
        <w:rPr>
          <w:rFonts w:cs="Arial"/>
        </w:rPr>
        <w:t xml:space="preserve">through a combination </w:t>
      </w:r>
      <w:r w:rsidR="32BAC755" w:rsidRPr="2165DDB2">
        <w:rPr>
          <w:rFonts w:cs="Arial"/>
        </w:rPr>
        <w:t xml:space="preserve">of the increase to the </w:t>
      </w:r>
      <w:r w:rsidR="005C7928">
        <w:rPr>
          <w:rFonts w:cs="Arial"/>
        </w:rPr>
        <w:t>foundation</w:t>
      </w:r>
      <w:r w:rsidR="32BAC755" w:rsidRPr="2165DDB2">
        <w:rPr>
          <w:rFonts w:cs="Arial"/>
        </w:rPr>
        <w:t xml:space="preserve"> living wage (</w:t>
      </w:r>
      <w:r w:rsidR="3DE8D53C" w:rsidRPr="2165DDB2">
        <w:rPr>
          <w:rFonts w:cs="Arial"/>
        </w:rPr>
        <w:t xml:space="preserve">which has increased from </w:t>
      </w:r>
      <w:r w:rsidR="3DE8D53C" w:rsidRPr="0029530F">
        <w:rPr>
          <w:rFonts w:cs="Arial"/>
        </w:rPr>
        <w:t>£</w:t>
      </w:r>
      <w:r w:rsidR="00D84CA0" w:rsidRPr="0029530F">
        <w:rPr>
          <w:rFonts w:cs="Arial"/>
        </w:rPr>
        <w:t>10.90</w:t>
      </w:r>
      <w:r w:rsidR="3DE8D53C" w:rsidRPr="0029530F">
        <w:rPr>
          <w:rFonts w:cs="Arial"/>
        </w:rPr>
        <w:t xml:space="preserve"> per</w:t>
      </w:r>
      <w:r w:rsidR="3DE8D53C" w:rsidRPr="2165DDB2">
        <w:rPr>
          <w:rFonts w:cs="Arial"/>
        </w:rPr>
        <w:t xml:space="preserve"> hour to £</w:t>
      </w:r>
      <w:r w:rsidR="00FC4D4A">
        <w:rPr>
          <w:rFonts w:cs="Arial"/>
        </w:rPr>
        <w:t>12.00</w:t>
      </w:r>
      <w:r w:rsidR="3DE8D53C" w:rsidRPr="2165DDB2">
        <w:rPr>
          <w:rFonts w:cs="Arial"/>
        </w:rPr>
        <w:t xml:space="preserve"> per hour</w:t>
      </w:r>
      <w:r w:rsidR="008910BC">
        <w:rPr>
          <w:rFonts w:cs="Arial"/>
        </w:rPr>
        <w:t xml:space="preserve"> -</w:t>
      </w:r>
      <w:r w:rsidR="3DE8D53C" w:rsidRPr="2165DDB2">
        <w:rPr>
          <w:rFonts w:cs="Arial"/>
        </w:rPr>
        <w:t xml:space="preserve"> an increase of </w:t>
      </w:r>
      <w:r w:rsidR="00CB2890">
        <w:rPr>
          <w:rFonts w:cs="Arial"/>
        </w:rPr>
        <w:t>10</w:t>
      </w:r>
      <w:r w:rsidR="3DE8D53C" w:rsidRPr="2165DDB2">
        <w:rPr>
          <w:rFonts w:cs="Arial"/>
        </w:rPr>
        <w:t xml:space="preserve">%) </w:t>
      </w:r>
      <w:r w:rsidR="0B8CEAB1" w:rsidRPr="2165DDB2">
        <w:rPr>
          <w:rFonts w:cs="Arial"/>
        </w:rPr>
        <w:t xml:space="preserve">and an assumption </w:t>
      </w:r>
      <w:r w:rsidR="00682B7D">
        <w:rPr>
          <w:rFonts w:cs="Arial"/>
        </w:rPr>
        <w:t xml:space="preserve">that </w:t>
      </w:r>
      <w:r w:rsidR="0B8CEAB1" w:rsidRPr="2165DDB2">
        <w:rPr>
          <w:rFonts w:cs="Arial"/>
        </w:rPr>
        <w:t>the pay award for staff will be around 3%.</w:t>
      </w:r>
      <w:r w:rsidR="00E6680D">
        <w:rPr>
          <w:rFonts w:cs="Arial"/>
        </w:rPr>
        <w:t xml:space="preserve"> The </w:t>
      </w:r>
      <w:r w:rsidR="002F7FC6">
        <w:rPr>
          <w:rFonts w:cs="Arial"/>
        </w:rPr>
        <w:t>additional budget required</w:t>
      </w:r>
      <w:r w:rsidR="00E6680D">
        <w:rPr>
          <w:rFonts w:cs="Arial"/>
        </w:rPr>
        <w:t xml:space="preserve"> in 2024/25 includes a backdated element for the higher than budgeted pay award in 2023/24. </w:t>
      </w:r>
    </w:p>
    <w:p w14:paraId="564450BD" w14:textId="77777777" w:rsidR="00643ABA" w:rsidRDefault="00643ABA" w:rsidP="00643ABA">
      <w:pPr>
        <w:spacing w:line="259" w:lineRule="auto"/>
        <w:contextualSpacing/>
        <w:rPr>
          <w:rFonts w:cs="Arial"/>
        </w:rPr>
      </w:pPr>
    </w:p>
    <w:p w14:paraId="15DA5142" w14:textId="3B9A77D1" w:rsidR="00643ABA" w:rsidRDefault="004A7A82" w:rsidP="00643ABA">
      <w:pPr>
        <w:spacing w:line="259" w:lineRule="auto"/>
        <w:ind w:left="720" w:hanging="720"/>
        <w:contextualSpacing/>
        <w:jc w:val="both"/>
        <w:rPr>
          <w:rFonts w:cs="Arial"/>
        </w:rPr>
      </w:pPr>
      <w:r>
        <w:rPr>
          <w:rFonts w:cs="Arial"/>
        </w:rPr>
        <w:t>4.2</w:t>
      </w:r>
      <w:r>
        <w:rPr>
          <w:rFonts w:cs="Arial"/>
        </w:rPr>
        <w:tab/>
        <w:t>Any pay award estimate is subject to the national negotiations, with the outcome expected during the 2024/25 financial year. If the actual pay award agreed is higher in 2024/25 than the 3% assumed</w:t>
      </w:r>
      <w:r w:rsidR="007D70C3">
        <w:rPr>
          <w:rFonts w:cs="Arial"/>
        </w:rPr>
        <w:t>,</w:t>
      </w:r>
      <w:r>
        <w:rPr>
          <w:rFonts w:cs="Arial"/>
        </w:rPr>
        <w:t xml:space="preserve"> the additional cost would be funded from the transitional reserve in-year and increase costs in subsequent years. </w:t>
      </w:r>
    </w:p>
    <w:p w14:paraId="135C8ECB" w14:textId="72E9EEE7" w:rsidR="007F03E1" w:rsidRDefault="007F03E1" w:rsidP="007F03E1">
      <w:pPr>
        <w:spacing w:line="259" w:lineRule="auto"/>
        <w:contextualSpacing/>
        <w:jc w:val="both"/>
        <w:rPr>
          <w:rFonts w:cs="Arial"/>
        </w:rPr>
      </w:pPr>
    </w:p>
    <w:p w14:paraId="5FFC96C6" w14:textId="64E79797" w:rsidR="0029530F" w:rsidRDefault="0029530F" w:rsidP="007F03E1">
      <w:pPr>
        <w:spacing w:line="259" w:lineRule="auto"/>
        <w:contextualSpacing/>
        <w:jc w:val="both"/>
        <w:rPr>
          <w:rFonts w:cs="Arial"/>
        </w:rPr>
      </w:pPr>
    </w:p>
    <w:p w14:paraId="4ADA960B" w14:textId="0630D750" w:rsidR="0029530F" w:rsidRDefault="0029530F" w:rsidP="007F03E1">
      <w:pPr>
        <w:spacing w:line="259" w:lineRule="auto"/>
        <w:contextualSpacing/>
        <w:jc w:val="both"/>
        <w:rPr>
          <w:rFonts w:cs="Arial"/>
        </w:rPr>
      </w:pPr>
    </w:p>
    <w:p w14:paraId="03B09349" w14:textId="77777777" w:rsidR="00643ABA" w:rsidRDefault="004A7A82" w:rsidP="00643ABA">
      <w:pPr>
        <w:autoSpaceDE w:val="0"/>
        <w:autoSpaceDN w:val="0"/>
        <w:adjustRightInd w:val="0"/>
        <w:jc w:val="both"/>
        <w:rPr>
          <w:rFonts w:eastAsia="Calibri" w:cs="Helvetica-Light"/>
          <w:b/>
          <w:color w:val="000000"/>
        </w:rPr>
      </w:pPr>
      <w:r>
        <w:rPr>
          <w:rFonts w:eastAsia="Calibri" w:cs="Helvetica-Light"/>
          <w:b/>
          <w:color w:val="000000"/>
        </w:rPr>
        <w:lastRenderedPageBreak/>
        <w:t xml:space="preserve">5. </w:t>
      </w:r>
      <w:r>
        <w:rPr>
          <w:rFonts w:eastAsia="Calibri" w:cs="Helvetica-Light"/>
          <w:b/>
          <w:color w:val="000000"/>
        </w:rPr>
        <w:tab/>
        <w:t>Inflation and Cost Changes</w:t>
      </w:r>
    </w:p>
    <w:p w14:paraId="280EFEB5" w14:textId="77777777" w:rsidR="00643ABA" w:rsidRDefault="00643ABA" w:rsidP="00643ABA">
      <w:pPr>
        <w:autoSpaceDE w:val="0"/>
        <w:autoSpaceDN w:val="0"/>
        <w:adjustRightInd w:val="0"/>
        <w:jc w:val="both"/>
        <w:rPr>
          <w:rFonts w:eastAsia="Calibri" w:cs="Helvetica-Light"/>
          <w:b/>
          <w:color w:val="000000"/>
        </w:rPr>
      </w:pPr>
    </w:p>
    <w:p w14:paraId="59798D49" w14:textId="699E8A4F" w:rsidR="007F03E1" w:rsidRPr="00467834" w:rsidRDefault="004A7A82" w:rsidP="00643ABA">
      <w:pPr>
        <w:autoSpaceDE w:val="0"/>
        <w:autoSpaceDN w:val="0"/>
        <w:adjustRightInd w:val="0"/>
        <w:jc w:val="both"/>
        <w:rPr>
          <w:rFonts w:eastAsia="Calibri" w:cs="Helvetica-Light"/>
          <w:b/>
          <w:i/>
          <w:iCs/>
          <w:color w:val="000000"/>
          <w:u w:val="single"/>
        </w:rPr>
      </w:pPr>
      <w:r w:rsidRPr="00467834">
        <w:rPr>
          <w:rFonts w:eastAsia="Calibri" w:cs="Helvetica-Light"/>
          <w:b/>
          <w:i/>
          <w:iCs/>
          <w:color w:val="000000"/>
          <w:u w:val="single"/>
        </w:rPr>
        <w:t xml:space="preserve">Table </w:t>
      </w:r>
      <w:r w:rsidR="00467834" w:rsidRPr="00467834">
        <w:rPr>
          <w:rFonts w:eastAsia="Calibri" w:cs="Helvetica-Light"/>
          <w:b/>
          <w:i/>
          <w:iCs/>
          <w:color w:val="000000"/>
          <w:u w:val="single"/>
        </w:rPr>
        <w:t>4</w:t>
      </w:r>
    </w:p>
    <w:p w14:paraId="2C6BC4C6" w14:textId="77777777" w:rsidR="007F03E1" w:rsidRDefault="007F03E1" w:rsidP="00643ABA">
      <w:pPr>
        <w:autoSpaceDE w:val="0"/>
        <w:autoSpaceDN w:val="0"/>
        <w:adjustRightInd w:val="0"/>
        <w:jc w:val="both"/>
        <w:rPr>
          <w:rFonts w:eastAsia="Calibri" w:cs="Helvetica-Light"/>
          <w:b/>
          <w:color w:val="000000"/>
        </w:rPr>
      </w:pPr>
    </w:p>
    <w:tbl>
      <w:tblPr>
        <w:tblW w:w="8954" w:type="dxa"/>
        <w:tblInd w:w="113" w:type="dxa"/>
        <w:tblLook w:val="04A0" w:firstRow="1" w:lastRow="0" w:firstColumn="1" w:lastColumn="0" w:noHBand="0" w:noVBand="1"/>
      </w:tblPr>
      <w:tblGrid>
        <w:gridCol w:w="6828"/>
        <w:gridCol w:w="2126"/>
      </w:tblGrid>
      <w:tr w:rsidR="00C92CD8" w14:paraId="5F6A31D1" w14:textId="77777777" w:rsidTr="006518BB">
        <w:trPr>
          <w:trHeight w:val="600"/>
        </w:trPr>
        <w:tc>
          <w:tcPr>
            <w:tcW w:w="68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4E3F84" w14:textId="77777777" w:rsidR="006518BB" w:rsidRPr="0089215C" w:rsidRDefault="004A7A82" w:rsidP="00BD17C2">
            <w:pPr>
              <w:jc w:val="center"/>
              <w:rPr>
                <w:rFonts w:eastAsia="Times New Roman" w:cs="Arial"/>
                <w:b/>
                <w:bCs/>
                <w:color w:val="000000"/>
              </w:rPr>
            </w:pPr>
            <w:r w:rsidRPr="0089215C">
              <w:rPr>
                <w:rFonts w:eastAsia="Times New Roman" w:cs="Arial"/>
                <w:b/>
                <w:bCs/>
                <w:color w:val="000000"/>
              </w:rPr>
              <w:t> </w:t>
            </w:r>
          </w:p>
        </w:tc>
        <w:tc>
          <w:tcPr>
            <w:tcW w:w="2126" w:type="dxa"/>
            <w:tcBorders>
              <w:top w:val="single" w:sz="4" w:space="0" w:color="auto"/>
              <w:left w:val="nil"/>
              <w:bottom w:val="single" w:sz="4" w:space="0" w:color="auto"/>
              <w:right w:val="single" w:sz="4" w:space="0" w:color="auto"/>
            </w:tcBorders>
            <w:shd w:val="clear" w:color="auto" w:fill="D9D9D9"/>
            <w:vAlign w:val="center"/>
            <w:hideMark/>
          </w:tcPr>
          <w:p w14:paraId="6EE79C04" w14:textId="0A9FB5C9" w:rsidR="006518BB" w:rsidRPr="0089215C" w:rsidRDefault="004A7A82" w:rsidP="00BD17C2">
            <w:pPr>
              <w:jc w:val="center"/>
              <w:rPr>
                <w:rFonts w:eastAsia="Times New Roman" w:cs="Arial"/>
                <w:b/>
                <w:bCs/>
                <w:color w:val="000000"/>
              </w:rPr>
            </w:pPr>
            <w:r w:rsidRPr="0089215C">
              <w:rPr>
                <w:rFonts w:eastAsia="Times New Roman" w:cs="Arial"/>
                <w:b/>
                <w:bCs/>
                <w:color w:val="000000"/>
              </w:rPr>
              <w:t>2024/25</w:t>
            </w:r>
            <w:r w:rsidRPr="0089215C">
              <w:rPr>
                <w:rFonts w:eastAsia="Times New Roman" w:cs="Arial"/>
                <w:b/>
                <w:bCs/>
                <w:color w:val="000000"/>
              </w:rPr>
              <w:br/>
            </w:r>
            <w:r>
              <w:rPr>
                <w:rFonts w:eastAsia="Times New Roman" w:cs="Arial"/>
                <w:b/>
                <w:bCs/>
                <w:color w:val="000000"/>
              </w:rPr>
              <w:t>(</w:t>
            </w:r>
            <w:r w:rsidRPr="0089215C">
              <w:rPr>
                <w:rFonts w:eastAsia="Times New Roman" w:cs="Arial"/>
                <w:b/>
                <w:bCs/>
                <w:color w:val="000000"/>
              </w:rPr>
              <w:t>£m</w:t>
            </w:r>
            <w:r>
              <w:rPr>
                <w:rFonts w:eastAsia="Times New Roman" w:cs="Arial"/>
                <w:b/>
                <w:bCs/>
                <w:color w:val="000000"/>
              </w:rPr>
              <w:t>)</w:t>
            </w:r>
          </w:p>
        </w:tc>
      </w:tr>
      <w:tr w:rsidR="00C92CD8" w14:paraId="0A5B3B01" w14:textId="77777777" w:rsidTr="006518BB">
        <w:trPr>
          <w:trHeight w:val="300"/>
        </w:trPr>
        <w:tc>
          <w:tcPr>
            <w:tcW w:w="6828" w:type="dxa"/>
            <w:tcBorders>
              <w:top w:val="nil"/>
              <w:left w:val="single" w:sz="4" w:space="0" w:color="auto"/>
              <w:bottom w:val="single" w:sz="4" w:space="0" w:color="auto"/>
              <w:right w:val="single" w:sz="4" w:space="0" w:color="auto"/>
            </w:tcBorders>
            <w:shd w:val="clear" w:color="auto" w:fill="auto"/>
            <w:noWrap/>
            <w:vAlign w:val="center"/>
            <w:hideMark/>
          </w:tcPr>
          <w:p w14:paraId="0805FDF0" w14:textId="77777777" w:rsidR="006518BB" w:rsidRPr="0089215C" w:rsidRDefault="004A7A82" w:rsidP="00BD17C2">
            <w:pPr>
              <w:rPr>
                <w:rFonts w:eastAsia="Times New Roman" w:cs="Arial"/>
                <w:color w:val="000000"/>
              </w:rPr>
            </w:pPr>
            <w:r w:rsidRPr="0089215C">
              <w:rPr>
                <w:rFonts w:eastAsia="Times New Roman" w:cs="Arial"/>
                <w:color w:val="000000"/>
              </w:rPr>
              <w:t>Adults Services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B9FF3" w14:textId="77777777" w:rsidR="006518BB" w:rsidRPr="0089215C" w:rsidRDefault="004A7A82" w:rsidP="00BD17C2">
            <w:pPr>
              <w:jc w:val="right"/>
              <w:rPr>
                <w:rFonts w:eastAsia="Times New Roman" w:cs="Arial"/>
                <w:color w:val="000000"/>
              </w:rPr>
            </w:pPr>
            <w:r w:rsidRPr="0089215C">
              <w:rPr>
                <w:rFonts w:eastAsia="Calibri" w:cs="Arial"/>
                <w:color w:val="000000"/>
                <w:lang w:eastAsia="en-US"/>
              </w:rPr>
              <w:t>37.898</w:t>
            </w:r>
          </w:p>
        </w:tc>
      </w:tr>
      <w:tr w:rsidR="00C92CD8" w14:paraId="52423E92" w14:textId="77777777" w:rsidTr="006518BB">
        <w:trPr>
          <w:trHeight w:val="300"/>
        </w:trPr>
        <w:tc>
          <w:tcPr>
            <w:tcW w:w="6828" w:type="dxa"/>
            <w:tcBorders>
              <w:top w:val="nil"/>
              <w:left w:val="single" w:sz="4" w:space="0" w:color="auto"/>
              <w:bottom w:val="single" w:sz="4" w:space="0" w:color="auto"/>
              <w:right w:val="single" w:sz="4" w:space="0" w:color="auto"/>
            </w:tcBorders>
            <w:shd w:val="clear" w:color="auto" w:fill="auto"/>
            <w:noWrap/>
            <w:vAlign w:val="center"/>
            <w:hideMark/>
          </w:tcPr>
          <w:p w14:paraId="68F35E0B" w14:textId="77777777" w:rsidR="006518BB" w:rsidRPr="0089215C" w:rsidRDefault="004A7A82" w:rsidP="00BD17C2">
            <w:pPr>
              <w:rPr>
                <w:rFonts w:eastAsia="Times New Roman" w:cs="Arial"/>
                <w:color w:val="000000"/>
              </w:rPr>
            </w:pPr>
            <w:r w:rsidRPr="0089215C">
              <w:rPr>
                <w:rFonts w:eastAsia="Times New Roman" w:cs="Arial"/>
                <w:color w:val="000000"/>
              </w:rPr>
              <w:t>Children's Services</w:t>
            </w:r>
          </w:p>
        </w:tc>
        <w:tc>
          <w:tcPr>
            <w:tcW w:w="2126" w:type="dxa"/>
            <w:tcBorders>
              <w:top w:val="nil"/>
              <w:left w:val="single" w:sz="4" w:space="0" w:color="auto"/>
              <w:bottom w:val="single" w:sz="4" w:space="0" w:color="auto"/>
              <w:right w:val="single" w:sz="4" w:space="0" w:color="auto"/>
            </w:tcBorders>
            <w:shd w:val="clear" w:color="auto" w:fill="auto"/>
            <w:noWrap/>
            <w:vAlign w:val="bottom"/>
          </w:tcPr>
          <w:p w14:paraId="5B6BAD2D" w14:textId="77777777" w:rsidR="006518BB" w:rsidRPr="0089215C" w:rsidRDefault="004A7A82" w:rsidP="00BD17C2">
            <w:pPr>
              <w:jc w:val="right"/>
              <w:rPr>
                <w:rFonts w:eastAsia="Times New Roman" w:cs="Arial"/>
                <w:color w:val="000000"/>
              </w:rPr>
            </w:pPr>
            <w:r w:rsidRPr="0089215C">
              <w:rPr>
                <w:rFonts w:eastAsia="Calibri" w:cs="Arial"/>
                <w:color w:val="000000"/>
                <w:lang w:eastAsia="en-US"/>
              </w:rPr>
              <w:t>6.138</w:t>
            </w:r>
          </w:p>
        </w:tc>
      </w:tr>
      <w:tr w:rsidR="00C92CD8" w14:paraId="7CEF6414" w14:textId="77777777" w:rsidTr="006518BB">
        <w:trPr>
          <w:trHeight w:val="300"/>
        </w:trPr>
        <w:tc>
          <w:tcPr>
            <w:tcW w:w="6828" w:type="dxa"/>
            <w:tcBorders>
              <w:top w:val="nil"/>
              <w:left w:val="single" w:sz="4" w:space="0" w:color="auto"/>
              <w:bottom w:val="single" w:sz="4" w:space="0" w:color="auto"/>
              <w:right w:val="single" w:sz="4" w:space="0" w:color="auto"/>
            </w:tcBorders>
            <w:shd w:val="clear" w:color="auto" w:fill="auto"/>
            <w:noWrap/>
            <w:vAlign w:val="center"/>
            <w:hideMark/>
          </w:tcPr>
          <w:p w14:paraId="526740F4" w14:textId="77777777" w:rsidR="006518BB" w:rsidRPr="0089215C" w:rsidRDefault="004A7A82" w:rsidP="00BD17C2">
            <w:pPr>
              <w:rPr>
                <w:rFonts w:eastAsia="Times New Roman" w:cs="Arial"/>
                <w:color w:val="000000"/>
              </w:rPr>
            </w:pPr>
            <w:r w:rsidRPr="0089215C">
              <w:rPr>
                <w:rFonts w:eastAsia="Times New Roman" w:cs="Arial"/>
                <w:color w:val="000000"/>
              </w:rPr>
              <w:t>Waste Services</w:t>
            </w:r>
          </w:p>
        </w:tc>
        <w:tc>
          <w:tcPr>
            <w:tcW w:w="2126" w:type="dxa"/>
            <w:tcBorders>
              <w:top w:val="nil"/>
              <w:left w:val="single" w:sz="4" w:space="0" w:color="auto"/>
              <w:bottom w:val="single" w:sz="4" w:space="0" w:color="auto"/>
              <w:right w:val="single" w:sz="4" w:space="0" w:color="auto"/>
            </w:tcBorders>
            <w:shd w:val="clear" w:color="auto" w:fill="auto"/>
            <w:noWrap/>
            <w:vAlign w:val="bottom"/>
          </w:tcPr>
          <w:p w14:paraId="5E33A947" w14:textId="77777777" w:rsidR="006518BB" w:rsidRPr="0089215C" w:rsidRDefault="004A7A82" w:rsidP="00BD17C2">
            <w:pPr>
              <w:jc w:val="right"/>
              <w:rPr>
                <w:rFonts w:eastAsia="Times New Roman" w:cs="Arial"/>
                <w:color w:val="000000"/>
              </w:rPr>
            </w:pPr>
            <w:r w:rsidRPr="0089215C">
              <w:rPr>
                <w:rFonts w:eastAsia="Calibri" w:cs="Arial"/>
                <w:color w:val="000000"/>
                <w:lang w:eastAsia="en-US"/>
              </w:rPr>
              <w:t>5.204</w:t>
            </w:r>
          </w:p>
        </w:tc>
      </w:tr>
      <w:tr w:rsidR="00C92CD8" w14:paraId="0F29EC7C" w14:textId="77777777" w:rsidTr="006518BB">
        <w:trPr>
          <w:trHeight w:val="300"/>
        </w:trPr>
        <w:tc>
          <w:tcPr>
            <w:tcW w:w="6828" w:type="dxa"/>
            <w:tcBorders>
              <w:top w:val="nil"/>
              <w:left w:val="single" w:sz="4" w:space="0" w:color="auto"/>
              <w:bottom w:val="single" w:sz="4" w:space="0" w:color="auto"/>
              <w:right w:val="single" w:sz="4" w:space="0" w:color="auto"/>
            </w:tcBorders>
            <w:shd w:val="clear" w:color="auto" w:fill="auto"/>
            <w:noWrap/>
            <w:vAlign w:val="center"/>
            <w:hideMark/>
          </w:tcPr>
          <w:p w14:paraId="06DF5844" w14:textId="77777777" w:rsidR="006518BB" w:rsidRPr="0089215C" w:rsidRDefault="004A7A82" w:rsidP="00BD17C2">
            <w:pPr>
              <w:rPr>
                <w:rFonts w:eastAsia="Times New Roman" w:cs="Arial"/>
                <w:color w:val="000000"/>
              </w:rPr>
            </w:pPr>
            <w:r w:rsidRPr="0089215C">
              <w:rPr>
                <w:rFonts w:eastAsia="Times New Roman" w:cs="Arial"/>
                <w:color w:val="000000"/>
              </w:rPr>
              <w:t>Highways Services</w:t>
            </w:r>
          </w:p>
        </w:tc>
        <w:tc>
          <w:tcPr>
            <w:tcW w:w="2126" w:type="dxa"/>
            <w:tcBorders>
              <w:top w:val="nil"/>
              <w:left w:val="single" w:sz="4" w:space="0" w:color="auto"/>
              <w:bottom w:val="single" w:sz="4" w:space="0" w:color="auto"/>
              <w:right w:val="single" w:sz="4" w:space="0" w:color="auto"/>
            </w:tcBorders>
            <w:shd w:val="clear" w:color="auto" w:fill="auto"/>
            <w:noWrap/>
            <w:vAlign w:val="bottom"/>
          </w:tcPr>
          <w:p w14:paraId="4149EC10" w14:textId="77777777" w:rsidR="006518BB" w:rsidRPr="0089215C" w:rsidRDefault="004A7A82" w:rsidP="00BD17C2">
            <w:pPr>
              <w:jc w:val="right"/>
              <w:rPr>
                <w:rFonts w:eastAsia="Times New Roman" w:cs="Arial"/>
                <w:color w:val="000000"/>
              </w:rPr>
            </w:pPr>
            <w:r w:rsidRPr="0089215C">
              <w:rPr>
                <w:rFonts w:eastAsia="Calibri" w:cs="Arial"/>
                <w:color w:val="000000"/>
                <w:lang w:eastAsia="en-US"/>
              </w:rPr>
              <w:t>0.717</w:t>
            </w:r>
          </w:p>
        </w:tc>
      </w:tr>
      <w:tr w:rsidR="00C92CD8" w14:paraId="53C3F901" w14:textId="77777777" w:rsidTr="006518BB">
        <w:trPr>
          <w:trHeight w:val="300"/>
        </w:trPr>
        <w:tc>
          <w:tcPr>
            <w:tcW w:w="6828" w:type="dxa"/>
            <w:tcBorders>
              <w:top w:val="nil"/>
              <w:left w:val="single" w:sz="4" w:space="0" w:color="auto"/>
              <w:bottom w:val="single" w:sz="4" w:space="0" w:color="auto"/>
              <w:right w:val="single" w:sz="4" w:space="0" w:color="auto"/>
            </w:tcBorders>
            <w:shd w:val="clear" w:color="auto" w:fill="auto"/>
            <w:noWrap/>
            <w:vAlign w:val="center"/>
            <w:hideMark/>
          </w:tcPr>
          <w:p w14:paraId="5661FBC1" w14:textId="77777777" w:rsidR="006518BB" w:rsidRPr="0089215C" w:rsidRDefault="004A7A82" w:rsidP="00BD17C2">
            <w:pPr>
              <w:rPr>
                <w:rFonts w:eastAsia="Times New Roman" w:cs="Arial"/>
                <w:color w:val="000000"/>
              </w:rPr>
            </w:pPr>
            <w:r w:rsidRPr="0089215C">
              <w:rPr>
                <w:rFonts w:eastAsia="Times New Roman" w:cs="Arial"/>
                <w:color w:val="000000"/>
              </w:rPr>
              <w:t>Transport Services</w:t>
            </w:r>
          </w:p>
        </w:tc>
        <w:tc>
          <w:tcPr>
            <w:tcW w:w="2126" w:type="dxa"/>
            <w:tcBorders>
              <w:top w:val="nil"/>
              <w:left w:val="single" w:sz="4" w:space="0" w:color="auto"/>
              <w:bottom w:val="single" w:sz="4" w:space="0" w:color="auto"/>
              <w:right w:val="single" w:sz="4" w:space="0" w:color="auto"/>
            </w:tcBorders>
            <w:shd w:val="clear" w:color="auto" w:fill="auto"/>
            <w:noWrap/>
            <w:vAlign w:val="bottom"/>
          </w:tcPr>
          <w:p w14:paraId="0804097D" w14:textId="77777777" w:rsidR="006518BB" w:rsidRPr="0089215C" w:rsidRDefault="004A7A82" w:rsidP="00BD17C2">
            <w:pPr>
              <w:jc w:val="right"/>
              <w:rPr>
                <w:rFonts w:eastAsia="Times New Roman" w:cs="Arial"/>
                <w:color w:val="000000"/>
              </w:rPr>
            </w:pPr>
            <w:r w:rsidRPr="0089215C">
              <w:rPr>
                <w:rFonts w:eastAsia="Calibri" w:cs="Arial"/>
                <w:color w:val="000000"/>
                <w:lang w:eastAsia="en-US"/>
              </w:rPr>
              <w:t>3.190</w:t>
            </w:r>
          </w:p>
        </w:tc>
      </w:tr>
      <w:tr w:rsidR="00C92CD8" w14:paraId="0201E582" w14:textId="77777777" w:rsidTr="006518BB">
        <w:trPr>
          <w:trHeight w:val="300"/>
        </w:trPr>
        <w:tc>
          <w:tcPr>
            <w:tcW w:w="6828" w:type="dxa"/>
            <w:tcBorders>
              <w:top w:val="nil"/>
              <w:left w:val="single" w:sz="4" w:space="0" w:color="auto"/>
              <w:bottom w:val="single" w:sz="4" w:space="0" w:color="auto"/>
              <w:right w:val="single" w:sz="4" w:space="0" w:color="auto"/>
            </w:tcBorders>
            <w:shd w:val="clear" w:color="auto" w:fill="auto"/>
            <w:noWrap/>
            <w:vAlign w:val="center"/>
            <w:hideMark/>
          </w:tcPr>
          <w:p w14:paraId="20348756" w14:textId="77777777" w:rsidR="006518BB" w:rsidRPr="0089215C" w:rsidRDefault="004A7A82" w:rsidP="00BD17C2">
            <w:pPr>
              <w:rPr>
                <w:rFonts w:eastAsia="Times New Roman" w:cs="Arial"/>
                <w:color w:val="000000"/>
              </w:rPr>
            </w:pPr>
            <w:r w:rsidRPr="0089215C">
              <w:rPr>
                <w:rFonts w:eastAsia="Times New Roman" w:cs="Arial"/>
                <w:color w:val="000000"/>
              </w:rPr>
              <w:t>Property and Energy Costs</w:t>
            </w:r>
          </w:p>
        </w:tc>
        <w:tc>
          <w:tcPr>
            <w:tcW w:w="2126" w:type="dxa"/>
            <w:tcBorders>
              <w:top w:val="nil"/>
              <w:left w:val="single" w:sz="4" w:space="0" w:color="auto"/>
              <w:bottom w:val="single" w:sz="4" w:space="0" w:color="auto"/>
              <w:right w:val="single" w:sz="4" w:space="0" w:color="auto"/>
            </w:tcBorders>
            <w:shd w:val="clear" w:color="auto" w:fill="auto"/>
            <w:noWrap/>
            <w:vAlign w:val="bottom"/>
          </w:tcPr>
          <w:p w14:paraId="1A38BE45" w14:textId="77777777" w:rsidR="006518BB" w:rsidRPr="0089215C" w:rsidRDefault="004A7A82" w:rsidP="00BD17C2">
            <w:pPr>
              <w:jc w:val="right"/>
              <w:rPr>
                <w:rFonts w:eastAsia="Times New Roman" w:cs="Arial"/>
                <w:color w:val="000000"/>
              </w:rPr>
            </w:pPr>
            <w:r w:rsidRPr="0089215C">
              <w:rPr>
                <w:rFonts w:eastAsia="Calibri" w:cs="Arial"/>
                <w:color w:val="000000"/>
                <w:lang w:eastAsia="en-US"/>
              </w:rPr>
              <w:t>-1.899</w:t>
            </w:r>
          </w:p>
        </w:tc>
      </w:tr>
      <w:tr w:rsidR="00C92CD8" w14:paraId="388EED0C" w14:textId="77777777" w:rsidTr="006518BB">
        <w:trPr>
          <w:trHeight w:val="300"/>
        </w:trPr>
        <w:tc>
          <w:tcPr>
            <w:tcW w:w="6828" w:type="dxa"/>
            <w:tcBorders>
              <w:top w:val="nil"/>
              <w:left w:val="single" w:sz="4" w:space="0" w:color="auto"/>
              <w:bottom w:val="single" w:sz="4" w:space="0" w:color="auto"/>
              <w:right w:val="single" w:sz="4" w:space="0" w:color="auto"/>
            </w:tcBorders>
            <w:shd w:val="clear" w:color="auto" w:fill="auto"/>
            <w:noWrap/>
            <w:vAlign w:val="center"/>
            <w:hideMark/>
          </w:tcPr>
          <w:p w14:paraId="1DCE5FB4" w14:textId="77777777" w:rsidR="006518BB" w:rsidRPr="0089215C" w:rsidRDefault="004A7A82" w:rsidP="00BD17C2">
            <w:pPr>
              <w:rPr>
                <w:rFonts w:eastAsia="Times New Roman" w:cs="Arial"/>
                <w:color w:val="000000"/>
              </w:rPr>
            </w:pPr>
            <w:r w:rsidRPr="0089215C">
              <w:rPr>
                <w:rFonts w:eastAsia="Times New Roman" w:cs="Arial"/>
                <w:color w:val="000000"/>
              </w:rPr>
              <w:t>Other Services</w:t>
            </w:r>
          </w:p>
        </w:tc>
        <w:tc>
          <w:tcPr>
            <w:tcW w:w="2126" w:type="dxa"/>
            <w:tcBorders>
              <w:top w:val="nil"/>
              <w:left w:val="single" w:sz="4" w:space="0" w:color="auto"/>
              <w:bottom w:val="single" w:sz="4" w:space="0" w:color="auto"/>
              <w:right w:val="single" w:sz="4" w:space="0" w:color="auto"/>
            </w:tcBorders>
            <w:shd w:val="clear" w:color="auto" w:fill="auto"/>
            <w:noWrap/>
            <w:vAlign w:val="bottom"/>
          </w:tcPr>
          <w:p w14:paraId="113A4E11" w14:textId="77777777" w:rsidR="006518BB" w:rsidRPr="0089215C" w:rsidRDefault="004A7A82" w:rsidP="00BD17C2">
            <w:pPr>
              <w:jc w:val="right"/>
              <w:rPr>
                <w:rFonts w:eastAsia="Times New Roman" w:cs="Arial"/>
                <w:color w:val="000000"/>
              </w:rPr>
            </w:pPr>
            <w:r w:rsidRPr="0089215C">
              <w:rPr>
                <w:rFonts w:eastAsia="Calibri" w:cs="Arial"/>
                <w:color w:val="000000"/>
                <w:lang w:eastAsia="en-US"/>
              </w:rPr>
              <w:t>1.453</w:t>
            </w:r>
          </w:p>
        </w:tc>
      </w:tr>
      <w:tr w:rsidR="00C92CD8" w14:paraId="3BBBBD89" w14:textId="77777777" w:rsidTr="006518BB">
        <w:trPr>
          <w:trHeight w:val="300"/>
        </w:trPr>
        <w:tc>
          <w:tcPr>
            <w:tcW w:w="6828" w:type="dxa"/>
            <w:tcBorders>
              <w:top w:val="nil"/>
              <w:left w:val="single" w:sz="4" w:space="0" w:color="auto"/>
              <w:bottom w:val="single" w:sz="4" w:space="0" w:color="auto"/>
              <w:right w:val="single" w:sz="4" w:space="0" w:color="auto"/>
            </w:tcBorders>
            <w:shd w:val="clear" w:color="auto" w:fill="D9D9D9"/>
            <w:noWrap/>
            <w:vAlign w:val="center"/>
            <w:hideMark/>
          </w:tcPr>
          <w:p w14:paraId="5E28A6EC" w14:textId="77777777" w:rsidR="006518BB" w:rsidRPr="0089215C" w:rsidRDefault="004A7A82" w:rsidP="00BD17C2">
            <w:pPr>
              <w:rPr>
                <w:rFonts w:eastAsia="Times New Roman" w:cs="Arial"/>
                <w:color w:val="000000"/>
              </w:rPr>
            </w:pPr>
            <w:r w:rsidRPr="0089215C">
              <w:rPr>
                <w:rFonts w:eastAsia="Times New Roman" w:cs="Arial"/>
                <w:color w:val="000000"/>
              </w:rPr>
              <w:t> </w:t>
            </w:r>
          </w:p>
        </w:tc>
        <w:tc>
          <w:tcPr>
            <w:tcW w:w="2126" w:type="dxa"/>
            <w:tcBorders>
              <w:top w:val="nil"/>
              <w:left w:val="single" w:sz="4" w:space="0" w:color="auto"/>
              <w:bottom w:val="single" w:sz="4" w:space="0" w:color="auto"/>
              <w:right w:val="single" w:sz="4" w:space="0" w:color="auto"/>
            </w:tcBorders>
            <w:shd w:val="clear" w:color="auto" w:fill="D9D9D9"/>
            <w:noWrap/>
            <w:vAlign w:val="bottom"/>
          </w:tcPr>
          <w:p w14:paraId="58988319" w14:textId="77777777" w:rsidR="006518BB" w:rsidRPr="0089215C" w:rsidRDefault="004A7A82" w:rsidP="00BD17C2">
            <w:pPr>
              <w:jc w:val="right"/>
              <w:rPr>
                <w:rFonts w:eastAsia="Times New Roman" w:cs="Arial"/>
                <w:b/>
                <w:bCs/>
                <w:color w:val="000000"/>
              </w:rPr>
            </w:pPr>
            <w:r w:rsidRPr="0089215C">
              <w:rPr>
                <w:rFonts w:eastAsia="Times New Roman" w:cs="Arial"/>
                <w:b/>
                <w:bCs/>
                <w:color w:val="000000"/>
              </w:rPr>
              <w:t>52.701</w:t>
            </w:r>
          </w:p>
        </w:tc>
      </w:tr>
    </w:tbl>
    <w:p w14:paraId="264138B6" w14:textId="15814F91" w:rsidR="2165DDB2" w:rsidRDefault="2165DDB2" w:rsidP="1296B87A">
      <w:pPr>
        <w:jc w:val="both"/>
        <w:rPr>
          <w:rFonts w:eastAsia="Calibri" w:cs="Helvetica-Light"/>
          <w:color w:val="FF0000"/>
        </w:rPr>
      </w:pPr>
    </w:p>
    <w:p w14:paraId="7CB6A147" w14:textId="42A4250D" w:rsidR="00072F2D" w:rsidRDefault="004A7A82" w:rsidP="1296B87A">
      <w:pPr>
        <w:autoSpaceDE w:val="0"/>
        <w:autoSpaceDN w:val="0"/>
        <w:adjustRightInd w:val="0"/>
        <w:ind w:left="720" w:hanging="720"/>
        <w:jc w:val="both"/>
        <w:rPr>
          <w:rFonts w:eastAsia="Calibri" w:cs="Helvetica-Light"/>
          <w:color w:val="000000"/>
        </w:rPr>
      </w:pPr>
      <w:r w:rsidRPr="1296B87A">
        <w:rPr>
          <w:rFonts w:eastAsia="Calibri" w:cs="Helvetica-Light"/>
          <w:color w:val="000000" w:themeColor="text1"/>
        </w:rPr>
        <w:t>5.1</w:t>
      </w:r>
      <w:r>
        <w:tab/>
      </w:r>
      <w:r w:rsidR="004610D4" w:rsidRPr="1296B87A">
        <w:rPr>
          <w:rFonts w:eastAsia="Calibri" w:cs="Helvetica-Light"/>
          <w:color w:val="000000" w:themeColor="text1"/>
        </w:rPr>
        <w:t xml:space="preserve">In total, an additional £52.7m is </w:t>
      </w:r>
      <w:r w:rsidR="003B0097" w:rsidRPr="1296B87A">
        <w:rPr>
          <w:rFonts w:eastAsia="Calibri" w:cs="Helvetica-Light"/>
          <w:color w:val="000000" w:themeColor="text1"/>
        </w:rPr>
        <w:t xml:space="preserve">required to support inflationary pressures across service budgets in 2024/25. </w:t>
      </w:r>
    </w:p>
    <w:p w14:paraId="2B554EA3" w14:textId="17A51807" w:rsidR="000373FD" w:rsidRDefault="000373FD" w:rsidP="1296B87A">
      <w:pPr>
        <w:autoSpaceDE w:val="0"/>
        <w:autoSpaceDN w:val="0"/>
        <w:adjustRightInd w:val="0"/>
        <w:ind w:left="720" w:hanging="720"/>
        <w:jc w:val="both"/>
        <w:rPr>
          <w:rFonts w:eastAsia="Calibri" w:cs="Helvetica-Light"/>
          <w:color w:val="000000"/>
        </w:rPr>
      </w:pPr>
    </w:p>
    <w:p w14:paraId="32ED712C" w14:textId="63B43DDA" w:rsidR="000373FD" w:rsidRDefault="004A7A82" w:rsidP="1296B87A">
      <w:pPr>
        <w:autoSpaceDE w:val="0"/>
        <w:autoSpaceDN w:val="0"/>
        <w:adjustRightInd w:val="0"/>
        <w:ind w:left="720" w:hanging="720"/>
        <w:jc w:val="both"/>
        <w:rPr>
          <w:rFonts w:eastAsia="Calibri" w:cs="Helvetica-Light"/>
          <w:color w:val="000000"/>
        </w:rPr>
      </w:pPr>
      <w:r w:rsidRPr="1296B87A">
        <w:rPr>
          <w:rFonts w:eastAsia="Calibri" w:cs="Helvetica-Light"/>
          <w:color w:val="000000" w:themeColor="text1"/>
        </w:rPr>
        <w:t>5.2</w:t>
      </w:r>
      <w:r>
        <w:tab/>
      </w:r>
      <w:r w:rsidRPr="1296B87A">
        <w:rPr>
          <w:rFonts w:eastAsia="Calibri" w:cs="Helvetica-Light"/>
          <w:color w:val="000000" w:themeColor="text1"/>
        </w:rPr>
        <w:t>The largest area of inflationary pressure is Adult Social Care (c£38m) with payments to 3</w:t>
      </w:r>
      <w:r w:rsidR="00D40C39" w:rsidRPr="00D40C39">
        <w:rPr>
          <w:rFonts w:eastAsia="Calibri" w:cs="Helvetica-Light"/>
          <w:color w:val="000000" w:themeColor="text1"/>
          <w:vertAlign w:val="superscript"/>
        </w:rPr>
        <w:t>rd</w:t>
      </w:r>
      <w:r w:rsidRPr="1296B87A">
        <w:rPr>
          <w:rFonts w:eastAsia="Calibri" w:cs="Helvetica-Light"/>
          <w:color w:val="000000" w:themeColor="text1"/>
        </w:rPr>
        <w:t xml:space="preserve"> parties being subject to increases each year to reflect cost increases and the impact of increases in the national living wage. The increase in the national living wage was recently announced and was higher than had been assumed in earlier calculations. The increase in costs will be met from additional grant funding for adult social care, such as funding related to the delayed reforms and the market sustainability and improvement fund; both of which allow authorities to attribute inflation and fees to the grant.</w:t>
      </w:r>
    </w:p>
    <w:p w14:paraId="3789D8E8" w14:textId="1A81703C" w:rsidR="000373FD" w:rsidRDefault="000373FD" w:rsidP="1296B87A">
      <w:pPr>
        <w:autoSpaceDE w:val="0"/>
        <w:autoSpaceDN w:val="0"/>
        <w:adjustRightInd w:val="0"/>
        <w:ind w:left="720" w:hanging="720"/>
        <w:jc w:val="both"/>
        <w:rPr>
          <w:rFonts w:eastAsia="Calibri" w:cs="Helvetica-Light"/>
          <w:color w:val="000000"/>
        </w:rPr>
      </w:pPr>
    </w:p>
    <w:p w14:paraId="15D7A5AD" w14:textId="03E6152B" w:rsidR="000373FD" w:rsidRDefault="004A7A82" w:rsidP="1296B87A">
      <w:pPr>
        <w:autoSpaceDE w:val="0"/>
        <w:autoSpaceDN w:val="0"/>
        <w:adjustRightInd w:val="0"/>
        <w:ind w:left="720" w:hanging="720"/>
        <w:jc w:val="both"/>
        <w:rPr>
          <w:rFonts w:eastAsia="Calibri" w:cs="Helvetica-Light"/>
          <w:color w:val="000000"/>
        </w:rPr>
      </w:pPr>
      <w:r w:rsidRPr="1296B87A">
        <w:rPr>
          <w:rFonts w:eastAsia="Calibri" w:cs="Helvetica-Light"/>
          <w:color w:val="000000" w:themeColor="text1"/>
        </w:rPr>
        <w:t>5.3</w:t>
      </w:r>
      <w:r>
        <w:tab/>
      </w:r>
      <w:r w:rsidRPr="1296B87A">
        <w:rPr>
          <w:rFonts w:eastAsia="Calibri" w:cs="Helvetica-Light"/>
          <w:color w:val="000000" w:themeColor="text1"/>
        </w:rPr>
        <w:t xml:space="preserve">There are also large contracts in children's social care, waste services and transport which are all significantly impacted by inflation levels.   </w:t>
      </w:r>
    </w:p>
    <w:p w14:paraId="51234C14" w14:textId="3F2263DC" w:rsidR="00072F2D" w:rsidRDefault="00072F2D" w:rsidP="1296B87A">
      <w:pPr>
        <w:autoSpaceDE w:val="0"/>
        <w:autoSpaceDN w:val="0"/>
        <w:adjustRightInd w:val="0"/>
        <w:ind w:left="720" w:hanging="720"/>
        <w:jc w:val="both"/>
        <w:rPr>
          <w:rFonts w:eastAsia="Calibri" w:cs="Helvetica-Light"/>
          <w:color w:val="000000"/>
        </w:rPr>
      </w:pPr>
    </w:p>
    <w:p w14:paraId="0BDBFF3F" w14:textId="1FEC9E10" w:rsidR="006518BB" w:rsidRDefault="004A7A82" w:rsidP="1296B87A">
      <w:pPr>
        <w:autoSpaceDE w:val="0"/>
        <w:autoSpaceDN w:val="0"/>
        <w:adjustRightInd w:val="0"/>
        <w:ind w:left="720" w:hanging="720"/>
        <w:jc w:val="both"/>
        <w:rPr>
          <w:rFonts w:eastAsia="Calibri" w:cs="Helvetica-Light"/>
          <w:color w:val="000000"/>
        </w:rPr>
      </w:pPr>
      <w:r w:rsidRPr="1296B87A">
        <w:rPr>
          <w:rFonts w:eastAsia="Calibri" w:cs="Helvetica-Light"/>
          <w:color w:val="000000" w:themeColor="text1"/>
        </w:rPr>
        <w:t>5.</w:t>
      </w:r>
      <w:r w:rsidR="000373FD" w:rsidRPr="1296B87A">
        <w:rPr>
          <w:rFonts w:eastAsia="Calibri" w:cs="Helvetica-Light"/>
          <w:color w:val="000000" w:themeColor="text1"/>
        </w:rPr>
        <w:t>4</w:t>
      </w:r>
      <w:r>
        <w:tab/>
      </w:r>
      <w:r w:rsidR="00643ABA" w:rsidRPr="1296B87A">
        <w:rPr>
          <w:rFonts w:eastAsia="Calibri" w:cs="Helvetica-Light"/>
          <w:color w:val="000000" w:themeColor="text1"/>
        </w:rPr>
        <w:t>As part of the preparation of the medium-term financial strategy, each service</w:t>
      </w:r>
      <w:r w:rsidR="00781FB0">
        <w:rPr>
          <w:rFonts w:eastAsia="Calibri" w:cs="Helvetica-Light"/>
          <w:color w:val="000000" w:themeColor="text1"/>
        </w:rPr>
        <w:t>,</w:t>
      </w:r>
      <w:r w:rsidR="00643ABA" w:rsidRPr="1296B87A">
        <w:rPr>
          <w:rFonts w:eastAsia="Calibri" w:cs="Helvetica-Light"/>
          <w:color w:val="000000" w:themeColor="text1"/>
        </w:rPr>
        <w:t xml:space="preserve"> in conjunction with finance</w:t>
      </w:r>
      <w:r w:rsidR="00174BCC">
        <w:rPr>
          <w:rFonts w:eastAsia="Calibri" w:cs="Helvetica-Light"/>
          <w:color w:val="000000" w:themeColor="text1"/>
        </w:rPr>
        <w:t>,</w:t>
      </w:r>
      <w:r w:rsidR="00643ABA" w:rsidRPr="1296B87A">
        <w:rPr>
          <w:rFonts w:eastAsia="Calibri" w:cs="Helvetica-Light"/>
          <w:color w:val="000000" w:themeColor="text1"/>
        </w:rPr>
        <w:t xml:space="preserve"> review historic and future inflation forecast for the costs and income that are expected in future years.</w:t>
      </w:r>
    </w:p>
    <w:p w14:paraId="072559A4" w14:textId="77777777" w:rsidR="00643ABA" w:rsidRDefault="00643ABA" w:rsidP="000373FD">
      <w:pPr>
        <w:autoSpaceDE w:val="0"/>
        <w:autoSpaceDN w:val="0"/>
        <w:adjustRightInd w:val="0"/>
        <w:jc w:val="both"/>
        <w:rPr>
          <w:rFonts w:eastAsia="Calibri" w:cs="Helvetica-Light"/>
          <w:bCs/>
          <w:color w:val="000000"/>
        </w:rPr>
      </w:pPr>
    </w:p>
    <w:p w14:paraId="3EEC8DF8" w14:textId="188373C7" w:rsidR="00643ABA" w:rsidRDefault="004A7A82" w:rsidP="00643ABA">
      <w:pPr>
        <w:autoSpaceDE w:val="0"/>
        <w:autoSpaceDN w:val="0"/>
        <w:adjustRightInd w:val="0"/>
        <w:ind w:left="720" w:hanging="720"/>
        <w:jc w:val="both"/>
        <w:rPr>
          <w:rFonts w:eastAsia="Calibri" w:cs="Helvetica-Light"/>
          <w:color w:val="FF0000"/>
        </w:rPr>
      </w:pPr>
      <w:r w:rsidRPr="1296B87A">
        <w:rPr>
          <w:rFonts w:eastAsia="Calibri" w:cs="Helvetica-Light"/>
          <w:color w:val="000000" w:themeColor="text1"/>
        </w:rPr>
        <w:t>5.</w:t>
      </w:r>
      <w:r w:rsidR="000373FD" w:rsidRPr="1296B87A">
        <w:rPr>
          <w:rFonts w:eastAsia="Calibri" w:cs="Helvetica-Light"/>
          <w:color w:val="000000" w:themeColor="text1"/>
        </w:rPr>
        <w:t>5</w:t>
      </w:r>
      <w:r>
        <w:tab/>
      </w:r>
      <w:r w:rsidRPr="1296B87A">
        <w:rPr>
          <w:rFonts w:eastAsia="Calibri" w:cs="Helvetica-Light"/>
          <w:color w:val="000000" w:themeColor="text1"/>
        </w:rPr>
        <w:t>To support the forecast we use inflation forecast figures provided by our supporting professional bodies, but also compare this to benchmarking information provided by other county councils to ensure our assumptions are reasonable. Most service forecasts use a weighted average consumer price index or retail price index inflation figure, however</w:t>
      </w:r>
      <w:r w:rsidR="00541FCC">
        <w:rPr>
          <w:rFonts w:eastAsia="Calibri" w:cs="Helvetica-Light"/>
          <w:color w:val="000000" w:themeColor="text1"/>
        </w:rPr>
        <w:t>,</w:t>
      </w:r>
      <w:r w:rsidRPr="1296B87A">
        <w:rPr>
          <w:rFonts w:eastAsia="Calibri" w:cs="Helvetica-Light"/>
          <w:color w:val="000000" w:themeColor="text1"/>
        </w:rPr>
        <w:t xml:space="preserve"> in some cases where a specific month's inflation is used an estimate of inflation for that month is used. </w:t>
      </w:r>
      <w:r w:rsidR="3B9755A2" w:rsidRPr="1296B87A">
        <w:rPr>
          <w:rFonts w:eastAsia="Calibri" w:cs="Helvetica-Light"/>
          <w:color w:val="000000" w:themeColor="text1"/>
        </w:rPr>
        <w:t xml:space="preserve">  </w:t>
      </w:r>
      <w:r w:rsidR="71F01407" w:rsidRPr="1296B87A">
        <w:rPr>
          <w:rFonts w:eastAsia="Calibri" w:cs="Helvetica-Light"/>
          <w:color w:val="FF0000"/>
        </w:rPr>
        <w:t xml:space="preserve"> </w:t>
      </w:r>
    </w:p>
    <w:p w14:paraId="30DFFBBF" w14:textId="378109EA" w:rsidR="007B4E74" w:rsidRDefault="007B4E74" w:rsidP="00DA3F6B">
      <w:pPr>
        <w:autoSpaceDE w:val="0"/>
        <w:autoSpaceDN w:val="0"/>
        <w:adjustRightInd w:val="0"/>
        <w:jc w:val="both"/>
        <w:rPr>
          <w:rFonts w:eastAsia="Calibri" w:cs="Helvetica-Light"/>
          <w:color w:val="FF0000"/>
        </w:rPr>
      </w:pPr>
    </w:p>
    <w:p w14:paraId="69C5B4A9" w14:textId="11DE57AB" w:rsidR="00DA3F6B" w:rsidRDefault="00DA3F6B" w:rsidP="00DA3F6B">
      <w:pPr>
        <w:autoSpaceDE w:val="0"/>
        <w:autoSpaceDN w:val="0"/>
        <w:adjustRightInd w:val="0"/>
        <w:jc w:val="both"/>
        <w:rPr>
          <w:rFonts w:eastAsia="Calibri" w:cs="Helvetica-Light"/>
          <w:color w:val="FF0000"/>
        </w:rPr>
      </w:pPr>
    </w:p>
    <w:p w14:paraId="73781D2B" w14:textId="26D5CC14" w:rsidR="00DA3F6B" w:rsidRDefault="00DA3F6B" w:rsidP="00DA3F6B">
      <w:pPr>
        <w:autoSpaceDE w:val="0"/>
        <w:autoSpaceDN w:val="0"/>
        <w:adjustRightInd w:val="0"/>
        <w:jc w:val="both"/>
        <w:rPr>
          <w:rFonts w:eastAsia="Calibri" w:cs="Helvetica-Light"/>
          <w:color w:val="FF0000"/>
        </w:rPr>
      </w:pPr>
    </w:p>
    <w:p w14:paraId="4DAEC2EA" w14:textId="4260F3F9" w:rsidR="00DA3F6B" w:rsidRDefault="00DA3F6B" w:rsidP="00DA3F6B">
      <w:pPr>
        <w:autoSpaceDE w:val="0"/>
        <w:autoSpaceDN w:val="0"/>
        <w:adjustRightInd w:val="0"/>
        <w:jc w:val="both"/>
        <w:rPr>
          <w:rFonts w:eastAsia="Calibri" w:cs="Helvetica-Light"/>
          <w:color w:val="FF0000"/>
        </w:rPr>
      </w:pPr>
    </w:p>
    <w:p w14:paraId="5D3422CD" w14:textId="4825A431" w:rsidR="00DA3F6B" w:rsidRDefault="00DA3F6B" w:rsidP="00DA3F6B">
      <w:pPr>
        <w:autoSpaceDE w:val="0"/>
        <w:autoSpaceDN w:val="0"/>
        <w:adjustRightInd w:val="0"/>
        <w:jc w:val="both"/>
        <w:rPr>
          <w:rFonts w:eastAsia="Calibri" w:cs="Helvetica-Light"/>
          <w:color w:val="FF0000"/>
        </w:rPr>
      </w:pPr>
    </w:p>
    <w:p w14:paraId="7AAFEA16" w14:textId="6EC4F683" w:rsidR="00DA3F6B" w:rsidRDefault="00DA3F6B" w:rsidP="00DA3F6B">
      <w:pPr>
        <w:autoSpaceDE w:val="0"/>
        <w:autoSpaceDN w:val="0"/>
        <w:adjustRightInd w:val="0"/>
        <w:jc w:val="both"/>
        <w:rPr>
          <w:rFonts w:eastAsia="Calibri" w:cs="Helvetica-Light"/>
          <w:color w:val="FF0000"/>
        </w:rPr>
      </w:pPr>
    </w:p>
    <w:p w14:paraId="2200EA54" w14:textId="577BCDFB" w:rsidR="00DA3F6B" w:rsidRDefault="00DA3F6B" w:rsidP="00DA3F6B">
      <w:pPr>
        <w:autoSpaceDE w:val="0"/>
        <w:autoSpaceDN w:val="0"/>
        <w:adjustRightInd w:val="0"/>
        <w:jc w:val="both"/>
        <w:rPr>
          <w:rFonts w:eastAsia="Calibri" w:cs="Helvetica-Light"/>
          <w:color w:val="FF0000"/>
        </w:rPr>
      </w:pPr>
    </w:p>
    <w:p w14:paraId="2CC89D62" w14:textId="19304920" w:rsidR="00DA3F6B" w:rsidRDefault="00DA3F6B" w:rsidP="1296B87A">
      <w:pPr>
        <w:autoSpaceDE w:val="0"/>
        <w:autoSpaceDN w:val="0"/>
        <w:adjustRightInd w:val="0"/>
        <w:jc w:val="both"/>
        <w:rPr>
          <w:rFonts w:eastAsia="Calibri" w:cs="Helvetica-Light"/>
          <w:b/>
          <w:bCs/>
          <w:color w:val="000000"/>
        </w:rPr>
      </w:pPr>
    </w:p>
    <w:p w14:paraId="3BC7A401" w14:textId="77777777" w:rsidR="000D1EBE" w:rsidRDefault="000D1EBE" w:rsidP="00643ABA">
      <w:pPr>
        <w:autoSpaceDE w:val="0"/>
        <w:autoSpaceDN w:val="0"/>
        <w:adjustRightInd w:val="0"/>
        <w:jc w:val="both"/>
        <w:rPr>
          <w:rFonts w:eastAsia="Calibri" w:cs="Helvetica-Light"/>
          <w:b/>
          <w:color w:val="000000"/>
        </w:rPr>
      </w:pPr>
    </w:p>
    <w:p w14:paraId="2CEB2EC2" w14:textId="77777777" w:rsidR="00643ABA" w:rsidRDefault="004A7A82" w:rsidP="00643ABA">
      <w:pPr>
        <w:autoSpaceDE w:val="0"/>
        <w:autoSpaceDN w:val="0"/>
        <w:adjustRightInd w:val="0"/>
        <w:jc w:val="both"/>
        <w:rPr>
          <w:rFonts w:eastAsia="Calibri" w:cs="Helvetica-Light"/>
          <w:b/>
          <w:color w:val="000000"/>
        </w:rPr>
      </w:pPr>
      <w:r>
        <w:rPr>
          <w:rFonts w:eastAsia="Calibri" w:cs="Helvetica-Light"/>
          <w:b/>
          <w:color w:val="000000"/>
        </w:rPr>
        <w:lastRenderedPageBreak/>
        <w:t>6.</w:t>
      </w:r>
      <w:r>
        <w:rPr>
          <w:rFonts w:eastAsia="Calibri" w:cs="Helvetica-Light"/>
          <w:b/>
          <w:color w:val="000000"/>
        </w:rPr>
        <w:tab/>
        <w:t>Demand and Volume Pressures</w:t>
      </w:r>
    </w:p>
    <w:p w14:paraId="1406AAF6" w14:textId="77777777" w:rsidR="007F03E1" w:rsidRDefault="007F03E1" w:rsidP="00643ABA">
      <w:pPr>
        <w:autoSpaceDE w:val="0"/>
        <w:autoSpaceDN w:val="0"/>
        <w:adjustRightInd w:val="0"/>
        <w:jc w:val="both"/>
        <w:rPr>
          <w:rFonts w:eastAsia="Calibri" w:cs="Helvetica-Light"/>
          <w:b/>
          <w:color w:val="000000"/>
        </w:rPr>
      </w:pPr>
    </w:p>
    <w:p w14:paraId="514F0585" w14:textId="11EB2C61" w:rsidR="007F03E1" w:rsidRPr="00467834" w:rsidRDefault="004A7A82" w:rsidP="00643ABA">
      <w:pPr>
        <w:autoSpaceDE w:val="0"/>
        <w:autoSpaceDN w:val="0"/>
        <w:adjustRightInd w:val="0"/>
        <w:jc w:val="both"/>
        <w:rPr>
          <w:rFonts w:eastAsia="Calibri" w:cs="Helvetica-Light"/>
          <w:b/>
          <w:i/>
          <w:iCs/>
          <w:color w:val="000000"/>
          <w:u w:val="single"/>
        </w:rPr>
      </w:pPr>
      <w:r w:rsidRPr="00467834">
        <w:rPr>
          <w:rFonts w:eastAsia="Calibri" w:cs="Helvetica-Light"/>
          <w:b/>
          <w:i/>
          <w:iCs/>
          <w:color w:val="000000"/>
          <w:u w:val="single"/>
        </w:rPr>
        <w:t xml:space="preserve">Table </w:t>
      </w:r>
      <w:r w:rsidR="00467834">
        <w:rPr>
          <w:rFonts w:eastAsia="Calibri" w:cs="Helvetica-Light"/>
          <w:b/>
          <w:i/>
          <w:iCs/>
          <w:color w:val="000000"/>
          <w:u w:val="single"/>
        </w:rPr>
        <w:t>5</w:t>
      </w:r>
    </w:p>
    <w:p w14:paraId="556D938E" w14:textId="77777777" w:rsidR="00643ABA" w:rsidRDefault="00643ABA" w:rsidP="00643ABA">
      <w:pPr>
        <w:autoSpaceDE w:val="0"/>
        <w:autoSpaceDN w:val="0"/>
        <w:adjustRightInd w:val="0"/>
        <w:jc w:val="both"/>
        <w:rPr>
          <w:rFonts w:eastAsia="Calibri" w:cs="Helvetica-Light"/>
          <w:b/>
          <w:color w:val="000000"/>
        </w:rPr>
      </w:pPr>
    </w:p>
    <w:tbl>
      <w:tblPr>
        <w:tblW w:w="8954" w:type="dxa"/>
        <w:tblInd w:w="113" w:type="dxa"/>
        <w:tblLook w:val="04A0" w:firstRow="1" w:lastRow="0" w:firstColumn="1" w:lastColumn="0" w:noHBand="0" w:noVBand="1"/>
      </w:tblPr>
      <w:tblGrid>
        <w:gridCol w:w="6403"/>
        <w:gridCol w:w="2551"/>
      </w:tblGrid>
      <w:tr w:rsidR="00C92CD8" w14:paraId="4086D3CE" w14:textId="77777777" w:rsidTr="00DE3C7F">
        <w:trPr>
          <w:trHeight w:val="630"/>
        </w:trPr>
        <w:tc>
          <w:tcPr>
            <w:tcW w:w="640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C28893" w14:textId="77777777" w:rsidR="00DE3C7F" w:rsidRPr="00DE0177" w:rsidRDefault="004A7A82" w:rsidP="00BD17C2">
            <w:pPr>
              <w:jc w:val="center"/>
              <w:rPr>
                <w:rFonts w:eastAsia="Times New Roman" w:cs="Arial"/>
                <w:b/>
                <w:bCs/>
                <w:color w:val="000000"/>
              </w:rPr>
            </w:pPr>
            <w:r w:rsidRPr="00DE0177">
              <w:rPr>
                <w:rFonts w:eastAsia="Times New Roman" w:cs="Arial"/>
                <w:b/>
                <w:bCs/>
                <w:color w:val="000000"/>
              </w:rPr>
              <w:t> </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14:paraId="2CFE4F03" w14:textId="77777777" w:rsidR="00DE3C7F" w:rsidRPr="00DE0177" w:rsidRDefault="004A7A82" w:rsidP="00BD17C2">
            <w:pPr>
              <w:jc w:val="center"/>
              <w:rPr>
                <w:rFonts w:eastAsia="Times New Roman" w:cs="Arial"/>
                <w:b/>
                <w:bCs/>
                <w:color w:val="000000"/>
              </w:rPr>
            </w:pPr>
            <w:r w:rsidRPr="00DE0177">
              <w:rPr>
                <w:rFonts w:eastAsia="Times New Roman" w:cs="Arial"/>
                <w:b/>
                <w:bCs/>
                <w:color w:val="000000"/>
              </w:rPr>
              <w:t>2024/25</w:t>
            </w:r>
            <w:r w:rsidRPr="00DE0177">
              <w:rPr>
                <w:rFonts w:eastAsia="Times New Roman" w:cs="Arial"/>
                <w:b/>
                <w:bCs/>
                <w:color w:val="000000"/>
              </w:rPr>
              <w:br/>
              <w:t>£m</w:t>
            </w:r>
          </w:p>
        </w:tc>
      </w:tr>
      <w:tr w:rsidR="00C92CD8" w14:paraId="44CBB4E5" w14:textId="77777777" w:rsidTr="00DE3C7F">
        <w:trPr>
          <w:trHeight w:val="300"/>
        </w:trPr>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0F784B13" w14:textId="77777777" w:rsidR="00DE3C7F" w:rsidRPr="00DE0177" w:rsidRDefault="004A7A82" w:rsidP="00BD17C2">
            <w:pPr>
              <w:rPr>
                <w:rFonts w:eastAsia="Times New Roman" w:cs="Arial"/>
                <w:color w:val="000000"/>
              </w:rPr>
            </w:pPr>
            <w:r w:rsidRPr="00DE0177">
              <w:rPr>
                <w:rFonts w:eastAsia="Times New Roman" w:cs="Arial"/>
                <w:color w:val="000000"/>
              </w:rPr>
              <w:t>Adults Services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4C516" w14:textId="77777777" w:rsidR="00DE3C7F" w:rsidRPr="00DE0177" w:rsidRDefault="004A7A82" w:rsidP="00BD17C2">
            <w:pPr>
              <w:jc w:val="right"/>
              <w:rPr>
                <w:rFonts w:eastAsia="Times New Roman" w:cs="Arial"/>
                <w:color w:val="000000"/>
              </w:rPr>
            </w:pPr>
            <w:r w:rsidRPr="00DE0177">
              <w:rPr>
                <w:rFonts w:eastAsia="Calibri" w:cs="Arial"/>
                <w:color w:val="000000"/>
                <w:lang w:eastAsia="en-US"/>
              </w:rPr>
              <w:t>13.851</w:t>
            </w:r>
          </w:p>
        </w:tc>
      </w:tr>
      <w:tr w:rsidR="00C92CD8" w14:paraId="5746941B" w14:textId="77777777" w:rsidTr="00DE3C7F">
        <w:trPr>
          <w:trHeight w:val="300"/>
        </w:trPr>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55E785AA" w14:textId="77777777" w:rsidR="00DE3C7F" w:rsidRPr="00DE0177" w:rsidRDefault="004A7A82" w:rsidP="00BD17C2">
            <w:pPr>
              <w:rPr>
                <w:rFonts w:eastAsia="Times New Roman" w:cs="Arial"/>
                <w:color w:val="000000"/>
              </w:rPr>
            </w:pPr>
            <w:r w:rsidRPr="00DE0177">
              <w:rPr>
                <w:rFonts w:eastAsia="Times New Roman" w:cs="Arial"/>
                <w:color w:val="000000"/>
              </w:rPr>
              <w:t>Children's Services</w:t>
            </w: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2DFFA7BF" w14:textId="77777777" w:rsidR="00DE3C7F" w:rsidRPr="00DE0177" w:rsidRDefault="004A7A82" w:rsidP="00BD17C2">
            <w:pPr>
              <w:jc w:val="right"/>
              <w:rPr>
                <w:rFonts w:eastAsia="Times New Roman" w:cs="Arial"/>
                <w:color w:val="000000"/>
              </w:rPr>
            </w:pPr>
            <w:r w:rsidRPr="00DE0177">
              <w:rPr>
                <w:rFonts w:eastAsia="Calibri" w:cs="Arial"/>
                <w:color w:val="000000"/>
                <w:lang w:eastAsia="en-US"/>
              </w:rPr>
              <w:t>9.701</w:t>
            </w:r>
          </w:p>
        </w:tc>
      </w:tr>
      <w:tr w:rsidR="00C92CD8" w14:paraId="6DB8DEF5" w14:textId="77777777" w:rsidTr="00DE3C7F">
        <w:trPr>
          <w:trHeight w:val="300"/>
        </w:trPr>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49ACACB8" w14:textId="77777777" w:rsidR="00DE3C7F" w:rsidRPr="00DE0177" w:rsidRDefault="004A7A82" w:rsidP="00BD17C2">
            <w:pPr>
              <w:rPr>
                <w:rFonts w:eastAsia="Times New Roman" w:cs="Arial"/>
                <w:color w:val="000000"/>
              </w:rPr>
            </w:pPr>
            <w:r w:rsidRPr="00DE0177">
              <w:rPr>
                <w:rFonts w:eastAsia="Times New Roman" w:cs="Arial"/>
                <w:color w:val="000000"/>
              </w:rPr>
              <w:t>Highways Services</w:t>
            </w: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006AF1AE" w14:textId="77777777" w:rsidR="00DE3C7F" w:rsidRPr="00DE0177" w:rsidRDefault="004A7A82" w:rsidP="00BD17C2">
            <w:pPr>
              <w:jc w:val="right"/>
              <w:rPr>
                <w:rFonts w:eastAsia="Times New Roman" w:cs="Arial"/>
                <w:color w:val="000000"/>
              </w:rPr>
            </w:pPr>
            <w:r w:rsidRPr="00DE0177">
              <w:rPr>
                <w:rFonts w:eastAsia="Calibri" w:cs="Arial"/>
                <w:color w:val="000000"/>
                <w:lang w:eastAsia="en-US"/>
              </w:rPr>
              <w:t>0.028</w:t>
            </w:r>
          </w:p>
        </w:tc>
      </w:tr>
      <w:tr w:rsidR="00C92CD8" w14:paraId="2F513757" w14:textId="77777777" w:rsidTr="00DE3C7F">
        <w:trPr>
          <w:trHeight w:val="300"/>
        </w:trPr>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684E4E12" w14:textId="77777777" w:rsidR="00DE3C7F" w:rsidRPr="00DE0177" w:rsidRDefault="004A7A82" w:rsidP="00BD17C2">
            <w:pPr>
              <w:rPr>
                <w:rFonts w:eastAsia="Times New Roman" w:cs="Arial"/>
                <w:color w:val="000000"/>
              </w:rPr>
            </w:pPr>
            <w:r w:rsidRPr="00DE0177">
              <w:rPr>
                <w:rFonts w:eastAsia="Times New Roman" w:cs="Arial"/>
                <w:color w:val="000000"/>
              </w:rPr>
              <w:t>Transport Services</w:t>
            </w: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1F15E620" w14:textId="77777777" w:rsidR="00DE3C7F" w:rsidRPr="00DE0177" w:rsidRDefault="004A7A82" w:rsidP="00BD17C2">
            <w:pPr>
              <w:jc w:val="right"/>
              <w:rPr>
                <w:rFonts w:eastAsia="Times New Roman" w:cs="Arial"/>
                <w:color w:val="000000"/>
              </w:rPr>
            </w:pPr>
            <w:r w:rsidRPr="00DE0177">
              <w:rPr>
                <w:rFonts w:eastAsia="Calibri" w:cs="Arial"/>
                <w:color w:val="000000"/>
                <w:lang w:eastAsia="en-US"/>
              </w:rPr>
              <w:t>11.316</w:t>
            </w:r>
          </w:p>
        </w:tc>
      </w:tr>
      <w:tr w:rsidR="00C92CD8" w14:paraId="27AB6DB6" w14:textId="77777777" w:rsidTr="00DE3C7F">
        <w:trPr>
          <w:trHeight w:val="300"/>
        </w:trPr>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59C4D620" w14:textId="77777777" w:rsidR="00DE3C7F" w:rsidRPr="00DE0177" w:rsidRDefault="004A7A82" w:rsidP="00BD17C2">
            <w:pPr>
              <w:rPr>
                <w:rFonts w:eastAsia="Times New Roman" w:cs="Arial"/>
                <w:color w:val="000000"/>
              </w:rPr>
            </w:pPr>
            <w:r w:rsidRPr="00DE0177">
              <w:rPr>
                <w:rFonts w:eastAsia="Times New Roman" w:cs="Arial"/>
                <w:color w:val="000000"/>
              </w:rPr>
              <w:t>Other Services</w:t>
            </w: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6F577B70" w14:textId="77777777" w:rsidR="00DE3C7F" w:rsidRPr="00DE0177" w:rsidRDefault="004A7A82" w:rsidP="00BD17C2">
            <w:pPr>
              <w:jc w:val="right"/>
              <w:rPr>
                <w:rFonts w:eastAsia="Times New Roman" w:cs="Arial"/>
                <w:color w:val="000000"/>
              </w:rPr>
            </w:pPr>
            <w:r w:rsidRPr="00DE0177">
              <w:rPr>
                <w:rFonts w:eastAsia="Calibri" w:cs="Arial"/>
                <w:color w:val="000000"/>
                <w:lang w:eastAsia="en-US"/>
              </w:rPr>
              <w:t>4.107</w:t>
            </w:r>
          </w:p>
        </w:tc>
      </w:tr>
      <w:tr w:rsidR="00C92CD8" w14:paraId="0222C602" w14:textId="77777777" w:rsidTr="00DE3C7F">
        <w:trPr>
          <w:trHeight w:val="315"/>
        </w:trPr>
        <w:tc>
          <w:tcPr>
            <w:tcW w:w="6403" w:type="dxa"/>
            <w:tcBorders>
              <w:top w:val="nil"/>
              <w:left w:val="single" w:sz="4" w:space="0" w:color="auto"/>
              <w:bottom w:val="single" w:sz="4" w:space="0" w:color="auto"/>
              <w:right w:val="single" w:sz="4" w:space="0" w:color="auto"/>
            </w:tcBorders>
            <w:shd w:val="clear" w:color="000000" w:fill="D9D9D9"/>
            <w:noWrap/>
            <w:vAlign w:val="center"/>
            <w:hideMark/>
          </w:tcPr>
          <w:p w14:paraId="769CB0B6" w14:textId="77777777" w:rsidR="00DE3C7F" w:rsidRPr="00DE0177" w:rsidRDefault="004A7A82" w:rsidP="00BD17C2">
            <w:pPr>
              <w:rPr>
                <w:rFonts w:eastAsia="Times New Roman" w:cs="Arial"/>
                <w:b/>
                <w:bCs/>
                <w:color w:val="000000"/>
              </w:rPr>
            </w:pPr>
            <w:r>
              <w:rPr>
                <w:rFonts w:eastAsia="Times New Roman" w:cs="Arial"/>
                <w:b/>
                <w:bCs/>
                <w:color w:val="000000"/>
              </w:rPr>
              <w:t>Total</w:t>
            </w:r>
          </w:p>
        </w:tc>
        <w:tc>
          <w:tcPr>
            <w:tcW w:w="2551" w:type="dxa"/>
            <w:tcBorders>
              <w:top w:val="nil"/>
              <w:left w:val="single" w:sz="4" w:space="0" w:color="auto"/>
              <w:bottom w:val="single" w:sz="4" w:space="0" w:color="auto"/>
              <w:right w:val="single" w:sz="4" w:space="0" w:color="auto"/>
            </w:tcBorders>
            <w:shd w:val="clear" w:color="000000" w:fill="D9D9D9"/>
            <w:noWrap/>
            <w:vAlign w:val="center"/>
          </w:tcPr>
          <w:p w14:paraId="74342EE6" w14:textId="77777777" w:rsidR="00DE3C7F" w:rsidRPr="00DE0177" w:rsidRDefault="004A7A82" w:rsidP="00BD17C2">
            <w:pPr>
              <w:jc w:val="right"/>
              <w:rPr>
                <w:rFonts w:eastAsia="Times New Roman" w:cs="Arial"/>
                <w:b/>
                <w:bCs/>
                <w:color w:val="000000"/>
              </w:rPr>
            </w:pPr>
            <w:r w:rsidRPr="00DE0177">
              <w:rPr>
                <w:rFonts w:eastAsia="Calibri" w:cs="Arial"/>
                <w:b/>
                <w:bCs/>
                <w:color w:val="000000"/>
                <w:lang w:eastAsia="en-US"/>
              </w:rPr>
              <w:t>39.003</w:t>
            </w:r>
          </w:p>
        </w:tc>
      </w:tr>
    </w:tbl>
    <w:p w14:paraId="6F437E55" w14:textId="77777777" w:rsidR="00643ABA" w:rsidRDefault="00643ABA" w:rsidP="00643ABA">
      <w:pPr>
        <w:autoSpaceDE w:val="0"/>
        <w:autoSpaceDN w:val="0"/>
        <w:adjustRightInd w:val="0"/>
        <w:jc w:val="both"/>
        <w:rPr>
          <w:rFonts w:eastAsia="Calibri" w:cs="Helvetica-Light"/>
          <w:b/>
          <w:color w:val="000000"/>
        </w:rPr>
      </w:pPr>
    </w:p>
    <w:p w14:paraId="6D10EC3D" w14:textId="1FC678D2" w:rsidR="00381368" w:rsidRDefault="004A7A82" w:rsidP="00074F99">
      <w:pPr>
        <w:autoSpaceDE w:val="0"/>
        <w:autoSpaceDN w:val="0"/>
        <w:adjustRightInd w:val="0"/>
        <w:ind w:left="720" w:hanging="720"/>
        <w:jc w:val="both"/>
        <w:rPr>
          <w:rFonts w:eastAsia="Calibri" w:cs="Helvetica-Light"/>
          <w:bCs/>
          <w:color w:val="000000"/>
        </w:rPr>
      </w:pPr>
      <w:r w:rsidRPr="005A1C64">
        <w:rPr>
          <w:rFonts w:eastAsia="Calibri" w:cs="Helvetica-Light"/>
          <w:bCs/>
          <w:color w:val="000000"/>
        </w:rPr>
        <w:t>6.1</w:t>
      </w:r>
      <w:r w:rsidRPr="005A1C64">
        <w:rPr>
          <w:rFonts w:eastAsia="Calibri" w:cs="Helvetica-Light"/>
          <w:bCs/>
          <w:color w:val="000000"/>
        </w:rPr>
        <w:tab/>
      </w:r>
      <w:r w:rsidR="007F03E1">
        <w:rPr>
          <w:rFonts w:eastAsia="Calibri" w:cs="Helvetica-Light"/>
          <w:bCs/>
          <w:color w:val="000000"/>
        </w:rPr>
        <w:t xml:space="preserve">Table </w:t>
      </w:r>
      <w:r w:rsidR="000D7C1B">
        <w:rPr>
          <w:rFonts w:eastAsia="Calibri" w:cs="Helvetica-Light"/>
          <w:bCs/>
          <w:color w:val="000000"/>
        </w:rPr>
        <w:t>5</w:t>
      </w:r>
      <w:r w:rsidR="00463789">
        <w:rPr>
          <w:rFonts w:eastAsia="Calibri" w:cs="Helvetica-Light"/>
          <w:bCs/>
          <w:color w:val="000000"/>
        </w:rPr>
        <w:t xml:space="preserve"> above shows the Council faces </w:t>
      </w:r>
      <w:r>
        <w:rPr>
          <w:rFonts w:eastAsia="Calibri" w:cs="Helvetica-Light"/>
          <w:bCs/>
          <w:color w:val="000000"/>
        </w:rPr>
        <w:t xml:space="preserve">a financial pressure of £39m in 2024/25 </w:t>
      </w:r>
      <w:proofErr w:type="gramStart"/>
      <w:r>
        <w:rPr>
          <w:rFonts w:eastAsia="Calibri" w:cs="Helvetica-Light"/>
          <w:bCs/>
          <w:color w:val="000000"/>
        </w:rPr>
        <w:t>as a consequence of</w:t>
      </w:r>
      <w:proofErr w:type="gramEnd"/>
      <w:r>
        <w:rPr>
          <w:rFonts w:eastAsia="Calibri" w:cs="Helvetica-Light"/>
          <w:bCs/>
          <w:color w:val="000000"/>
        </w:rPr>
        <w:t xml:space="preserve"> increased demand for its services. Some of the key drivers of this demand are:</w:t>
      </w:r>
    </w:p>
    <w:p w14:paraId="050C86FC" w14:textId="77777777" w:rsidR="00B34AB4" w:rsidRDefault="00B34AB4" w:rsidP="00074F99">
      <w:pPr>
        <w:autoSpaceDE w:val="0"/>
        <w:autoSpaceDN w:val="0"/>
        <w:adjustRightInd w:val="0"/>
        <w:ind w:left="720" w:hanging="720"/>
        <w:jc w:val="both"/>
        <w:rPr>
          <w:rFonts w:eastAsia="Calibri" w:cs="Helvetica-Light"/>
          <w:bCs/>
          <w:color w:val="000000"/>
        </w:rPr>
      </w:pPr>
    </w:p>
    <w:p w14:paraId="298B2BF5" w14:textId="3CF24EED" w:rsidR="00B34AB4" w:rsidRDefault="004A7A82" w:rsidP="005838A0">
      <w:pPr>
        <w:pStyle w:val="ListParagraph"/>
        <w:numPr>
          <w:ilvl w:val="0"/>
          <w:numId w:val="9"/>
        </w:numPr>
        <w:autoSpaceDE w:val="0"/>
        <w:autoSpaceDN w:val="0"/>
        <w:adjustRightInd w:val="0"/>
        <w:jc w:val="both"/>
        <w:rPr>
          <w:rFonts w:eastAsia="Calibri" w:cs="Helvetica-Light"/>
          <w:bCs/>
          <w:color w:val="000000"/>
        </w:rPr>
      </w:pPr>
      <w:r>
        <w:rPr>
          <w:rFonts w:eastAsia="Calibri" w:cs="Helvetica-Light"/>
          <w:bCs/>
          <w:color w:val="000000"/>
        </w:rPr>
        <w:t xml:space="preserve">Adult Social Care </w:t>
      </w:r>
      <w:r w:rsidR="00F75574">
        <w:rPr>
          <w:rFonts w:eastAsia="Calibri" w:cs="Helvetica-Light"/>
          <w:bCs/>
          <w:color w:val="000000"/>
        </w:rPr>
        <w:t>–</w:t>
      </w:r>
      <w:r>
        <w:rPr>
          <w:rFonts w:eastAsia="Calibri" w:cs="Helvetica-Light"/>
          <w:bCs/>
          <w:color w:val="000000"/>
        </w:rPr>
        <w:t xml:space="preserve"> </w:t>
      </w:r>
      <w:r w:rsidR="0044225D">
        <w:rPr>
          <w:rFonts w:eastAsia="Calibri" w:cs="Helvetica-Light"/>
          <w:bCs/>
          <w:color w:val="000000"/>
        </w:rPr>
        <w:t>the population of adults aged over 65 continues to increase, therefore additiona</w:t>
      </w:r>
      <w:r w:rsidR="004026D3">
        <w:rPr>
          <w:rFonts w:eastAsia="Calibri" w:cs="Helvetica-Light"/>
          <w:bCs/>
          <w:color w:val="000000"/>
        </w:rPr>
        <w:t xml:space="preserve">l budget is required to support demand levels across the budget. This is different across </w:t>
      </w:r>
      <w:r w:rsidR="00684B5B">
        <w:rPr>
          <w:rFonts w:eastAsia="Calibri" w:cs="Helvetica-Light"/>
          <w:bCs/>
          <w:color w:val="000000"/>
        </w:rPr>
        <w:t>the various types of service provision, but a weighted average 2.9% increases ha</w:t>
      </w:r>
      <w:r w:rsidR="00DD6921">
        <w:rPr>
          <w:rFonts w:eastAsia="Calibri" w:cs="Helvetica-Light"/>
          <w:bCs/>
          <w:color w:val="000000"/>
        </w:rPr>
        <w:t>ve</w:t>
      </w:r>
      <w:r w:rsidR="00684B5B">
        <w:rPr>
          <w:rFonts w:eastAsia="Calibri" w:cs="Helvetica-Light"/>
          <w:bCs/>
          <w:color w:val="000000"/>
        </w:rPr>
        <w:t xml:space="preserve"> been provide</w:t>
      </w:r>
      <w:r w:rsidR="00D67BF3">
        <w:rPr>
          <w:rFonts w:eastAsia="Calibri" w:cs="Helvetica-Light"/>
          <w:bCs/>
          <w:color w:val="000000"/>
        </w:rPr>
        <w:t>d</w:t>
      </w:r>
      <w:r w:rsidR="00684B5B">
        <w:rPr>
          <w:rFonts w:eastAsia="Calibri" w:cs="Helvetica-Light"/>
          <w:bCs/>
          <w:color w:val="000000"/>
        </w:rPr>
        <w:t xml:space="preserve"> within the 2024/25 budget. In addition, </w:t>
      </w:r>
      <w:r w:rsidR="00FD24A6">
        <w:rPr>
          <w:rFonts w:eastAsia="Calibri" w:cs="Helvetica-Light"/>
          <w:bCs/>
          <w:color w:val="000000"/>
        </w:rPr>
        <w:t xml:space="preserve">mental health services have seen increased demand since the pandemic </w:t>
      </w:r>
      <w:r w:rsidR="00F8337F">
        <w:rPr>
          <w:rFonts w:eastAsia="Calibri" w:cs="Helvetica-Light"/>
          <w:bCs/>
          <w:color w:val="000000"/>
        </w:rPr>
        <w:t xml:space="preserve">in the domiciliary care </w:t>
      </w:r>
      <w:r w:rsidR="00430E51">
        <w:rPr>
          <w:rFonts w:eastAsia="Calibri" w:cs="Helvetica-Light"/>
          <w:bCs/>
          <w:color w:val="000000"/>
        </w:rPr>
        <w:t xml:space="preserve">service, with an additional £2m included in 2024/25. </w:t>
      </w:r>
    </w:p>
    <w:p w14:paraId="1ACA3FD3" w14:textId="17F62C74" w:rsidR="00430E51" w:rsidRDefault="00430E51" w:rsidP="00430E51">
      <w:pPr>
        <w:pStyle w:val="ListParagraph"/>
        <w:autoSpaceDE w:val="0"/>
        <w:autoSpaceDN w:val="0"/>
        <w:adjustRightInd w:val="0"/>
        <w:ind w:left="928"/>
        <w:jc w:val="both"/>
        <w:rPr>
          <w:rFonts w:eastAsia="Calibri" w:cs="Helvetica-Light"/>
          <w:bCs/>
          <w:color w:val="000000"/>
        </w:rPr>
      </w:pPr>
    </w:p>
    <w:p w14:paraId="161F1765" w14:textId="0F1D8D18" w:rsidR="00430E51" w:rsidRDefault="004A7A82" w:rsidP="005838A0">
      <w:pPr>
        <w:pStyle w:val="ListParagraph"/>
        <w:numPr>
          <w:ilvl w:val="0"/>
          <w:numId w:val="9"/>
        </w:numPr>
        <w:autoSpaceDE w:val="0"/>
        <w:autoSpaceDN w:val="0"/>
        <w:adjustRightInd w:val="0"/>
        <w:jc w:val="both"/>
        <w:rPr>
          <w:rFonts w:eastAsia="Calibri" w:cs="Helvetica-Light"/>
          <w:color w:val="000000"/>
        </w:rPr>
      </w:pPr>
      <w:r w:rsidRPr="1296B87A">
        <w:rPr>
          <w:rFonts w:eastAsia="Calibri" w:cs="Helvetica-Light"/>
          <w:color w:val="000000" w:themeColor="text1"/>
        </w:rPr>
        <w:t xml:space="preserve">Children's Services </w:t>
      </w:r>
      <w:r w:rsidR="2C3F84D5" w:rsidRPr="1296B87A">
        <w:rPr>
          <w:rFonts w:eastAsia="Calibri" w:cs="Helvetica-Light"/>
          <w:color w:val="000000" w:themeColor="text1"/>
        </w:rPr>
        <w:t>–</w:t>
      </w:r>
      <w:r w:rsidRPr="1296B87A">
        <w:rPr>
          <w:rFonts w:eastAsia="Calibri" w:cs="Helvetica-Light"/>
          <w:color w:val="000000" w:themeColor="text1"/>
        </w:rPr>
        <w:t xml:space="preserve"> </w:t>
      </w:r>
      <w:r w:rsidR="2C3F84D5" w:rsidRPr="1296B87A">
        <w:rPr>
          <w:rFonts w:eastAsia="Calibri" w:cs="Helvetica-Light"/>
          <w:color w:val="000000" w:themeColor="text1"/>
        </w:rPr>
        <w:t xml:space="preserve">demand continues to increase within Children's Social Care, although at a reduced rate to previous years. </w:t>
      </w:r>
      <w:r w:rsidR="02AC18A2" w:rsidRPr="1296B87A">
        <w:rPr>
          <w:rFonts w:eastAsia="Calibri" w:cs="Helvetica-Light"/>
          <w:color w:val="000000" w:themeColor="text1"/>
        </w:rPr>
        <w:t xml:space="preserve">Projections </w:t>
      </w:r>
      <w:r w:rsidR="715DFD54" w:rsidRPr="1296B87A">
        <w:rPr>
          <w:rFonts w:eastAsia="Calibri" w:cs="Helvetica-Light"/>
          <w:color w:val="000000" w:themeColor="text1"/>
        </w:rPr>
        <w:t xml:space="preserve">indicate that demand will present the requirement for an additional </w:t>
      </w:r>
      <w:r w:rsidR="6F1055E8" w:rsidRPr="1296B87A">
        <w:rPr>
          <w:rFonts w:eastAsia="Calibri" w:cs="Helvetica-Light"/>
          <w:color w:val="000000" w:themeColor="text1"/>
        </w:rPr>
        <w:t xml:space="preserve">3.5% across the budget for placements and </w:t>
      </w:r>
      <w:r w:rsidR="498D90F2" w:rsidRPr="1296B87A">
        <w:rPr>
          <w:rFonts w:eastAsia="Calibri" w:cs="Helvetica-Light"/>
          <w:color w:val="000000" w:themeColor="text1"/>
        </w:rPr>
        <w:t xml:space="preserve">7.0% for </w:t>
      </w:r>
      <w:r w:rsidR="2822081C" w:rsidRPr="1296B87A">
        <w:rPr>
          <w:rFonts w:eastAsia="Calibri" w:cs="Helvetica-Light"/>
          <w:color w:val="000000" w:themeColor="text1"/>
        </w:rPr>
        <w:t xml:space="preserve">Special Guardianship Orders (SGOs). </w:t>
      </w:r>
    </w:p>
    <w:p w14:paraId="3967513C" w14:textId="13C6D66A" w:rsidR="001E3EAD" w:rsidRPr="001E3EAD" w:rsidRDefault="001E3EAD" w:rsidP="1296B87A">
      <w:pPr>
        <w:pStyle w:val="ListParagraph"/>
        <w:rPr>
          <w:rFonts w:eastAsia="Calibri" w:cs="Helvetica-Light"/>
          <w:color w:val="000000"/>
        </w:rPr>
      </w:pPr>
    </w:p>
    <w:p w14:paraId="29D8E9ED" w14:textId="22ABA6F6" w:rsidR="001E3EAD" w:rsidRDefault="004A7A82" w:rsidP="001E3EAD">
      <w:pPr>
        <w:ind w:left="928"/>
        <w:jc w:val="both"/>
        <w:rPr>
          <w:rFonts w:eastAsia="Arial" w:cs="Arial"/>
        </w:rPr>
      </w:pPr>
      <w:r w:rsidRPr="1296B87A">
        <w:rPr>
          <w:rFonts w:eastAsia="Arial" w:cs="Arial"/>
        </w:rPr>
        <w:t>In addition, the Special Educational Needs and Disabilities Service is experiencing high demand levels due to the level of referrals received across the service relating to education, health and care plans. The service has seen increased demand of 70% for new assessments since 2022. The number of Education Health and Care Plans ha</w:t>
      </w:r>
      <w:r w:rsidR="00AF1780">
        <w:rPr>
          <w:rFonts w:eastAsia="Arial" w:cs="Arial"/>
        </w:rPr>
        <w:t>s</w:t>
      </w:r>
      <w:r w:rsidRPr="1296B87A">
        <w:rPr>
          <w:rFonts w:eastAsia="Arial" w:cs="Arial"/>
        </w:rPr>
        <w:t xml:space="preserve"> increased from 166 per 10,000 of population aged 0-24 to 246 in 2022 which mirrors trends seen both in the northwest and nationally. The service requires additional funding to meet this and an additional £2.5m has been included in the 2024/25 budget. </w:t>
      </w:r>
    </w:p>
    <w:p w14:paraId="75CC7CAA" w14:textId="77777777" w:rsidR="001A5E3A" w:rsidRPr="001E3EAD" w:rsidRDefault="001A5E3A" w:rsidP="001E3EAD">
      <w:pPr>
        <w:rPr>
          <w:rFonts w:eastAsia="Calibri" w:cs="Helvetica-Light"/>
          <w:bCs/>
          <w:color w:val="000000"/>
        </w:rPr>
      </w:pPr>
    </w:p>
    <w:p w14:paraId="43498051" w14:textId="15EC3A6F" w:rsidR="001A5E3A" w:rsidRDefault="004A7A82" w:rsidP="005838A0">
      <w:pPr>
        <w:pStyle w:val="ListParagraph"/>
        <w:numPr>
          <w:ilvl w:val="0"/>
          <w:numId w:val="9"/>
        </w:numPr>
        <w:autoSpaceDE w:val="0"/>
        <w:autoSpaceDN w:val="0"/>
        <w:adjustRightInd w:val="0"/>
        <w:jc w:val="both"/>
        <w:rPr>
          <w:rFonts w:eastAsia="Calibri" w:cs="Helvetica-Light"/>
          <w:color w:val="000000"/>
        </w:rPr>
      </w:pPr>
      <w:r w:rsidRPr="1296B87A">
        <w:rPr>
          <w:rFonts w:eastAsia="Calibri" w:cs="Helvetica-Light"/>
          <w:color w:val="000000" w:themeColor="text1"/>
        </w:rPr>
        <w:t xml:space="preserve">Home to School Transport </w:t>
      </w:r>
      <w:r w:rsidR="00917E78" w:rsidRPr="1296B87A">
        <w:rPr>
          <w:rFonts w:eastAsia="Calibri" w:cs="Helvetica-Light"/>
          <w:color w:val="000000" w:themeColor="text1"/>
        </w:rPr>
        <w:t>–</w:t>
      </w:r>
      <w:r w:rsidRPr="1296B87A">
        <w:rPr>
          <w:rFonts w:eastAsia="Calibri" w:cs="Helvetica-Light"/>
          <w:color w:val="000000" w:themeColor="text1"/>
        </w:rPr>
        <w:t xml:space="preserve"> </w:t>
      </w:r>
      <w:r w:rsidR="00917E78" w:rsidRPr="1296B87A">
        <w:rPr>
          <w:rFonts w:eastAsia="Calibri" w:cs="Helvetica-Light"/>
          <w:color w:val="000000" w:themeColor="text1"/>
        </w:rPr>
        <w:t xml:space="preserve">as part of the 2022/23 outturn and the 2023/24 budget monitoring forecast, there are significant pressures across the home to school transport budget, particularly relating to those pupils with Special Educational Needs and Disabilities (SEND). </w:t>
      </w:r>
      <w:r w:rsidR="005A5449" w:rsidRPr="1296B87A">
        <w:rPr>
          <w:rFonts w:eastAsia="Calibri" w:cs="Helvetica-Light"/>
          <w:color w:val="000000" w:themeColor="text1"/>
        </w:rPr>
        <w:t>It is forecast that demand will increase by 14% in 2024/25</w:t>
      </w:r>
      <w:r w:rsidR="001E3EAD" w:rsidRPr="1296B87A">
        <w:rPr>
          <w:rFonts w:eastAsia="Calibri" w:cs="Helvetica-Light"/>
          <w:color w:val="000000" w:themeColor="text1"/>
        </w:rPr>
        <w:t xml:space="preserve"> (linked to the </w:t>
      </w:r>
      <w:r w:rsidR="002546D2" w:rsidRPr="1296B87A">
        <w:rPr>
          <w:rFonts w:eastAsia="Calibri" w:cs="Helvetica-Light"/>
          <w:color w:val="000000" w:themeColor="text1"/>
        </w:rPr>
        <w:t>data</w:t>
      </w:r>
      <w:r w:rsidR="001E3EAD" w:rsidRPr="1296B87A">
        <w:rPr>
          <w:rFonts w:eastAsia="Calibri" w:cs="Helvetica-Light"/>
          <w:color w:val="000000" w:themeColor="text1"/>
        </w:rPr>
        <w:t xml:space="preserve"> detailed in </w:t>
      </w:r>
      <w:r w:rsidR="002546D2" w:rsidRPr="1296B87A">
        <w:rPr>
          <w:rFonts w:eastAsia="Calibri" w:cs="Helvetica-Light"/>
          <w:color w:val="000000" w:themeColor="text1"/>
        </w:rPr>
        <w:t>point b) above)</w:t>
      </w:r>
      <w:r w:rsidR="005809DC" w:rsidRPr="1296B87A">
        <w:rPr>
          <w:rFonts w:eastAsia="Calibri" w:cs="Helvetica-Light"/>
          <w:color w:val="000000" w:themeColor="text1"/>
        </w:rPr>
        <w:t xml:space="preserve">, with the modelling assuming that this is the peak in growth post </w:t>
      </w:r>
      <w:r w:rsidR="000D1EBE" w:rsidRPr="1296B87A">
        <w:rPr>
          <w:rFonts w:eastAsia="Calibri" w:cs="Helvetica-Light"/>
          <w:color w:val="000000" w:themeColor="text1"/>
        </w:rPr>
        <w:t xml:space="preserve">pandemic and reducing levels of growth built into later years. This is a national issue being felt by every upper tier authority in the country and further work is being actively undertaken within the </w:t>
      </w:r>
      <w:r w:rsidR="00B2369A">
        <w:rPr>
          <w:rFonts w:eastAsia="Calibri" w:cs="Helvetica-Light"/>
          <w:color w:val="000000" w:themeColor="text1"/>
        </w:rPr>
        <w:t>C</w:t>
      </w:r>
      <w:r w:rsidR="000D1EBE" w:rsidRPr="1296B87A">
        <w:rPr>
          <w:rFonts w:eastAsia="Calibri" w:cs="Helvetica-Light"/>
          <w:color w:val="000000" w:themeColor="text1"/>
        </w:rPr>
        <w:t>ouncil to implement mitigations.</w:t>
      </w:r>
    </w:p>
    <w:p w14:paraId="21835273" w14:textId="3C512125" w:rsidR="00CC0F22" w:rsidRDefault="00CC0F22" w:rsidP="1296B87A">
      <w:pPr>
        <w:pStyle w:val="ListParagraph"/>
        <w:autoSpaceDE w:val="0"/>
        <w:autoSpaceDN w:val="0"/>
        <w:adjustRightInd w:val="0"/>
        <w:ind w:left="928"/>
        <w:jc w:val="both"/>
        <w:rPr>
          <w:rFonts w:eastAsia="Calibri" w:cs="Helvetica-Light"/>
          <w:color w:val="000000"/>
        </w:rPr>
      </w:pPr>
    </w:p>
    <w:p w14:paraId="410664E2" w14:textId="34D95CD5" w:rsidR="00CC0F22" w:rsidRPr="00CC0F22" w:rsidRDefault="004A7A82" w:rsidP="00477059">
      <w:pPr>
        <w:pStyle w:val="ListParagraph"/>
        <w:numPr>
          <w:ilvl w:val="0"/>
          <w:numId w:val="9"/>
        </w:numPr>
        <w:jc w:val="both"/>
        <w:rPr>
          <w:rFonts w:cs="Arial"/>
        </w:rPr>
      </w:pPr>
      <w:r w:rsidRPr="1296B87A">
        <w:rPr>
          <w:rFonts w:cs="Arial"/>
        </w:rPr>
        <w:lastRenderedPageBreak/>
        <w:t xml:space="preserve">Further additional funding of c£2m has been included in 2024/25 for digital services to reflect the changing approach to the provision of ICT systems. </w:t>
      </w:r>
      <w:proofErr w:type="gramStart"/>
      <w:r w:rsidRPr="1296B87A">
        <w:rPr>
          <w:rFonts w:cs="Arial"/>
        </w:rPr>
        <w:t>A majority of</w:t>
      </w:r>
      <w:proofErr w:type="gramEnd"/>
      <w:r w:rsidRPr="1296B87A">
        <w:rPr>
          <w:rFonts w:cs="Arial"/>
        </w:rPr>
        <w:t xml:space="preserve"> replacement systems are now cloud based and licenses need to be paid for from the </w:t>
      </w:r>
      <w:r w:rsidR="00B2369A">
        <w:rPr>
          <w:rFonts w:cs="Arial"/>
        </w:rPr>
        <w:t>C</w:t>
      </w:r>
      <w:r w:rsidRPr="1296B87A">
        <w:rPr>
          <w:rFonts w:cs="Arial"/>
        </w:rPr>
        <w:t>ouncil’s revenue budget (previously capital expenditure and funded from the capital programme).</w:t>
      </w:r>
    </w:p>
    <w:p w14:paraId="19DDBDED" w14:textId="77777777" w:rsidR="000D1EBE" w:rsidRDefault="000D1EBE" w:rsidP="00643ABA">
      <w:pPr>
        <w:autoSpaceDE w:val="0"/>
        <w:autoSpaceDN w:val="0"/>
        <w:adjustRightInd w:val="0"/>
        <w:jc w:val="both"/>
        <w:rPr>
          <w:rFonts w:eastAsia="Calibri" w:cs="Helvetica-Light"/>
          <w:b/>
          <w:color w:val="000000"/>
        </w:rPr>
      </w:pPr>
    </w:p>
    <w:p w14:paraId="36F81AC2" w14:textId="5CF8CC66" w:rsidR="00643ABA" w:rsidRDefault="004A7A82" w:rsidP="00643ABA">
      <w:pPr>
        <w:autoSpaceDE w:val="0"/>
        <w:autoSpaceDN w:val="0"/>
        <w:adjustRightInd w:val="0"/>
        <w:jc w:val="both"/>
        <w:rPr>
          <w:rFonts w:eastAsia="Calibri" w:cs="Helvetica-Light"/>
          <w:b/>
          <w:color w:val="000000"/>
        </w:rPr>
      </w:pPr>
      <w:r>
        <w:rPr>
          <w:rFonts w:eastAsia="Calibri" w:cs="Helvetica-Light"/>
          <w:b/>
          <w:color w:val="000000"/>
        </w:rPr>
        <w:t>7.</w:t>
      </w:r>
      <w:r>
        <w:rPr>
          <w:rFonts w:eastAsia="Calibri" w:cs="Helvetica-Light"/>
          <w:b/>
          <w:color w:val="000000"/>
        </w:rPr>
        <w:tab/>
        <w:t>Savings</w:t>
      </w:r>
    </w:p>
    <w:p w14:paraId="6118EC17" w14:textId="77777777" w:rsidR="00835B81" w:rsidRDefault="00835B81" w:rsidP="00643ABA">
      <w:pPr>
        <w:autoSpaceDE w:val="0"/>
        <w:autoSpaceDN w:val="0"/>
        <w:adjustRightInd w:val="0"/>
        <w:jc w:val="both"/>
        <w:rPr>
          <w:rFonts w:eastAsia="Calibri" w:cs="Helvetica-Light"/>
          <w:b/>
          <w:color w:val="000000"/>
        </w:rPr>
      </w:pPr>
    </w:p>
    <w:p w14:paraId="6DD330DB" w14:textId="39FB50BA" w:rsidR="00835B81" w:rsidRPr="00CC4E03" w:rsidRDefault="004A7A82" w:rsidP="00CC4E03">
      <w:pPr>
        <w:autoSpaceDE w:val="0"/>
        <w:autoSpaceDN w:val="0"/>
        <w:adjustRightInd w:val="0"/>
        <w:ind w:left="720" w:hanging="720"/>
        <w:jc w:val="both"/>
        <w:rPr>
          <w:rFonts w:eastAsia="Calibri" w:cs="Helvetica-Light"/>
          <w:bCs/>
          <w:color w:val="000000"/>
        </w:rPr>
      </w:pPr>
      <w:r w:rsidRPr="00CC4E03">
        <w:rPr>
          <w:rFonts w:eastAsia="Calibri" w:cs="Helvetica-Light"/>
          <w:bCs/>
          <w:color w:val="000000"/>
        </w:rPr>
        <w:t>7.1</w:t>
      </w:r>
      <w:r w:rsidR="00CC4E03" w:rsidRPr="00CC4E03">
        <w:rPr>
          <w:rFonts w:eastAsia="Calibri" w:cs="Helvetica-Light"/>
          <w:bCs/>
          <w:color w:val="000000"/>
        </w:rPr>
        <w:tab/>
      </w:r>
      <w:r w:rsidR="005A7245" w:rsidRPr="1D499E29">
        <w:rPr>
          <w:rFonts w:cs="Arial"/>
        </w:rPr>
        <w:t>As a county council we have a strong track record in identifying and delivering savings</w:t>
      </w:r>
      <w:r w:rsidR="005A7245">
        <w:rPr>
          <w:rFonts w:cs="Arial"/>
        </w:rPr>
        <w:t xml:space="preserve">. </w:t>
      </w:r>
      <w:r w:rsidR="005A7245" w:rsidRPr="00274DA2">
        <w:rPr>
          <w:rFonts w:cs="Arial"/>
        </w:rPr>
        <w:t xml:space="preserve">The proposed </w:t>
      </w:r>
      <w:r w:rsidR="005A7245">
        <w:rPr>
          <w:rFonts w:cs="Arial"/>
        </w:rPr>
        <w:t xml:space="preserve">2024/25 </w:t>
      </w:r>
      <w:r w:rsidR="005A7245" w:rsidRPr="00274DA2">
        <w:rPr>
          <w:rFonts w:cs="Arial"/>
        </w:rPr>
        <w:t xml:space="preserve">budget </w:t>
      </w:r>
      <w:r w:rsidR="005A7245" w:rsidRPr="31D4F0B1">
        <w:rPr>
          <w:rFonts w:cs="Arial"/>
        </w:rPr>
        <w:t xml:space="preserve">and </w:t>
      </w:r>
      <w:r w:rsidR="00C80255">
        <w:rPr>
          <w:rFonts w:cs="Arial"/>
        </w:rPr>
        <w:t>medium-term</w:t>
      </w:r>
      <w:r>
        <w:rPr>
          <w:rFonts w:cs="Arial"/>
        </w:rPr>
        <w:t xml:space="preserve"> financial </w:t>
      </w:r>
      <w:r w:rsidR="00C80255">
        <w:rPr>
          <w:rFonts w:cs="Arial"/>
        </w:rPr>
        <w:t xml:space="preserve">strategy </w:t>
      </w:r>
      <w:r w:rsidR="00C80255" w:rsidRPr="31D4F0B1">
        <w:rPr>
          <w:rFonts w:cs="Arial"/>
        </w:rPr>
        <w:t>includes</w:t>
      </w:r>
      <w:r w:rsidR="005A7245" w:rsidRPr="00274DA2">
        <w:rPr>
          <w:rFonts w:cs="Arial"/>
        </w:rPr>
        <w:t xml:space="preserve"> </w:t>
      </w:r>
      <w:r w:rsidR="006412B8">
        <w:rPr>
          <w:rFonts w:cs="Arial"/>
        </w:rPr>
        <w:t>almost</w:t>
      </w:r>
      <w:r w:rsidR="005A7245" w:rsidRPr="00274DA2">
        <w:rPr>
          <w:rFonts w:cs="Arial"/>
        </w:rPr>
        <w:t xml:space="preserve"> £</w:t>
      </w:r>
      <w:r w:rsidR="005A7245" w:rsidRPr="31D4F0B1">
        <w:rPr>
          <w:rFonts w:cs="Arial"/>
        </w:rPr>
        <w:t>100m</w:t>
      </w:r>
      <w:r w:rsidRPr="00274DA2">
        <w:rPr>
          <w:rFonts w:cs="Arial"/>
        </w:rPr>
        <w:t xml:space="preserve"> of </w:t>
      </w:r>
      <w:r w:rsidR="006E7C8B">
        <w:rPr>
          <w:rFonts w:cs="Arial"/>
        </w:rPr>
        <w:t xml:space="preserve">previously agreed </w:t>
      </w:r>
      <w:r w:rsidR="005A7245" w:rsidRPr="00274DA2">
        <w:rPr>
          <w:rFonts w:cs="Arial"/>
        </w:rPr>
        <w:t>savings</w:t>
      </w:r>
      <w:r w:rsidR="00274089">
        <w:rPr>
          <w:rFonts w:cs="Arial"/>
        </w:rPr>
        <w:t xml:space="preserve"> and new savings proposals</w:t>
      </w:r>
      <w:r w:rsidR="005A7245" w:rsidRPr="00274DA2">
        <w:rPr>
          <w:rFonts w:cs="Arial"/>
        </w:rPr>
        <w:t>.</w:t>
      </w:r>
      <w:r w:rsidR="007E0F71">
        <w:rPr>
          <w:rFonts w:cs="Arial"/>
        </w:rPr>
        <w:t xml:space="preserve"> </w:t>
      </w:r>
      <w:r w:rsidR="007E0F71" w:rsidRPr="00CC4E03">
        <w:rPr>
          <w:rFonts w:eastAsia="Calibri" w:cs="Helvetica-Light"/>
          <w:bCs/>
          <w:color w:val="000000"/>
        </w:rPr>
        <w:t xml:space="preserve">The </w:t>
      </w:r>
      <w:r w:rsidR="00B2369A">
        <w:rPr>
          <w:rFonts w:eastAsia="Calibri" w:cs="Helvetica-Light"/>
          <w:bCs/>
          <w:color w:val="000000"/>
        </w:rPr>
        <w:t>C</w:t>
      </w:r>
      <w:r w:rsidR="007E0F71" w:rsidRPr="00CC4E03">
        <w:rPr>
          <w:rFonts w:eastAsia="Calibri" w:cs="Helvetica-Light"/>
          <w:bCs/>
          <w:color w:val="000000"/>
        </w:rPr>
        <w:t xml:space="preserve">ouncil continues to look for areas where it can be more productive and generate efficiency savings </w:t>
      </w:r>
      <w:proofErr w:type="gramStart"/>
      <w:r w:rsidR="007E0F71" w:rsidRPr="00CC4E03">
        <w:rPr>
          <w:rFonts w:eastAsia="Calibri" w:cs="Helvetica-Light"/>
          <w:bCs/>
          <w:color w:val="000000"/>
        </w:rPr>
        <w:t>and also</w:t>
      </w:r>
      <w:proofErr w:type="gramEnd"/>
      <w:r w:rsidR="007E0F71" w:rsidRPr="00CC4E03">
        <w:rPr>
          <w:rFonts w:eastAsia="Calibri" w:cs="Helvetica-Light"/>
          <w:bCs/>
          <w:color w:val="000000"/>
        </w:rPr>
        <w:t xml:space="preserve"> areas where different levels of service can be provided.</w:t>
      </w:r>
    </w:p>
    <w:p w14:paraId="65CA96B2" w14:textId="77777777" w:rsidR="00345013" w:rsidRDefault="00345013" w:rsidP="00643ABA">
      <w:pPr>
        <w:autoSpaceDE w:val="0"/>
        <w:autoSpaceDN w:val="0"/>
        <w:adjustRightInd w:val="0"/>
        <w:jc w:val="both"/>
        <w:rPr>
          <w:rFonts w:eastAsia="Calibri" w:cs="Helvetica-Light"/>
          <w:b/>
          <w:color w:val="000000"/>
        </w:rPr>
      </w:pPr>
    </w:p>
    <w:p w14:paraId="7E6779E3" w14:textId="5A1EEE1D" w:rsidR="00643ABA" w:rsidRDefault="004A7A82" w:rsidP="00643ABA">
      <w:pPr>
        <w:ind w:left="720" w:hanging="720"/>
        <w:jc w:val="both"/>
        <w:rPr>
          <w:rFonts w:cs="Arial"/>
          <w:szCs w:val="20"/>
        </w:rPr>
      </w:pPr>
      <w:r>
        <w:rPr>
          <w:rFonts w:cs="Arial"/>
          <w:szCs w:val="20"/>
        </w:rPr>
        <w:t>7.</w:t>
      </w:r>
      <w:r w:rsidR="00274089">
        <w:rPr>
          <w:rFonts w:cs="Arial"/>
          <w:szCs w:val="20"/>
        </w:rPr>
        <w:t>2</w:t>
      </w:r>
      <w:r w:rsidRPr="00274DA2">
        <w:rPr>
          <w:rFonts w:cs="Arial"/>
          <w:szCs w:val="20"/>
        </w:rPr>
        <w:tab/>
      </w:r>
      <w:r w:rsidRPr="00D140D2">
        <w:rPr>
          <w:rFonts w:cs="Arial"/>
          <w:szCs w:val="20"/>
        </w:rPr>
        <w:t>The 2024/25 budget contains a proposed programme of savings totalling c£3</w:t>
      </w:r>
      <w:r w:rsidR="00D140D2" w:rsidRPr="00D140D2">
        <w:rPr>
          <w:rFonts w:cs="Arial"/>
          <w:szCs w:val="20"/>
        </w:rPr>
        <w:t>7</w:t>
      </w:r>
      <w:r w:rsidRPr="00D140D2">
        <w:rPr>
          <w:rFonts w:cs="Arial"/>
          <w:szCs w:val="20"/>
        </w:rPr>
        <w:t>m. These</w:t>
      </w:r>
      <w:r>
        <w:rPr>
          <w:rFonts w:cs="Arial"/>
          <w:szCs w:val="20"/>
        </w:rPr>
        <w:t xml:space="preserve"> savings are a combination of savings included as part of previous years budgets that had savings to be delivered over </w:t>
      </w:r>
      <w:proofErr w:type="gramStart"/>
      <w:r>
        <w:rPr>
          <w:rFonts w:cs="Arial"/>
          <w:szCs w:val="20"/>
        </w:rPr>
        <w:t>a number of</w:t>
      </w:r>
      <w:proofErr w:type="gramEnd"/>
      <w:r>
        <w:rPr>
          <w:rFonts w:cs="Arial"/>
          <w:szCs w:val="20"/>
        </w:rPr>
        <w:t xml:space="preserve"> years, and those savings agreed as part of medium-term financial strategy reports presented to Cabinet in both November 2023 and January 2024. </w:t>
      </w:r>
    </w:p>
    <w:p w14:paraId="4FBA9043" w14:textId="77777777" w:rsidR="00490226" w:rsidRDefault="00490226" w:rsidP="00643ABA">
      <w:pPr>
        <w:ind w:left="720" w:hanging="720"/>
        <w:jc w:val="both"/>
        <w:rPr>
          <w:rFonts w:cs="Arial"/>
          <w:szCs w:val="20"/>
        </w:rPr>
      </w:pPr>
    </w:p>
    <w:p w14:paraId="20CD9A71" w14:textId="40E07B56" w:rsidR="00490226" w:rsidRPr="00D140D2" w:rsidRDefault="004A7A82" w:rsidP="00643ABA">
      <w:pPr>
        <w:ind w:left="720" w:hanging="720"/>
        <w:jc w:val="both"/>
        <w:rPr>
          <w:rFonts w:cs="Arial"/>
          <w:b/>
          <w:bCs/>
          <w:i/>
          <w:iCs/>
          <w:szCs w:val="20"/>
          <w:u w:val="single"/>
        </w:rPr>
      </w:pPr>
      <w:r>
        <w:rPr>
          <w:rFonts w:cs="Arial"/>
          <w:szCs w:val="20"/>
        </w:rPr>
        <w:tab/>
      </w:r>
      <w:r w:rsidRPr="00D140D2">
        <w:rPr>
          <w:rFonts w:cs="Arial"/>
          <w:b/>
          <w:bCs/>
          <w:i/>
          <w:iCs/>
          <w:szCs w:val="20"/>
          <w:u w:val="single"/>
        </w:rPr>
        <w:t xml:space="preserve">Table </w:t>
      </w:r>
      <w:r w:rsidR="006A7473" w:rsidRPr="00D140D2">
        <w:rPr>
          <w:rFonts w:cs="Arial"/>
          <w:b/>
          <w:bCs/>
          <w:i/>
          <w:iCs/>
          <w:szCs w:val="20"/>
          <w:u w:val="single"/>
        </w:rPr>
        <w:t>6</w:t>
      </w:r>
    </w:p>
    <w:p w14:paraId="349B58BA" w14:textId="77777777" w:rsidR="00033E9F" w:rsidRPr="00DC10E5" w:rsidRDefault="00033E9F" w:rsidP="00643ABA">
      <w:pPr>
        <w:ind w:left="720" w:hanging="720"/>
        <w:jc w:val="both"/>
        <w:rPr>
          <w:rFonts w:cs="Arial"/>
          <w:szCs w:val="20"/>
          <w:highlight w:val="yellow"/>
        </w:rPr>
      </w:pPr>
    </w:p>
    <w:tbl>
      <w:tblPr>
        <w:tblW w:w="8425" w:type="dxa"/>
        <w:tblInd w:w="704" w:type="dxa"/>
        <w:tblLook w:val="04A0" w:firstRow="1" w:lastRow="0" w:firstColumn="1" w:lastColumn="0" w:noHBand="0" w:noVBand="1"/>
      </w:tblPr>
      <w:tblGrid>
        <w:gridCol w:w="3057"/>
        <w:gridCol w:w="1342"/>
        <w:gridCol w:w="1342"/>
        <w:gridCol w:w="1342"/>
        <w:gridCol w:w="1342"/>
      </w:tblGrid>
      <w:tr w:rsidR="00C92CD8" w14:paraId="5818F7F4" w14:textId="0B664FDE" w:rsidTr="00754341">
        <w:trPr>
          <w:trHeight w:val="760"/>
        </w:trPr>
        <w:tc>
          <w:tcPr>
            <w:tcW w:w="305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D97873" w14:textId="77777777" w:rsidR="00754341" w:rsidRPr="00D140D2" w:rsidRDefault="004A7A82">
            <w:pPr>
              <w:jc w:val="center"/>
              <w:rPr>
                <w:rFonts w:eastAsia="Times New Roman" w:cs="Arial"/>
                <w:b/>
                <w:bCs/>
                <w:color w:val="000000"/>
              </w:rPr>
            </w:pPr>
            <w:r w:rsidRPr="00D140D2">
              <w:rPr>
                <w:rFonts w:eastAsia="Times New Roman" w:cs="Arial"/>
                <w:b/>
                <w:bCs/>
                <w:color w:val="000000"/>
              </w:rPr>
              <w:t> </w:t>
            </w:r>
          </w:p>
        </w:tc>
        <w:tc>
          <w:tcPr>
            <w:tcW w:w="1342" w:type="dxa"/>
            <w:tcBorders>
              <w:top w:val="single" w:sz="4" w:space="0" w:color="auto"/>
              <w:left w:val="nil"/>
              <w:bottom w:val="single" w:sz="4" w:space="0" w:color="auto"/>
              <w:right w:val="single" w:sz="4" w:space="0" w:color="auto"/>
            </w:tcBorders>
            <w:shd w:val="clear" w:color="000000" w:fill="D9D9D9"/>
            <w:vAlign w:val="center"/>
          </w:tcPr>
          <w:p w14:paraId="27801019" w14:textId="19E28F16" w:rsidR="00754341" w:rsidRPr="00D140D2" w:rsidRDefault="004A7A82" w:rsidP="00033E9F">
            <w:pPr>
              <w:jc w:val="center"/>
              <w:rPr>
                <w:rFonts w:eastAsia="Times New Roman" w:cs="Arial"/>
                <w:b/>
                <w:bCs/>
                <w:color w:val="000000"/>
              </w:rPr>
            </w:pPr>
            <w:r w:rsidRPr="00D140D2">
              <w:rPr>
                <w:rFonts w:eastAsia="Times New Roman" w:cs="Arial"/>
                <w:b/>
                <w:bCs/>
                <w:color w:val="000000"/>
              </w:rPr>
              <w:t>2024/25</w:t>
            </w:r>
            <w:r w:rsidRPr="00D140D2">
              <w:rPr>
                <w:rFonts w:eastAsia="Times New Roman" w:cs="Arial"/>
                <w:b/>
                <w:bCs/>
                <w:color w:val="000000"/>
              </w:rPr>
              <w:br/>
              <w:t>£m</w:t>
            </w:r>
          </w:p>
        </w:tc>
        <w:tc>
          <w:tcPr>
            <w:tcW w:w="1342" w:type="dxa"/>
            <w:tcBorders>
              <w:top w:val="single" w:sz="4" w:space="0" w:color="auto"/>
              <w:left w:val="single" w:sz="4" w:space="0" w:color="auto"/>
              <w:bottom w:val="single" w:sz="4" w:space="0" w:color="auto"/>
              <w:right w:val="single" w:sz="4" w:space="0" w:color="auto"/>
            </w:tcBorders>
            <w:shd w:val="clear" w:color="000000" w:fill="D9D9D9"/>
            <w:vAlign w:val="center"/>
          </w:tcPr>
          <w:p w14:paraId="58D1BCE5" w14:textId="77777777" w:rsidR="00754341" w:rsidRPr="00D140D2" w:rsidRDefault="004A7A82" w:rsidP="00033E9F">
            <w:pPr>
              <w:jc w:val="center"/>
              <w:rPr>
                <w:rFonts w:eastAsia="Times New Roman" w:cs="Arial"/>
                <w:b/>
                <w:bCs/>
                <w:color w:val="000000"/>
              </w:rPr>
            </w:pPr>
            <w:r w:rsidRPr="00D140D2">
              <w:rPr>
                <w:rFonts w:eastAsia="Times New Roman" w:cs="Arial"/>
                <w:b/>
                <w:bCs/>
                <w:color w:val="000000"/>
              </w:rPr>
              <w:t>2025/26</w:t>
            </w:r>
          </w:p>
          <w:p w14:paraId="0736630B" w14:textId="550B1411" w:rsidR="00754341" w:rsidRPr="00D140D2" w:rsidRDefault="004A7A82" w:rsidP="00033E9F">
            <w:pPr>
              <w:jc w:val="center"/>
              <w:rPr>
                <w:rFonts w:eastAsia="Times New Roman" w:cs="Arial"/>
                <w:b/>
                <w:bCs/>
                <w:color w:val="000000"/>
              </w:rPr>
            </w:pPr>
            <w:r w:rsidRPr="00D140D2">
              <w:rPr>
                <w:rFonts w:eastAsia="Times New Roman" w:cs="Arial"/>
                <w:b/>
                <w:bCs/>
                <w:color w:val="000000"/>
              </w:rPr>
              <w:t>£m</w:t>
            </w:r>
          </w:p>
        </w:tc>
        <w:tc>
          <w:tcPr>
            <w:tcW w:w="134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AEED974" w14:textId="47EE935B" w:rsidR="00754341" w:rsidRPr="00D140D2" w:rsidRDefault="004A7A82">
            <w:pPr>
              <w:jc w:val="center"/>
              <w:rPr>
                <w:rFonts w:eastAsia="Times New Roman" w:cs="Arial"/>
                <w:b/>
                <w:bCs/>
                <w:color w:val="000000"/>
              </w:rPr>
            </w:pPr>
            <w:r w:rsidRPr="00D140D2">
              <w:rPr>
                <w:rFonts w:eastAsia="Times New Roman" w:cs="Arial"/>
                <w:b/>
                <w:bCs/>
                <w:color w:val="000000"/>
              </w:rPr>
              <w:t>2026/27</w:t>
            </w:r>
            <w:r w:rsidRPr="00D140D2">
              <w:rPr>
                <w:rFonts w:eastAsia="Times New Roman" w:cs="Arial"/>
                <w:b/>
                <w:bCs/>
                <w:color w:val="000000"/>
              </w:rPr>
              <w:br/>
              <w:t>£m</w:t>
            </w:r>
          </w:p>
        </w:tc>
        <w:tc>
          <w:tcPr>
            <w:tcW w:w="1342" w:type="dxa"/>
            <w:tcBorders>
              <w:top w:val="single" w:sz="4" w:space="0" w:color="auto"/>
              <w:left w:val="single" w:sz="4" w:space="0" w:color="auto"/>
              <w:bottom w:val="single" w:sz="4" w:space="0" w:color="auto"/>
              <w:right w:val="single" w:sz="4" w:space="0" w:color="auto"/>
            </w:tcBorders>
            <w:shd w:val="clear" w:color="000000" w:fill="D9D9D9"/>
            <w:vAlign w:val="center"/>
          </w:tcPr>
          <w:p w14:paraId="69751F5A" w14:textId="493AA023" w:rsidR="00754341" w:rsidRPr="00D140D2" w:rsidRDefault="004A7A82" w:rsidP="00754341">
            <w:pPr>
              <w:jc w:val="center"/>
              <w:rPr>
                <w:rFonts w:eastAsia="Times New Roman" w:cs="Arial"/>
                <w:b/>
                <w:bCs/>
                <w:color w:val="000000"/>
              </w:rPr>
            </w:pPr>
            <w:r w:rsidRPr="00D140D2">
              <w:rPr>
                <w:rFonts w:eastAsia="Times New Roman" w:cs="Arial"/>
                <w:b/>
                <w:bCs/>
                <w:color w:val="000000"/>
              </w:rPr>
              <w:t>Total</w:t>
            </w:r>
          </w:p>
          <w:p w14:paraId="6F12AA86" w14:textId="4499540F" w:rsidR="00754341" w:rsidRPr="00D140D2" w:rsidRDefault="004A7A82" w:rsidP="00754341">
            <w:pPr>
              <w:jc w:val="center"/>
              <w:rPr>
                <w:rFonts w:eastAsia="Times New Roman" w:cs="Arial"/>
                <w:b/>
                <w:bCs/>
                <w:color w:val="000000"/>
              </w:rPr>
            </w:pPr>
            <w:r w:rsidRPr="00D140D2">
              <w:rPr>
                <w:rFonts w:eastAsia="Times New Roman" w:cs="Arial"/>
                <w:b/>
                <w:bCs/>
                <w:color w:val="000000"/>
              </w:rPr>
              <w:t>£m</w:t>
            </w:r>
          </w:p>
        </w:tc>
      </w:tr>
      <w:tr w:rsidR="00C92CD8" w14:paraId="193F04C8" w14:textId="083ED159" w:rsidTr="00772982">
        <w:trPr>
          <w:trHeight w:val="595"/>
        </w:trPr>
        <w:tc>
          <w:tcPr>
            <w:tcW w:w="3057" w:type="dxa"/>
            <w:tcBorders>
              <w:top w:val="nil"/>
              <w:left w:val="single" w:sz="4" w:space="0" w:color="auto"/>
              <w:bottom w:val="single" w:sz="4" w:space="0" w:color="auto"/>
              <w:right w:val="single" w:sz="4" w:space="0" w:color="auto"/>
            </w:tcBorders>
            <w:shd w:val="clear" w:color="auto" w:fill="auto"/>
            <w:noWrap/>
            <w:vAlign w:val="center"/>
            <w:hideMark/>
          </w:tcPr>
          <w:p w14:paraId="50ED2A0D" w14:textId="54C389B8" w:rsidR="00754341" w:rsidRPr="00D140D2" w:rsidRDefault="004A7A82">
            <w:pPr>
              <w:rPr>
                <w:rFonts w:eastAsia="Times New Roman" w:cs="Arial"/>
                <w:color w:val="000000"/>
              </w:rPr>
            </w:pPr>
            <w:r w:rsidRPr="00D140D2">
              <w:rPr>
                <w:rFonts w:eastAsia="Times New Roman" w:cs="Arial"/>
                <w:color w:val="000000"/>
              </w:rPr>
              <w:t>Previously Agreed Savings</w:t>
            </w:r>
          </w:p>
        </w:tc>
        <w:tc>
          <w:tcPr>
            <w:tcW w:w="1342" w:type="dxa"/>
            <w:tcBorders>
              <w:top w:val="single" w:sz="4" w:space="0" w:color="auto"/>
              <w:left w:val="single" w:sz="4" w:space="0" w:color="auto"/>
              <w:bottom w:val="single" w:sz="4" w:space="0" w:color="auto"/>
              <w:right w:val="single" w:sz="4" w:space="0" w:color="auto"/>
            </w:tcBorders>
            <w:vAlign w:val="center"/>
          </w:tcPr>
          <w:p w14:paraId="6FC214B4" w14:textId="35F63232" w:rsidR="00754341" w:rsidRPr="00D140D2" w:rsidRDefault="004A7A82" w:rsidP="00772982">
            <w:pPr>
              <w:jc w:val="right"/>
              <w:rPr>
                <w:rFonts w:eastAsia="Calibri" w:cs="Arial"/>
                <w:color w:val="000000"/>
                <w:lang w:eastAsia="en-US"/>
              </w:rPr>
            </w:pPr>
            <w:r w:rsidRPr="00D140D2">
              <w:rPr>
                <w:rFonts w:eastAsia="Calibri" w:cs="Arial"/>
                <w:color w:val="000000"/>
                <w:lang w:eastAsia="en-US"/>
              </w:rPr>
              <w:t>-20.754</w:t>
            </w:r>
          </w:p>
        </w:tc>
        <w:tc>
          <w:tcPr>
            <w:tcW w:w="1342" w:type="dxa"/>
            <w:tcBorders>
              <w:top w:val="single" w:sz="4" w:space="0" w:color="auto"/>
              <w:left w:val="single" w:sz="4" w:space="0" w:color="auto"/>
              <w:bottom w:val="single" w:sz="4" w:space="0" w:color="auto"/>
              <w:right w:val="single" w:sz="4" w:space="0" w:color="auto"/>
            </w:tcBorders>
            <w:vAlign w:val="center"/>
          </w:tcPr>
          <w:p w14:paraId="57A259F6" w14:textId="3EF16DD7" w:rsidR="00754341" w:rsidRPr="00D140D2" w:rsidRDefault="004A7A82" w:rsidP="00772982">
            <w:pPr>
              <w:jc w:val="right"/>
              <w:rPr>
                <w:rFonts w:eastAsia="Calibri" w:cs="Arial"/>
                <w:color w:val="000000"/>
                <w:lang w:eastAsia="en-US"/>
              </w:rPr>
            </w:pPr>
            <w:r w:rsidRPr="00D140D2">
              <w:rPr>
                <w:rFonts w:eastAsia="Calibri" w:cs="Arial"/>
                <w:color w:val="000000"/>
                <w:lang w:eastAsia="en-US"/>
              </w:rPr>
              <w:t>-29.21</w:t>
            </w:r>
            <w:r w:rsidR="002F7FC6" w:rsidRPr="00D140D2">
              <w:rPr>
                <w:rFonts w:eastAsia="Calibri" w:cs="Arial"/>
                <w:color w:val="000000"/>
                <w:lang w:eastAsia="en-US"/>
              </w:rPr>
              <w:t>3</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30978" w14:textId="2C8461ED" w:rsidR="00754341" w:rsidRPr="00D140D2" w:rsidRDefault="004A7A82" w:rsidP="00772982">
            <w:pPr>
              <w:jc w:val="right"/>
              <w:rPr>
                <w:rFonts w:eastAsia="Times New Roman" w:cs="Arial"/>
                <w:color w:val="000000"/>
              </w:rPr>
            </w:pPr>
            <w:r w:rsidRPr="00D140D2">
              <w:rPr>
                <w:rFonts w:eastAsia="Times New Roman" w:cs="Arial"/>
                <w:color w:val="000000"/>
              </w:rPr>
              <w:t>-10.822</w:t>
            </w:r>
          </w:p>
        </w:tc>
        <w:tc>
          <w:tcPr>
            <w:tcW w:w="1342" w:type="dxa"/>
            <w:tcBorders>
              <w:top w:val="single" w:sz="4" w:space="0" w:color="auto"/>
              <w:left w:val="single" w:sz="4" w:space="0" w:color="auto"/>
              <w:bottom w:val="single" w:sz="4" w:space="0" w:color="auto"/>
              <w:right w:val="single" w:sz="4" w:space="0" w:color="auto"/>
            </w:tcBorders>
            <w:vAlign w:val="center"/>
          </w:tcPr>
          <w:p w14:paraId="6CF1FCA6" w14:textId="65E68EDF" w:rsidR="00754341" w:rsidRPr="00D140D2" w:rsidRDefault="004A7A82" w:rsidP="00772982">
            <w:pPr>
              <w:jc w:val="right"/>
              <w:rPr>
                <w:rFonts w:eastAsia="Times New Roman" w:cs="Arial"/>
                <w:color w:val="000000"/>
              </w:rPr>
            </w:pPr>
            <w:r w:rsidRPr="00D140D2">
              <w:rPr>
                <w:rFonts w:eastAsia="Times New Roman" w:cs="Arial"/>
                <w:color w:val="000000"/>
              </w:rPr>
              <w:t>-60.7</w:t>
            </w:r>
            <w:r w:rsidR="00835BB4" w:rsidRPr="00D140D2">
              <w:rPr>
                <w:rFonts w:eastAsia="Times New Roman" w:cs="Arial"/>
                <w:color w:val="000000"/>
              </w:rPr>
              <w:t>89</w:t>
            </w:r>
          </w:p>
        </w:tc>
      </w:tr>
      <w:tr w:rsidR="00C92CD8" w14:paraId="6565ED2B" w14:textId="21963576" w:rsidTr="00772982">
        <w:trPr>
          <w:trHeight w:val="595"/>
        </w:trPr>
        <w:tc>
          <w:tcPr>
            <w:tcW w:w="3057" w:type="dxa"/>
            <w:tcBorders>
              <w:top w:val="nil"/>
              <w:left w:val="single" w:sz="4" w:space="0" w:color="auto"/>
              <w:bottom w:val="single" w:sz="4" w:space="0" w:color="auto"/>
              <w:right w:val="single" w:sz="4" w:space="0" w:color="auto"/>
            </w:tcBorders>
            <w:shd w:val="clear" w:color="auto" w:fill="auto"/>
            <w:noWrap/>
            <w:vAlign w:val="center"/>
            <w:hideMark/>
          </w:tcPr>
          <w:p w14:paraId="21A72B60" w14:textId="5D0B184E" w:rsidR="00754341" w:rsidRPr="00D140D2" w:rsidRDefault="004A7A82">
            <w:pPr>
              <w:rPr>
                <w:rFonts w:eastAsia="Times New Roman" w:cs="Arial"/>
                <w:color w:val="000000"/>
              </w:rPr>
            </w:pPr>
            <w:r w:rsidRPr="00D140D2">
              <w:rPr>
                <w:rFonts w:eastAsia="Times New Roman" w:cs="Arial"/>
                <w:color w:val="000000"/>
              </w:rPr>
              <w:t>Management Action Savings</w:t>
            </w:r>
          </w:p>
        </w:tc>
        <w:tc>
          <w:tcPr>
            <w:tcW w:w="1342" w:type="dxa"/>
            <w:tcBorders>
              <w:top w:val="single" w:sz="4" w:space="0" w:color="auto"/>
              <w:left w:val="single" w:sz="4" w:space="0" w:color="auto"/>
              <w:bottom w:val="single" w:sz="4" w:space="0" w:color="auto"/>
              <w:right w:val="single" w:sz="4" w:space="0" w:color="auto"/>
            </w:tcBorders>
            <w:vAlign w:val="center"/>
          </w:tcPr>
          <w:p w14:paraId="5D407430" w14:textId="7483EF4F" w:rsidR="00754341" w:rsidRPr="00D140D2" w:rsidRDefault="004A7A82" w:rsidP="00772982">
            <w:pPr>
              <w:jc w:val="right"/>
              <w:rPr>
                <w:rFonts w:eastAsia="Calibri" w:cs="Arial"/>
                <w:color w:val="000000"/>
                <w:lang w:eastAsia="en-US"/>
              </w:rPr>
            </w:pPr>
            <w:r w:rsidRPr="00D140D2">
              <w:rPr>
                <w:rFonts w:eastAsia="Calibri" w:cs="Arial"/>
                <w:color w:val="000000"/>
                <w:lang w:eastAsia="en-US"/>
              </w:rPr>
              <w:t>-12.292</w:t>
            </w:r>
          </w:p>
        </w:tc>
        <w:tc>
          <w:tcPr>
            <w:tcW w:w="1342" w:type="dxa"/>
            <w:tcBorders>
              <w:top w:val="single" w:sz="4" w:space="0" w:color="auto"/>
              <w:left w:val="single" w:sz="4" w:space="0" w:color="auto"/>
              <w:bottom w:val="single" w:sz="4" w:space="0" w:color="auto"/>
              <w:right w:val="single" w:sz="4" w:space="0" w:color="auto"/>
            </w:tcBorders>
            <w:vAlign w:val="center"/>
          </w:tcPr>
          <w:p w14:paraId="54AC8A04" w14:textId="0E89C50B" w:rsidR="00754341" w:rsidRPr="00D140D2" w:rsidRDefault="004A7A82" w:rsidP="00772982">
            <w:pPr>
              <w:jc w:val="right"/>
              <w:rPr>
                <w:rFonts w:eastAsia="Calibri" w:cs="Arial"/>
                <w:color w:val="000000"/>
                <w:lang w:eastAsia="en-US"/>
              </w:rPr>
            </w:pPr>
            <w:r w:rsidRPr="00D140D2">
              <w:rPr>
                <w:rFonts w:eastAsia="Calibri" w:cs="Arial"/>
                <w:color w:val="000000"/>
                <w:lang w:eastAsia="en-US"/>
              </w:rPr>
              <w:t>-6.626</w:t>
            </w:r>
          </w:p>
        </w:tc>
        <w:tc>
          <w:tcPr>
            <w:tcW w:w="1342" w:type="dxa"/>
            <w:tcBorders>
              <w:top w:val="nil"/>
              <w:left w:val="single" w:sz="4" w:space="0" w:color="auto"/>
              <w:bottom w:val="single" w:sz="4" w:space="0" w:color="auto"/>
              <w:right w:val="single" w:sz="4" w:space="0" w:color="auto"/>
            </w:tcBorders>
            <w:shd w:val="clear" w:color="auto" w:fill="auto"/>
            <w:noWrap/>
            <w:vAlign w:val="center"/>
          </w:tcPr>
          <w:p w14:paraId="2537B6A0" w14:textId="1D0716FE" w:rsidR="00754341" w:rsidRPr="00D140D2" w:rsidRDefault="004A7A82" w:rsidP="00772982">
            <w:pPr>
              <w:jc w:val="right"/>
              <w:rPr>
                <w:rFonts w:eastAsia="Times New Roman" w:cs="Arial"/>
                <w:color w:val="000000"/>
              </w:rPr>
            </w:pPr>
            <w:r w:rsidRPr="00D140D2">
              <w:rPr>
                <w:rFonts w:eastAsia="Times New Roman" w:cs="Arial"/>
                <w:color w:val="000000"/>
              </w:rPr>
              <w:t>-4.350</w:t>
            </w:r>
          </w:p>
        </w:tc>
        <w:tc>
          <w:tcPr>
            <w:tcW w:w="1342" w:type="dxa"/>
            <w:tcBorders>
              <w:top w:val="nil"/>
              <w:left w:val="single" w:sz="4" w:space="0" w:color="auto"/>
              <w:bottom w:val="single" w:sz="4" w:space="0" w:color="auto"/>
              <w:right w:val="single" w:sz="4" w:space="0" w:color="auto"/>
            </w:tcBorders>
            <w:vAlign w:val="center"/>
          </w:tcPr>
          <w:p w14:paraId="1A8DB57A" w14:textId="5B526C5B" w:rsidR="00754341" w:rsidRPr="00D140D2" w:rsidRDefault="004A7A82" w:rsidP="00772982">
            <w:pPr>
              <w:jc w:val="right"/>
              <w:rPr>
                <w:rFonts w:eastAsia="Times New Roman" w:cs="Arial"/>
                <w:color w:val="000000"/>
              </w:rPr>
            </w:pPr>
            <w:r w:rsidRPr="00D140D2">
              <w:rPr>
                <w:rFonts w:eastAsia="Times New Roman" w:cs="Arial"/>
                <w:color w:val="000000"/>
              </w:rPr>
              <w:t>-23.268</w:t>
            </w:r>
          </w:p>
        </w:tc>
      </w:tr>
      <w:tr w:rsidR="00C92CD8" w14:paraId="25B4E073" w14:textId="6239FD63" w:rsidTr="00772982">
        <w:trPr>
          <w:trHeight w:val="595"/>
        </w:trPr>
        <w:tc>
          <w:tcPr>
            <w:tcW w:w="3057" w:type="dxa"/>
            <w:tcBorders>
              <w:top w:val="nil"/>
              <w:left w:val="single" w:sz="4" w:space="0" w:color="auto"/>
              <w:bottom w:val="single" w:sz="4" w:space="0" w:color="auto"/>
              <w:right w:val="single" w:sz="4" w:space="0" w:color="auto"/>
            </w:tcBorders>
            <w:shd w:val="clear" w:color="auto" w:fill="auto"/>
            <w:noWrap/>
            <w:vAlign w:val="center"/>
            <w:hideMark/>
          </w:tcPr>
          <w:p w14:paraId="12486AAF" w14:textId="3132E568" w:rsidR="00754341" w:rsidRPr="00070C66" w:rsidRDefault="004A7A82">
            <w:pPr>
              <w:rPr>
                <w:rFonts w:eastAsia="Times New Roman" w:cs="Arial"/>
                <w:color w:val="000000"/>
              </w:rPr>
            </w:pPr>
            <w:r w:rsidRPr="00070C66">
              <w:rPr>
                <w:rFonts w:eastAsia="Times New Roman" w:cs="Arial"/>
                <w:color w:val="000000"/>
              </w:rPr>
              <w:t>Policy Savings</w:t>
            </w:r>
          </w:p>
        </w:tc>
        <w:tc>
          <w:tcPr>
            <w:tcW w:w="1342" w:type="dxa"/>
            <w:tcBorders>
              <w:top w:val="single" w:sz="4" w:space="0" w:color="auto"/>
              <w:left w:val="single" w:sz="4" w:space="0" w:color="auto"/>
              <w:bottom w:val="single" w:sz="4" w:space="0" w:color="auto"/>
              <w:right w:val="single" w:sz="4" w:space="0" w:color="auto"/>
            </w:tcBorders>
            <w:vAlign w:val="center"/>
          </w:tcPr>
          <w:p w14:paraId="6AF5A33B" w14:textId="1DF76439" w:rsidR="00754341" w:rsidRPr="00070C66" w:rsidRDefault="004A7A82" w:rsidP="00772982">
            <w:pPr>
              <w:jc w:val="right"/>
              <w:rPr>
                <w:rFonts w:eastAsia="Calibri" w:cs="Arial"/>
                <w:color w:val="000000"/>
                <w:lang w:eastAsia="en-US"/>
              </w:rPr>
            </w:pPr>
            <w:r>
              <w:rPr>
                <w:rFonts w:eastAsia="Calibri" w:cs="Arial"/>
                <w:color w:val="000000"/>
                <w:lang w:eastAsia="en-US"/>
              </w:rPr>
              <w:t>-3.655</w:t>
            </w:r>
          </w:p>
        </w:tc>
        <w:tc>
          <w:tcPr>
            <w:tcW w:w="1342" w:type="dxa"/>
            <w:tcBorders>
              <w:top w:val="single" w:sz="4" w:space="0" w:color="auto"/>
              <w:left w:val="single" w:sz="4" w:space="0" w:color="auto"/>
              <w:bottom w:val="single" w:sz="4" w:space="0" w:color="auto"/>
              <w:right w:val="single" w:sz="4" w:space="0" w:color="auto"/>
            </w:tcBorders>
            <w:vAlign w:val="center"/>
          </w:tcPr>
          <w:p w14:paraId="0AE5C1F0" w14:textId="5A094D38" w:rsidR="00754341" w:rsidRPr="00070C66" w:rsidRDefault="004A7A82" w:rsidP="00772982">
            <w:pPr>
              <w:jc w:val="right"/>
              <w:rPr>
                <w:rFonts w:eastAsia="Calibri" w:cs="Arial"/>
                <w:color w:val="000000"/>
                <w:lang w:eastAsia="en-US"/>
              </w:rPr>
            </w:pPr>
            <w:r>
              <w:rPr>
                <w:rFonts w:eastAsia="Calibri" w:cs="Arial"/>
                <w:color w:val="000000"/>
                <w:lang w:eastAsia="en-US"/>
              </w:rPr>
              <w:t>-0.948</w:t>
            </w:r>
          </w:p>
        </w:tc>
        <w:tc>
          <w:tcPr>
            <w:tcW w:w="1342" w:type="dxa"/>
            <w:tcBorders>
              <w:top w:val="nil"/>
              <w:left w:val="single" w:sz="4" w:space="0" w:color="auto"/>
              <w:bottom w:val="single" w:sz="4" w:space="0" w:color="auto"/>
              <w:right w:val="single" w:sz="4" w:space="0" w:color="auto"/>
            </w:tcBorders>
            <w:shd w:val="clear" w:color="auto" w:fill="auto"/>
            <w:noWrap/>
            <w:vAlign w:val="center"/>
          </w:tcPr>
          <w:p w14:paraId="7F3169CD" w14:textId="51897291" w:rsidR="00754341" w:rsidRPr="00070C66" w:rsidRDefault="004A7A82" w:rsidP="00772982">
            <w:pPr>
              <w:jc w:val="right"/>
              <w:rPr>
                <w:rFonts w:eastAsia="Times New Roman" w:cs="Arial"/>
                <w:color w:val="000000"/>
              </w:rPr>
            </w:pPr>
            <w:r>
              <w:rPr>
                <w:rFonts w:eastAsia="Times New Roman" w:cs="Arial"/>
                <w:color w:val="000000"/>
              </w:rPr>
              <w:t>-9.184</w:t>
            </w:r>
          </w:p>
        </w:tc>
        <w:tc>
          <w:tcPr>
            <w:tcW w:w="1342" w:type="dxa"/>
            <w:tcBorders>
              <w:top w:val="nil"/>
              <w:left w:val="single" w:sz="4" w:space="0" w:color="auto"/>
              <w:bottom w:val="single" w:sz="4" w:space="0" w:color="auto"/>
              <w:right w:val="single" w:sz="4" w:space="0" w:color="auto"/>
            </w:tcBorders>
            <w:vAlign w:val="center"/>
          </w:tcPr>
          <w:p w14:paraId="65BAA8D6" w14:textId="0A6CAB4F" w:rsidR="00754341" w:rsidRPr="00070C66" w:rsidRDefault="004A7A82" w:rsidP="00772982">
            <w:pPr>
              <w:jc w:val="right"/>
              <w:rPr>
                <w:rFonts w:eastAsia="Times New Roman" w:cs="Arial"/>
                <w:color w:val="000000"/>
              </w:rPr>
            </w:pPr>
            <w:r>
              <w:rPr>
                <w:rFonts w:eastAsia="Times New Roman" w:cs="Arial"/>
                <w:color w:val="000000"/>
              </w:rPr>
              <w:t>-</w:t>
            </w:r>
            <w:r w:rsidR="002406C2">
              <w:rPr>
                <w:rFonts w:eastAsia="Times New Roman" w:cs="Arial"/>
                <w:color w:val="000000"/>
              </w:rPr>
              <w:t>13.787</w:t>
            </w:r>
          </w:p>
        </w:tc>
      </w:tr>
      <w:tr w:rsidR="00C92CD8" w14:paraId="7700D7BC" w14:textId="75C83303" w:rsidTr="00772982">
        <w:trPr>
          <w:trHeight w:val="379"/>
        </w:trPr>
        <w:tc>
          <w:tcPr>
            <w:tcW w:w="3057" w:type="dxa"/>
            <w:tcBorders>
              <w:top w:val="nil"/>
              <w:left w:val="single" w:sz="4" w:space="0" w:color="auto"/>
              <w:bottom w:val="single" w:sz="4" w:space="0" w:color="auto"/>
              <w:right w:val="single" w:sz="4" w:space="0" w:color="auto"/>
            </w:tcBorders>
            <w:shd w:val="clear" w:color="000000" w:fill="D9D9D9"/>
            <w:noWrap/>
            <w:vAlign w:val="center"/>
            <w:hideMark/>
          </w:tcPr>
          <w:p w14:paraId="26F2BDC1" w14:textId="77777777" w:rsidR="00754341" w:rsidRPr="002406C2" w:rsidRDefault="004A7A82">
            <w:pPr>
              <w:rPr>
                <w:rFonts w:eastAsia="Times New Roman" w:cs="Arial"/>
                <w:b/>
                <w:bCs/>
                <w:color w:val="000000"/>
              </w:rPr>
            </w:pPr>
            <w:r w:rsidRPr="002406C2">
              <w:rPr>
                <w:rFonts w:eastAsia="Times New Roman" w:cs="Arial"/>
                <w:b/>
                <w:bCs/>
                <w:color w:val="000000"/>
              </w:rPr>
              <w:t>Total</w:t>
            </w:r>
          </w:p>
        </w:tc>
        <w:tc>
          <w:tcPr>
            <w:tcW w:w="1342" w:type="dxa"/>
            <w:tcBorders>
              <w:top w:val="nil"/>
              <w:left w:val="single" w:sz="4" w:space="0" w:color="auto"/>
              <w:bottom w:val="single" w:sz="4" w:space="0" w:color="auto"/>
              <w:right w:val="single" w:sz="4" w:space="0" w:color="auto"/>
            </w:tcBorders>
            <w:shd w:val="clear" w:color="000000" w:fill="D9D9D9"/>
            <w:vAlign w:val="center"/>
          </w:tcPr>
          <w:p w14:paraId="62B30B99" w14:textId="5432F0DD" w:rsidR="00754341" w:rsidRPr="002406C2" w:rsidRDefault="004A7A82" w:rsidP="00772982">
            <w:pPr>
              <w:jc w:val="right"/>
              <w:rPr>
                <w:rFonts w:eastAsia="Calibri" w:cs="Arial"/>
                <w:b/>
                <w:bCs/>
                <w:color w:val="000000"/>
                <w:lang w:eastAsia="en-US"/>
              </w:rPr>
            </w:pPr>
            <w:r w:rsidRPr="002406C2">
              <w:rPr>
                <w:rFonts w:eastAsia="Calibri" w:cs="Arial"/>
                <w:b/>
                <w:bCs/>
                <w:color w:val="000000"/>
                <w:lang w:eastAsia="en-US"/>
              </w:rPr>
              <w:t>-3</w:t>
            </w:r>
            <w:r w:rsidR="002406C2">
              <w:rPr>
                <w:rFonts w:eastAsia="Calibri" w:cs="Arial"/>
                <w:b/>
                <w:bCs/>
                <w:color w:val="000000"/>
                <w:lang w:eastAsia="en-US"/>
              </w:rPr>
              <w:t>6.701</w:t>
            </w:r>
          </w:p>
        </w:tc>
        <w:tc>
          <w:tcPr>
            <w:tcW w:w="1342" w:type="dxa"/>
            <w:tcBorders>
              <w:top w:val="nil"/>
              <w:left w:val="single" w:sz="4" w:space="0" w:color="auto"/>
              <w:bottom w:val="single" w:sz="4" w:space="0" w:color="auto"/>
              <w:right w:val="single" w:sz="4" w:space="0" w:color="auto"/>
            </w:tcBorders>
            <w:shd w:val="clear" w:color="000000" w:fill="D9D9D9"/>
            <w:vAlign w:val="center"/>
          </w:tcPr>
          <w:p w14:paraId="1B797294" w14:textId="3A310EE8" w:rsidR="00754341" w:rsidRPr="002406C2" w:rsidRDefault="004A7A82" w:rsidP="00772982">
            <w:pPr>
              <w:jc w:val="right"/>
              <w:rPr>
                <w:rFonts w:eastAsia="Calibri" w:cs="Arial"/>
                <w:b/>
                <w:bCs/>
                <w:color w:val="000000"/>
                <w:lang w:eastAsia="en-US"/>
              </w:rPr>
            </w:pPr>
            <w:r>
              <w:rPr>
                <w:rFonts w:eastAsia="Calibri" w:cs="Arial"/>
                <w:b/>
                <w:bCs/>
                <w:color w:val="000000"/>
                <w:lang w:eastAsia="en-US"/>
              </w:rPr>
              <w:t>-36.787</w:t>
            </w:r>
          </w:p>
        </w:tc>
        <w:tc>
          <w:tcPr>
            <w:tcW w:w="1342" w:type="dxa"/>
            <w:tcBorders>
              <w:top w:val="nil"/>
              <w:left w:val="single" w:sz="4" w:space="0" w:color="auto"/>
              <w:bottom w:val="single" w:sz="4" w:space="0" w:color="auto"/>
              <w:right w:val="single" w:sz="4" w:space="0" w:color="auto"/>
            </w:tcBorders>
            <w:shd w:val="clear" w:color="000000" w:fill="D9D9D9"/>
            <w:noWrap/>
            <w:vAlign w:val="center"/>
          </w:tcPr>
          <w:p w14:paraId="49665CBF" w14:textId="0AB9B5E5" w:rsidR="00754341" w:rsidRPr="002406C2" w:rsidRDefault="004A7A82" w:rsidP="00772982">
            <w:pPr>
              <w:jc w:val="right"/>
              <w:rPr>
                <w:rFonts w:eastAsia="Times New Roman" w:cs="Arial"/>
                <w:b/>
                <w:bCs/>
                <w:color w:val="000000"/>
              </w:rPr>
            </w:pPr>
            <w:r w:rsidRPr="002406C2">
              <w:rPr>
                <w:rFonts w:eastAsia="Times New Roman" w:cs="Arial"/>
                <w:b/>
                <w:bCs/>
                <w:color w:val="000000"/>
              </w:rPr>
              <w:t>-2</w:t>
            </w:r>
            <w:r w:rsidR="00427B56">
              <w:rPr>
                <w:rFonts w:eastAsia="Times New Roman" w:cs="Arial"/>
                <w:b/>
                <w:bCs/>
                <w:color w:val="000000"/>
              </w:rPr>
              <w:t>4.356</w:t>
            </w:r>
          </w:p>
        </w:tc>
        <w:tc>
          <w:tcPr>
            <w:tcW w:w="1342" w:type="dxa"/>
            <w:tcBorders>
              <w:top w:val="nil"/>
              <w:left w:val="single" w:sz="4" w:space="0" w:color="auto"/>
              <w:bottom w:val="single" w:sz="4" w:space="0" w:color="auto"/>
              <w:right w:val="single" w:sz="4" w:space="0" w:color="auto"/>
            </w:tcBorders>
            <w:shd w:val="clear" w:color="000000" w:fill="D9D9D9"/>
            <w:vAlign w:val="center"/>
          </w:tcPr>
          <w:p w14:paraId="1C59F9D8" w14:textId="34C9C83F" w:rsidR="00754341" w:rsidRPr="002406C2" w:rsidRDefault="004A7A82" w:rsidP="00772982">
            <w:pPr>
              <w:jc w:val="right"/>
              <w:rPr>
                <w:rFonts w:eastAsia="Times New Roman" w:cs="Arial"/>
                <w:b/>
                <w:bCs/>
                <w:color w:val="000000"/>
              </w:rPr>
            </w:pPr>
            <w:r w:rsidRPr="002406C2">
              <w:rPr>
                <w:rFonts w:eastAsia="Times New Roman" w:cs="Arial"/>
                <w:b/>
                <w:bCs/>
                <w:color w:val="000000"/>
              </w:rPr>
              <w:t>-</w:t>
            </w:r>
            <w:r w:rsidR="00D34DA8">
              <w:rPr>
                <w:rFonts w:eastAsia="Times New Roman" w:cs="Arial"/>
                <w:b/>
                <w:bCs/>
                <w:color w:val="000000"/>
              </w:rPr>
              <w:t>97.844</w:t>
            </w:r>
          </w:p>
        </w:tc>
      </w:tr>
    </w:tbl>
    <w:p w14:paraId="62BC0102" w14:textId="6F3EC6AE" w:rsidR="00643ABA" w:rsidRDefault="00643ABA" w:rsidP="00772982">
      <w:pPr>
        <w:jc w:val="both"/>
        <w:rPr>
          <w:rFonts w:cs="Arial"/>
          <w:szCs w:val="20"/>
        </w:rPr>
      </w:pPr>
    </w:p>
    <w:p w14:paraId="617F9A31" w14:textId="4EA10957" w:rsidR="00643ABA" w:rsidRDefault="004A7A82" w:rsidP="00643ABA">
      <w:pPr>
        <w:ind w:left="720" w:hanging="720"/>
        <w:jc w:val="both"/>
        <w:rPr>
          <w:rFonts w:cs="Arial"/>
          <w:szCs w:val="20"/>
        </w:rPr>
      </w:pPr>
      <w:r>
        <w:rPr>
          <w:rFonts w:cs="Arial"/>
          <w:szCs w:val="20"/>
        </w:rPr>
        <w:t>7.</w:t>
      </w:r>
      <w:r w:rsidR="005C1FBE">
        <w:rPr>
          <w:rFonts w:cs="Arial"/>
          <w:szCs w:val="20"/>
        </w:rPr>
        <w:t>3</w:t>
      </w:r>
      <w:r>
        <w:rPr>
          <w:rFonts w:cs="Arial"/>
          <w:szCs w:val="20"/>
        </w:rPr>
        <w:tab/>
      </w:r>
      <w:r w:rsidRPr="00186E34">
        <w:rPr>
          <w:rFonts w:cs="Arial"/>
          <w:szCs w:val="20"/>
        </w:rPr>
        <w:t xml:space="preserve">In line with the </w:t>
      </w:r>
      <w:r w:rsidR="00B2369A">
        <w:rPr>
          <w:rFonts w:cs="Arial"/>
          <w:szCs w:val="20"/>
        </w:rPr>
        <w:t>C</w:t>
      </w:r>
      <w:r w:rsidRPr="00186E34">
        <w:rPr>
          <w:rFonts w:cs="Arial"/>
          <w:szCs w:val="20"/>
        </w:rPr>
        <w:t>ouncil</w:t>
      </w:r>
      <w:r w:rsidR="00054FE9">
        <w:rPr>
          <w:rFonts w:cs="Arial"/>
          <w:szCs w:val="20"/>
        </w:rPr>
        <w:t>'</w:t>
      </w:r>
      <w:r w:rsidRPr="00186E34">
        <w:rPr>
          <w:rFonts w:cs="Arial"/>
          <w:szCs w:val="20"/>
        </w:rPr>
        <w:t>s pro-active approach to financial management</w:t>
      </w:r>
      <w:r w:rsidR="008F1166">
        <w:rPr>
          <w:rFonts w:cs="Arial"/>
          <w:szCs w:val="20"/>
        </w:rPr>
        <w:t>,</w:t>
      </w:r>
      <w:r w:rsidRPr="00186E34">
        <w:rPr>
          <w:rFonts w:cs="Arial"/>
          <w:szCs w:val="20"/>
        </w:rPr>
        <w:t xml:space="preserve"> work was undertaken by Directorates to identify financial savings and efficienc</w:t>
      </w:r>
      <w:r w:rsidR="00C27DBC">
        <w:rPr>
          <w:rFonts w:cs="Arial"/>
          <w:szCs w:val="20"/>
        </w:rPr>
        <w:t>ies</w:t>
      </w:r>
      <w:r w:rsidRPr="00186E34">
        <w:rPr>
          <w:rFonts w:cs="Arial"/>
          <w:szCs w:val="20"/>
        </w:rPr>
        <w:t xml:space="preserve"> during the early part of this year in recognition of the remaining budget gap. This resulted in "management action" savings totalling c£23m being included in </w:t>
      </w:r>
      <w:r>
        <w:rPr>
          <w:rFonts w:cs="Arial"/>
          <w:szCs w:val="20"/>
        </w:rPr>
        <w:t>the</w:t>
      </w:r>
      <w:r w:rsidRPr="00186E34">
        <w:rPr>
          <w:rFonts w:cs="Arial"/>
          <w:szCs w:val="20"/>
        </w:rPr>
        <w:t xml:space="preserve"> medium-term financial strategy. These savings cover aspects of the budget such as removal of budgets for vacant posts no longer required, more efficient ways of working, recurring underspends (following a review of the 2022/23 outturn), improved demand management and increasing levels of income. </w:t>
      </w:r>
      <w:r>
        <w:rPr>
          <w:rFonts w:cs="Arial"/>
          <w:szCs w:val="20"/>
        </w:rPr>
        <w:t xml:space="preserve">The </w:t>
      </w:r>
      <w:r w:rsidR="006412B8">
        <w:rPr>
          <w:rFonts w:cs="Arial"/>
          <w:szCs w:val="20"/>
        </w:rPr>
        <w:t>management action</w:t>
      </w:r>
      <w:r>
        <w:rPr>
          <w:rFonts w:cs="Arial"/>
          <w:szCs w:val="20"/>
        </w:rPr>
        <w:t xml:space="preserve"> savings in 2024/25 total c£12m. </w:t>
      </w:r>
    </w:p>
    <w:p w14:paraId="774B3C4A" w14:textId="77777777" w:rsidR="00643ABA" w:rsidRDefault="00643ABA" w:rsidP="00CC4E03">
      <w:pPr>
        <w:jc w:val="both"/>
        <w:rPr>
          <w:rFonts w:cs="Arial"/>
          <w:szCs w:val="20"/>
        </w:rPr>
      </w:pPr>
    </w:p>
    <w:p w14:paraId="37896D5F" w14:textId="77777777" w:rsidR="00536212" w:rsidRDefault="00536212" w:rsidP="00CC4E03">
      <w:pPr>
        <w:jc w:val="both"/>
        <w:rPr>
          <w:rFonts w:cs="Arial"/>
          <w:szCs w:val="20"/>
        </w:rPr>
      </w:pPr>
    </w:p>
    <w:p w14:paraId="5A16BE14" w14:textId="77777777" w:rsidR="00536212" w:rsidRDefault="00536212" w:rsidP="00CC4E03">
      <w:pPr>
        <w:jc w:val="both"/>
        <w:rPr>
          <w:rFonts w:cs="Arial"/>
          <w:szCs w:val="20"/>
        </w:rPr>
      </w:pPr>
    </w:p>
    <w:p w14:paraId="34DC60DC" w14:textId="77777777" w:rsidR="00536212" w:rsidRDefault="00536212" w:rsidP="00CC4E03">
      <w:pPr>
        <w:jc w:val="both"/>
        <w:rPr>
          <w:rFonts w:cs="Arial"/>
          <w:szCs w:val="20"/>
        </w:rPr>
      </w:pPr>
    </w:p>
    <w:p w14:paraId="3AA8B49A" w14:textId="77777777" w:rsidR="00536212" w:rsidRDefault="00536212" w:rsidP="00CC4E03">
      <w:pPr>
        <w:jc w:val="both"/>
        <w:rPr>
          <w:rFonts w:cs="Arial"/>
          <w:szCs w:val="20"/>
        </w:rPr>
      </w:pPr>
    </w:p>
    <w:p w14:paraId="37EAB673" w14:textId="43FB7825" w:rsidR="000229A5" w:rsidRDefault="004A7A82" w:rsidP="00206771">
      <w:pPr>
        <w:ind w:left="720" w:hanging="720"/>
        <w:jc w:val="both"/>
        <w:rPr>
          <w:rFonts w:cs="Arial"/>
        </w:rPr>
      </w:pPr>
      <w:r w:rsidRPr="00536212">
        <w:rPr>
          <w:rFonts w:cs="Arial"/>
        </w:rPr>
        <w:lastRenderedPageBreak/>
        <w:t>7.</w:t>
      </w:r>
      <w:r w:rsidR="005C1FBE" w:rsidRPr="00536212">
        <w:rPr>
          <w:rFonts w:cs="Arial"/>
        </w:rPr>
        <w:t>4</w:t>
      </w:r>
      <w:r w:rsidRPr="00536212">
        <w:tab/>
      </w:r>
      <w:r w:rsidRPr="00536212">
        <w:rPr>
          <w:rFonts w:cs="Arial"/>
        </w:rPr>
        <w:t xml:space="preserve">In addition, there are </w:t>
      </w:r>
      <w:r w:rsidR="0CE00E62" w:rsidRPr="00536212">
        <w:rPr>
          <w:rFonts w:cs="Arial"/>
        </w:rPr>
        <w:t>new</w:t>
      </w:r>
      <w:r w:rsidRPr="00536212">
        <w:rPr>
          <w:rFonts w:cs="Arial"/>
        </w:rPr>
        <w:t xml:space="preserve"> </w:t>
      </w:r>
      <w:r w:rsidR="00B64343" w:rsidRPr="00536212">
        <w:rPr>
          <w:rFonts w:cs="Arial"/>
        </w:rPr>
        <w:t xml:space="preserve">policy </w:t>
      </w:r>
      <w:r w:rsidRPr="00536212">
        <w:rPr>
          <w:rFonts w:cs="Arial"/>
        </w:rPr>
        <w:t xml:space="preserve">savings totalling </w:t>
      </w:r>
      <w:r w:rsidR="00F6396B" w:rsidRPr="00536212">
        <w:rPr>
          <w:rFonts w:cs="Arial"/>
        </w:rPr>
        <w:t>c</w:t>
      </w:r>
      <w:r w:rsidRPr="00536212">
        <w:rPr>
          <w:rFonts w:cs="Arial"/>
        </w:rPr>
        <w:t>£1</w:t>
      </w:r>
      <w:r w:rsidR="000A57C3" w:rsidRPr="00536212">
        <w:rPr>
          <w:rFonts w:cs="Arial"/>
        </w:rPr>
        <w:t>4</w:t>
      </w:r>
      <w:r w:rsidRPr="00536212">
        <w:rPr>
          <w:rFonts w:cs="Arial"/>
        </w:rPr>
        <w:t>m that are built into the budget over the next 3 years. The savings for delivery in 2024/25 total c£</w:t>
      </w:r>
      <w:r w:rsidR="000A57C3" w:rsidRPr="00536212">
        <w:rPr>
          <w:rFonts w:cs="Arial"/>
        </w:rPr>
        <w:t>3.6</w:t>
      </w:r>
      <w:r w:rsidRPr="00536212">
        <w:rPr>
          <w:rFonts w:cs="Arial"/>
        </w:rPr>
        <w:t xml:space="preserve">m. </w:t>
      </w:r>
      <w:r w:rsidR="00F004E9" w:rsidRPr="00536212">
        <w:rPr>
          <w:rFonts w:cs="Arial"/>
        </w:rPr>
        <w:t xml:space="preserve">The policy savings </w:t>
      </w:r>
      <w:r w:rsidR="00185E43" w:rsidRPr="00536212">
        <w:rPr>
          <w:rFonts w:cs="Arial"/>
        </w:rPr>
        <w:t xml:space="preserve">that </w:t>
      </w:r>
      <w:r w:rsidR="00F004E9" w:rsidRPr="00536212">
        <w:rPr>
          <w:rFonts w:cs="Arial"/>
        </w:rPr>
        <w:t>include proposals that will require specific consultation, that will be reported through Cabinet for approval prior to implementation</w:t>
      </w:r>
      <w:r>
        <w:rPr>
          <w:rFonts w:cs="Arial"/>
        </w:rPr>
        <w:t xml:space="preserve"> are as follows:</w:t>
      </w:r>
    </w:p>
    <w:p w14:paraId="39694060" w14:textId="38811968" w:rsidR="00206771" w:rsidRDefault="004A7A82" w:rsidP="00206771">
      <w:pPr>
        <w:pStyle w:val="ListParagraph"/>
        <w:numPr>
          <w:ilvl w:val="0"/>
          <w:numId w:val="57"/>
        </w:numPr>
        <w:jc w:val="both"/>
        <w:rPr>
          <w:rFonts w:cs="Arial"/>
        </w:rPr>
      </w:pPr>
      <w:r>
        <w:rPr>
          <w:rFonts w:cs="Arial"/>
        </w:rPr>
        <w:t>GET007 – Pay and Display Income</w:t>
      </w:r>
    </w:p>
    <w:p w14:paraId="7D522122" w14:textId="64403359" w:rsidR="00206771" w:rsidRDefault="004A7A82" w:rsidP="00206771">
      <w:pPr>
        <w:pStyle w:val="ListParagraph"/>
        <w:numPr>
          <w:ilvl w:val="0"/>
          <w:numId w:val="57"/>
        </w:numPr>
        <w:jc w:val="both"/>
        <w:rPr>
          <w:rFonts w:cs="Arial"/>
        </w:rPr>
      </w:pPr>
      <w:r>
        <w:rPr>
          <w:rFonts w:cs="Arial"/>
        </w:rPr>
        <w:t xml:space="preserve">GET008 </w:t>
      </w:r>
      <w:r w:rsidR="003C37C2">
        <w:rPr>
          <w:rFonts w:cs="Arial"/>
        </w:rPr>
        <w:t>–</w:t>
      </w:r>
      <w:r>
        <w:rPr>
          <w:rFonts w:cs="Arial"/>
        </w:rPr>
        <w:t xml:space="preserve"> </w:t>
      </w:r>
      <w:r w:rsidR="003C37C2">
        <w:rPr>
          <w:rFonts w:cs="Arial"/>
        </w:rPr>
        <w:t xml:space="preserve">Young Persons Travel </w:t>
      </w:r>
    </w:p>
    <w:p w14:paraId="0CC1E92D" w14:textId="4AE5A8A2" w:rsidR="003C37C2" w:rsidRPr="00206771" w:rsidRDefault="004A7A82" w:rsidP="00206771">
      <w:pPr>
        <w:pStyle w:val="ListParagraph"/>
        <w:numPr>
          <w:ilvl w:val="0"/>
          <w:numId w:val="57"/>
        </w:numPr>
        <w:jc w:val="both"/>
        <w:rPr>
          <w:rFonts w:cs="Arial"/>
        </w:rPr>
      </w:pPr>
      <w:r>
        <w:rPr>
          <w:rFonts w:cs="Arial"/>
        </w:rPr>
        <w:t xml:space="preserve">GET009 – Discretionary Concessionary </w:t>
      </w:r>
      <w:r w:rsidR="00536212">
        <w:rPr>
          <w:rFonts w:cs="Arial"/>
        </w:rPr>
        <w:t>Travel</w:t>
      </w:r>
    </w:p>
    <w:p w14:paraId="028D05FF" w14:textId="72490897" w:rsidR="2165DDB2" w:rsidRDefault="2165DDB2" w:rsidP="008D6E07">
      <w:pPr>
        <w:jc w:val="both"/>
        <w:rPr>
          <w:rFonts w:cs="Arial"/>
        </w:rPr>
      </w:pPr>
    </w:p>
    <w:p w14:paraId="47AD1F51" w14:textId="77777777" w:rsidR="004D465B" w:rsidRPr="00536212" w:rsidRDefault="004A7A82" w:rsidP="00643ABA">
      <w:pPr>
        <w:ind w:left="720" w:hanging="720"/>
        <w:jc w:val="both"/>
        <w:rPr>
          <w:rFonts w:cs="Arial"/>
        </w:rPr>
      </w:pPr>
      <w:r w:rsidRPr="2165DDB2">
        <w:rPr>
          <w:rFonts w:cs="Arial"/>
        </w:rPr>
        <w:t>7.</w:t>
      </w:r>
      <w:r w:rsidR="005C1FBE">
        <w:rPr>
          <w:rFonts w:cs="Arial"/>
        </w:rPr>
        <w:t>5</w:t>
      </w:r>
      <w:r>
        <w:tab/>
      </w:r>
      <w:r w:rsidRPr="00536212">
        <w:rPr>
          <w:rFonts w:cs="Arial"/>
        </w:rPr>
        <w:t>A list of a</w:t>
      </w:r>
      <w:r w:rsidR="00A1347B" w:rsidRPr="00536212">
        <w:rPr>
          <w:rFonts w:cs="Arial"/>
        </w:rPr>
        <w:t xml:space="preserve">ll </w:t>
      </w:r>
      <w:r w:rsidR="5B7BACFC" w:rsidRPr="00536212">
        <w:rPr>
          <w:rFonts w:cs="Arial"/>
        </w:rPr>
        <w:t>new</w:t>
      </w:r>
      <w:r w:rsidR="00A1347B" w:rsidRPr="00536212">
        <w:rPr>
          <w:rFonts w:cs="Arial"/>
        </w:rPr>
        <w:t xml:space="preserve"> savings are included in Annex </w:t>
      </w:r>
      <w:r w:rsidR="00844BB1" w:rsidRPr="00536212">
        <w:rPr>
          <w:rFonts w:cs="Arial"/>
        </w:rPr>
        <w:t>C</w:t>
      </w:r>
      <w:r w:rsidR="00A1347B" w:rsidRPr="00536212">
        <w:rPr>
          <w:rFonts w:cs="Arial"/>
        </w:rPr>
        <w:t xml:space="preserve"> with supporting </w:t>
      </w:r>
      <w:r w:rsidR="00AE25E0" w:rsidRPr="00536212">
        <w:rPr>
          <w:rFonts w:cs="Arial"/>
        </w:rPr>
        <w:t xml:space="preserve">Equality Impact Assessment forms </w:t>
      </w:r>
      <w:r w:rsidR="00D71045" w:rsidRPr="00536212">
        <w:rPr>
          <w:rFonts w:cs="Arial"/>
        </w:rPr>
        <w:t xml:space="preserve">shared </w:t>
      </w:r>
      <w:r w:rsidRPr="00536212">
        <w:rPr>
          <w:rFonts w:cs="Arial"/>
        </w:rPr>
        <w:t>on the link below:</w:t>
      </w:r>
    </w:p>
    <w:p w14:paraId="4F40541D" w14:textId="4E57DDE9" w:rsidR="003E30C6" w:rsidRDefault="00F923D8" w:rsidP="00F923D8">
      <w:pPr>
        <w:ind w:left="720"/>
        <w:jc w:val="both"/>
        <w:rPr>
          <w:rFonts w:cs="Arial"/>
          <w:color w:val="0070C0"/>
          <w:u w:val="single"/>
        </w:rPr>
      </w:pPr>
      <w:hyperlink r:id="rId18" w:history="1">
        <w:r w:rsidRPr="00A66AE1">
          <w:rPr>
            <w:rStyle w:val="Hyperlink"/>
          </w:rPr>
          <w:t>https://council.lancashire.gov.uk/</w:t>
        </w:r>
        <w:r w:rsidRPr="00A66AE1">
          <w:rPr>
            <w:rStyle w:val="Hyperlink"/>
          </w:rPr>
          <w:t>e</w:t>
        </w:r>
        <w:r w:rsidRPr="00A66AE1">
          <w:rPr>
            <w:rStyle w:val="Hyperlink"/>
          </w:rPr>
          <w:t>cSDDisplayClassic.aspx?NAME=SD2822&amp;ID=2822&amp;RPID=29820232&amp;sch=doc&amp;cat=14956&amp;path=14955%2c14956</w:t>
        </w:r>
      </w:hyperlink>
    </w:p>
    <w:p w14:paraId="6F0F7FD0" w14:textId="77777777" w:rsidR="00F923D8" w:rsidRPr="00F004E9" w:rsidRDefault="00F923D8" w:rsidP="00F923D8">
      <w:pPr>
        <w:ind w:left="720"/>
        <w:jc w:val="both"/>
        <w:rPr>
          <w:rFonts w:cs="Arial"/>
          <w:color w:val="FF0000"/>
        </w:rPr>
      </w:pPr>
    </w:p>
    <w:p w14:paraId="2F440561" w14:textId="17252762" w:rsidR="0034200A" w:rsidRPr="00210938" w:rsidRDefault="004A7A82" w:rsidP="003E30C6">
      <w:pPr>
        <w:autoSpaceDE w:val="0"/>
        <w:autoSpaceDN w:val="0"/>
        <w:adjustRightInd w:val="0"/>
        <w:ind w:left="720" w:hanging="720"/>
        <w:jc w:val="both"/>
        <w:rPr>
          <w:rFonts w:eastAsia="Calibri" w:cs="Helvetica-Light"/>
          <w:bCs/>
          <w:color w:val="000000"/>
        </w:rPr>
      </w:pPr>
      <w:r>
        <w:rPr>
          <w:rFonts w:cs="Arial"/>
          <w:szCs w:val="20"/>
        </w:rPr>
        <w:t>7.</w:t>
      </w:r>
      <w:r w:rsidR="005C1FBE">
        <w:rPr>
          <w:rFonts w:cs="Arial"/>
          <w:szCs w:val="20"/>
        </w:rPr>
        <w:t>6</w:t>
      </w:r>
      <w:r>
        <w:rPr>
          <w:rFonts w:cs="Arial"/>
          <w:szCs w:val="20"/>
        </w:rPr>
        <w:tab/>
      </w:r>
      <w:r w:rsidR="00016814" w:rsidRPr="00210938">
        <w:rPr>
          <w:rFonts w:cs="Arial"/>
          <w:bCs/>
        </w:rPr>
        <w:t xml:space="preserve">At the </w:t>
      </w:r>
      <w:r w:rsidRPr="00210938">
        <w:rPr>
          <w:rFonts w:cs="Arial"/>
          <w:bCs/>
        </w:rPr>
        <w:t>C</w:t>
      </w:r>
      <w:r w:rsidR="00016814" w:rsidRPr="00210938">
        <w:rPr>
          <w:rFonts w:cs="Arial"/>
          <w:bCs/>
        </w:rPr>
        <w:t xml:space="preserve">abinet </w:t>
      </w:r>
      <w:r w:rsidR="00FE70BC" w:rsidRPr="00210938">
        <w:rPr>
          <w:rFonts w:cs="Arial"/>
          <w:bCs/>
        </w:rPr>
        <w:t xml:space="preserve">meeting </w:t>
      </w:r>
      <w:r w:rsidR="0030068A" w:rsidRPr="00210938">
        <w:rPr>
          <w:rFonts w:cs="Arial"/>
          <w:bCs/>
        </w:rPr>
        <w:t xml:space="preserve">on </w:t>
      </w:r>
      <w:r w:rsidRPr="00210938">
        <w:rPr>
          <w:rFonts w:cs="Arial"/>
          <w:bCs/>
        </w:rPr>
        <w:t>8</w:t>
      </w:r>
      <w:r w:rsidR="00746ACA" w:rsidRPr="00210938">
        <w:rPr>
          <w:rFonts w:cs="Arial"/>
          <w:bCs/>
          <w:vertAlign w:val="superscript"/>
        </w:rPr>
        <w:t xml:space="preserve"> </w:t>
      </w:r>
      <w:r w:rsidR="0030068A" w:rsidRPr="00210938">
        <w:rPr>
          <w:rFonts w:cs="Arial"/>
          <w:bCs/>
        </w:rPr>
        <w:t xml:space="preserve">January </w:t>
      </w:r>
      <w:r w:rsidRPr="00210938">
        <w:rPr>
          <w:rFonts w:cs="Arial"/>
          <w:bCs/>
        </w:rPr>
        <w:t xml:space="preserve">2024 </w:t>
      </w:r>
      <w:r w:rsidR="0030068A" w:rsidRPr="00210938">
        <w:rPr>
          <w:rFonts w:cs="Arial"/>
          <w:bCs/>
        </w:rPr>
        <w:t xml:space="preserve">it was agreed to consult with stakeholders to seek views on the savings proposals mentioned in </w:t>
      </w:r>
      <w:r w:rsidRPr="00210938">
        <w:rPr>
          <w:rFonts w:cs="Arial"/>
          <w:bCs/>
        </w:rPr>
        <w:t xml:space="preserve">paragraph </w:t>
      </w:r>
      <w:r w:rsidR="008A50EC" w:rsidRPr="00210938">
        <w:rPr>
          <w:rFonts w:cs="Arial"/>
          <w:bCs/>
        </w:rPr>
        <w:t>7.</w:t>
      </w:r>
      <w:r w:rsidR="006C0B57" w:rsidRPr="00210938">
        <w:rPr>
          <w:rFonts w:cs="Arial"/>
          <w:bCs/>
        </w:rPr>
        <w:t>4</w:t>
      </w:r>
      <w:r w:rsidR="008A50EC" w:rsidRPr="00210938">
        <w:rPr>
          <w:rFonts w:cs="Arial"/>
          <w:bCs/>
        </w:rPr>
        <w:t xml:space="preserve"> above</w:t>
      </w:r>
      <w:r w:rsidR="00A7379D" w:rsidRPr="00210938">
        <w:rPr>
          <w:rFonts w:cs="Arial"/>
          <w:bCs/>
        </w:rPr>
        <w:t xml:space="preserve">. </w:t>
      </w:r>
      <w:r w:rsidR="00210938">
        <w:rPr>
          <w:rFonts w:cs="Arial"/>
          <w:bCs/>
        </w:rPr>
        <w:t xml:space="preserve">The outcome of the budget consultation process is included in Annex K. </w:t>
      </w:r>
    </w:p>
    <w:p w14:paraId="23EE600F" w14:textId="77777777" w:rsidR="008A50EC" w:rsidRDefault="008A50EC" w:rsidP="00320643">
      <w:pPr>
        <w:rPr>
          <w:rFonts w:cs="Arial"/>
          <w:b/>
          <w:i/>
          <w:iCs/>
          <w:highlight w:val="yellow"/>
          <w:u w:val="single"/>
        </w:rPr>
      </w:pPr>
    </w:p>
    <w:p w14:paraId="07F63CAD" w14:textId="7C222015" w:rsidR="008A50EC" w:rsidRDefault="004A7A82" w:rsidP="008A50EC">
      <w:pPr>
        <w:autoSpaceDE w:val="0"/>
        <w:autoSpaceDN w:val="0"/>
        <w:adjustRightInd w:val="0"/>
        <w:jc w:val="both"/>
        <w:rPr>
          <w:rFonts w:eastAsia="Calibri" w:cs="Helvetica-Light"/>
          <w:b/>
          <w:color w:val="000000"/>
        </w:rPr>
      </w:pPr>
      <w:r>
        <w:rPr>
          <w:rFonts w:eastAsia="Calibri" w:cs="Helvetica-Light"/>
          <w:b/>
          <w:color w:val="000000"/>
        </w:rPr>
        <w:t>8.</w:t>
      </w:r>
      <w:r>
        <w:rPr>
          <w:rFonts w:eastAsia="Calibri" w:cs="Helvetica-Light"/>
          <w:b/>
          <w:color w:val="000000"/>
        </w:rPr>
        <w:tab/>
        <w:t>Additional Grant</w:t>
      </w:r>
    </w:p>
    <w:p w14:paraId="4A03DD26" w14:textId="20390DE4" w:rsidR="00D20D35" w:rsidRDefault="00D20D35" w:rsidP="1296B87A">
      <w:pPr>
        <w:autoSpaceDE w:val="0"/>
        <w:autoSpaceDN w:val="0"/>
        <w:adjustRightInd w:val="0"/>
        <w:jc w:val="both"/>
        <w:rPr>
          <w:rFonts w:eastAsia="Calibri" w:cs="Helvetica-Light"/>
          <w:b/>
          <w:bCs/>
          <w:color w:val="000000"/>
        </w:rPr>
      </w:pPr>
    </w:p>
    <w:p w14:paraId="3C897512" w14:textId="22CD84C0" w:rsidR="00F73907" w:rsidRDefault="004A7A82" w:rsidP="00684AF6">
      <w:pPr>
        <w:ind w:left="720" w:hanging="720"/>
        <w:jc w:val="both"/>
        <w:rPr>
          <w:rFonts w:cs="Arial"/>
          <w:color w:val="FF0000"/>
        </w:rPr>
      </w:pPr>
      <w:r w:rsidRPr="1296B87A">
        <w:rPr>
          <w:rFonts w:cs="Arial"/>
        </w:rPr>
        <w:t>8.1</w:t>
      </w:r>
      <w:r w:rsidR="00352305">
        <w:tab/>
      </w:r>
      <w:r w:rsidR="096D0C96" w:rsidRPr="1296B87A">
        <w:rPr>
          <w:rFonts w:cs="Arial"/>
        </w:rPr>
        <w:t>The additional grants</w:t>
      </w:r>
      <w:r w:rsidR="68C604E9" w:rsidRPr="1296B87A">
        <w:rPr>
          <w:rFonts w:cs="Arial"/>
        </w:rPr>
        <w:t xml:space="preserve"> relate to adult social </w:t>
      </w:r>
      <w:r w:rsidRPr="1296B87A">
        <w:rPr>
          <w:rFonts w:cs="Arial"/>
        </w:rPr>
        <w:t>care and</w:t>
      </w:r>
      <w:r w:rsidR="79A8ED99" w:rsidRPr="1296B87A">
        <w:rPr>
          <w:rFonts w:cs="Arial"/>
        </w:rPr>
        <w:t xml:space="preserve"> </w:t>
      </w:r>
      <w:r w:rsidR="68C604E9" w:rsidRPr="1296B87A">
        <w:rPr>
          <w:rFonts w:cs="Arial"/>
        </w:rPr>
        <w:t xml:space="preserve">were </w:t>
      </w:r>
      <w:r w:rsidR="79A8ED99" w:rsidRPr="1296B87A">
        <w:rPr>
          <w:rFonts w:cs="Arial"/>
        </w:rPr>
        <w:t>confirmed</w:t>
      </w:r>
      <w:r w:rsidR="68C604E9" w:rsidRPr="1296B87A">
        <w:rPr>
          <w:rFonts w:cs="Arial"/>
        </w:rPr>
        <w:t xml:space="preserve"> as part of </w:t>
      </w:r>
      <w:r w:rsidR="00606210">
        <w:rPr>
          <w:rFonts w:cs="Arial"/>
        </w:rPr>
        <w:t>the final settlement</w:t>
      </w:r>
      <w:r w:rsidR="68C604E9" w:rsidRPr="1296B87A">
        <w:rPr>
          <w:rFonts w:cs="Arial"/>
        </w:rPr>
        <w:t xml:space="preserve">. </w:t>
      </w:r>
      <w:r w:rsidR="00032A9E">
        <w:rPr>
          <w:rFonts w:cs="Arial"/>
        </w:rPr>
        <w:t>The grants are provided</w:t>
      </w:r>
      <w:r w:rsidR="009340C6">
        <w:rPr>
          <w:rFonts w:cs="Arial"/>
        </w:rPr>
        <w:t xml:space="preserve"> to support various aspects of adult social care, such as </w:t>
      </w:r>
      <w:r w:rsidR="00F209CA">
        <w:rPr>
          <w:rFonts w:cs="Arial"/>
        </w:rPr>
        <w:t>discharges from hospital</w:t>
      </w:r>
      <w:r w:rsidR="00132A59">
        <w:rPr>
          <w:rFonts w:cs="Arial"/>
        </w:rPr>
        <w:t xml:space="preserve">, </w:t>
      </w:r>
      <w:r w:rsidR="000A6F62">
        <w:rPr>
          <w:rFonts w:cs="Arial"/>
        </w:rPr>
        <w:t>provider fees, workforce pressures</w:t>
      </w:r>
      <w:r w:rsidR="002A203E">
        <w:rPr>
          <w:rFonts w:cs="Arial"/>
        </w:rPr>
        <w:t xml:space="preserve">. </w:t>
      </w:r>
    </w:p>
    <w:p w14:paraId="0F5CF547" w14:textId="3AFE3D4B" w:rsidR="00684AF6" w:rsidRPr="00684AF6" w:rsidRDefault="00684AF6" w:rsidP="00684AF6">
      <w:pPr>
        <w:jc w:val="both"/>
        <w:rPr>
          <w:rFonts w:cs="Arial"/>
          <w:color w:val="FF0000"/>
        </w:rPr>
      </w:pPr>
    </w:p>
    <w:p w14:paraId="55ACCECF" w14:textId="09D5D001" w:rsidR="00F73907" w:rsidRDefault="004A7A82" w:rsidP="00320643">
      <w:pPr>
        <w:rPr>
          <w:rFonts w:eastAsia="Calibri" w:cs="Helvetica-Light"/>
          <w:b/>
          <w:color w:val="000000"/>
        </w:rPr>
      </w:pPr>
      <w:r>
        <w:rPr>
          <w:rFonts w:eastAsia="Calibri" w:cs="Helvetica-Light"/>
          <w:b/>
          <w:color w:val="000000"/>
        </w:rPr>
        <w:t>9.</w:t>
      </w:r>
      <w:r>
        <w:rPr>
          <w:rFonts w:eastAsia="Calibri" w:cs="Helvetica-Light"/>
          <w:b/>
          <w:color w:val="000000"/>
        </w:rPr>
        <w:tab/>
        <w:t>Capital Financing Costs</w:t>
      </w:r>
    </w:p>
    <w:p w14:paraId="795C71A6" w14:textId="18D3B011" w:rsidR="00D7158C" w:rsidRPr="00D7158C" w:rsidRDefault="00D7158C" w:rsidP="1296B87A">
      <w:pPr>
        <w:rPr>
          <w:rFonts w:cs="Arial"/>
          <w:b/>
          <w:bCs/>
          <w:i/>
          <w:iCs/>
          <w:highlight w:val="yellow"/>
          <w:u w:val="single"/>
        </w:rPr>
      </w:pPr>
    </w:p>
    <w:p w14:paraId="67502A1B" w14:textId="345897D6" w:rsidR="00684AF6" w:rsidRDefault="004A7A82" w:rsidP="1296B87A">
      <w:pPr>
        <w:pStyle w:val="ListParagraph"/>
        <w:ind w:hanging="720"/>
        <w:jc w:val="both"/>
        <w:rPr>
          <w:rFonts w:cs="Arial"/>
        </w:rPr>
      </w:pPr>
      <w:r w:rsidRPr="1296B87A">
        <w:rPr>
          <w:rFonts w:cs="Arial"/>
        </w:rPr>
        <w:t>9.1</w:t>
      </w:r>
      <w:r>
        <w:tab/>
      </w:r>
      <w:r w:rsidR="00F16BCB" w:rsidRPr="1296B87A">
        <w:rPr>
          <w:rFonts w:cs="Arial"/>
        </w:rPr>
        <w:t xml:space="preserve">The year has seen a steady increase in the Bank Rate. </w:t>
      </w:r>
      <w:r w:rsidR="00507CC6">
        <w:rPr>
          <w:rFonts w:cs="Arial"/>
        </w:rPr>
        <w:t>On</w:t>
      </w:r>
      <w:r w:rsidR="00F16BCB" w:rsidRPr="1296B87A">
        <w:rPr>
          <w:rFonts w:cs="Arial"/>
        </w:rPr>
        <w:t xml:space="preserve"> 1</w:t>
      </w:r>
      <w:r w:rsidR="002B469B">
        <w:rPr>
          <w:rFonts w:cs="Arial"/>
          <w:vertAlign w:val="superscript"/>
        </w:rPr>
        <w:t xml:space="preserve"> </w:t>
      </w:r>
      <w:r w:rsidR="00F16BCB" w:rsidRPr="1296B87A">
        <w:rPr>
          <w:rFonts w:cs="Arial"/>
        </w:rPr>
        <w:t>April</w:t>
      </w:r>
      <w:r w:rsidR="00507CC6">
        <w:rPr>
          <w:rFonts w:cs="Arial"/>
        </w:rPr>
        <w:t xml:space="preserve"> 2023</w:t>
      </w:r>
      <w:r w:rsidR="00F16BCB" w:rsidRPr="1296B87A">
        <w:rPr>
          <w:rFonts w:cs="Arial"/>
        </w:rPr>
        <w:t xml:space="preserve"> it was at 4.25% with the Bank of England's Monetary Policy Committee (MPC) increasing the rate at its meetings in May, June and August to reach a level of 5.25%. This rate was maintained in September and then again in November. </w:t>
      </w:r>
      <w:r w:rsidR="00223EC0" w:rsidRPr="1296B87A">
        <w:rPr>
          <w:rFonts w:cs="Arial"/>
        </w:rPr>
        <w:t xml:space="preserve"> </w:t>
      </w:r>
      <w:r w:rsidR="00C22838" w:rsidRPr="1296B87A">
        <w:rPr>
          <w:rFonts w:cs="Arial"/>
        </w:rPr>
        <w:t xml:space="preserve">A proportion of the </w:t>
      </w:r>
      <w:r w:rsidR="00B63671">
        <w:rPr>
          <w:rFonts w:cs="Arial"/>
        </w:rPr>
        <w:t>C</w:t>
      </w:r>
      <w:r w:rsidR="00C22838" w:rsidRPr="1296B87A">
        <w:rPr>
          <w:rFonts w:cs="Arial"/>
        </w:rPr>
        <w:t>ouncil's accum</w:t>
      </w:r>
      <w:r w:rsidR="00C039FA" w:rsidRPr="1296B87A">
        <w:rPr>
          <w:rFonts w:cs="Arial"/>
        </w:rPr>
        <w:t>u</w:t>
      </w:r>
      <w:r w:rsidR="00C22838" w:rsidRPr="1296B87A">
        <w:rPr>
          <w:rFonts w:cs="Arial"/>
        </w:rPr>
        <w:t>lated</w:t>
      </w:r>
      <w:r w:rsidR="00C039FA" w:rsidRPr="1296B87A">
        <w:rPr>
          <w:rFonts w:cs="Arial"/>
        </w:rPr>
        <w:t xml:space="preserve"> borrowing to fund the historical capital programme </w:t>
      </w:r>
      <w:r w:rsidR="00DE2439" w:rsidRPr="1296B87A">
        <w:rPr>
          <w:rFonts w:cs="Arial"/>
        </w:rPr>
        <w:t xml:space="preserve">is on variable interest rates and </w:t>
      </w:r>
      <w:r w:rsidR="003B5268" w:rsidRPr="1296B87A">
        <w:rPr>
          <w:rFonts w:cs="Arial"/>
        </w:rPr>
        <w:t xml:space="preserve">has resulted in a significant increase in cost along with </w:t>
      </w:r>
      <w:r w:rsidR="00CF172B" w:rsidRPr="1296B87A">
        <w:rPr>
          <w:rFonts w:cs="Arial"/>
        </w:rPr>
        <w:t>the</w:t>
      </w:r>
      <w:r w:rsidR="003B5268" w:rsidRPr="1296B87A">
        <w:rPr>
          <w:rFonts w:cs="Arial"/>
        </w:rPr>
        <w:t xml:space="preserve"> </w:t>
      </w:r>
      <w:r w:rsidR="00A85A57">
        <w:rPr>
          <w:rFonts w:cs="Arial"/>
        </w:rPr>
        <w:t>impact of the</w:t>
      </w:r>
      <w:r w:rsidR="003B5268" w:rsidRPr="1296B87A">
        <w:rPr>
          <w:rFonts w:cs="Arial"/>
        </w:rPr>
        <w:t xml:space="preserve"> increased cost </w:t>
      </w:r>
      <w:r w:rsidR="00CF172B" w:rsidRPr="1296B87A">
        <w:rPr>
          <w:rFonts w:cs="Arial"/>
        </w:rPr>
        <w:t>of</w:t>
      </w:r>
      <w:r w:rsidR="003B5268" w:rsidRPr="1296B87A">
        <w:rPr>
          <w:rFonts w:cs="Arial"/>
        </w:rPr>
        <w:t xml:space="preserve"> </w:t>
      </w:r>
      <w:r w:rsidR="00CF172B" w:rsidRPr="1296B87A">
        <w:rPr>
          <w:rFonts w:cs="Arial"/>
        </w:rPr>
        <w:t xml:space="preserve">current </w:t>
      </w:r>
      <w:r w:rsidR="008A3899" w:rsidRPr="1296B87A">
        <w:rPr>
          <w:rFonts w:cs="Arial"/>
        </w:rPr>
        <w:t xml:space="preserve">borrowing </w:t>
      </w:r>
      <w:r w:rsidR="00CF172B" w:rsidRPr="1296B87A">
        <w:rPr>
          <w:rFonts w:cs="Arial"/>
        </w:rPr>
        <w:t xml:space="preserve">rates </w:t>
      </w:r>
      <w:r w:rsidR="008A3899" w:rsidRPr="1296B87A">
        <w:rPr>
          <w:rFonts w:cs="Arial"/>
        </w:rPr>
        <w:t xml:space="preserve">to </w:t>
      </w:r>
      <w:r w:rsidR="00CC0003" w:rsidRPr="1296B87A">
        <w:rPr>
          <w:rFonts w:cs="Arial"/>
        </w:rPr>
        <w:t>fund</w:t>
      </w:r>
      <w:r w:rsidR="00C039FA" w:rsidRPr="1296B87A">
        <w:rPr>
          <w:rFonts w:cs="Arial"/>
        </w:rPr>
        <w:t xml:space="preserve"> </w:t>
      </w:r>
      <w:r w:rsidR="00EE5E0C" w:rsidRPr="1296B87A">
        <w:rPr>
          <w:rFonts w:cs="Arial"/>
        </w:rPr>
        <w:t>new capital investmen</w:t>
      </w:r>
      <w:r w:rsidR="00CF172B" w:rsidRPr="1296B87A">
        <w:rPr>
          <w:rFonts w:cs="Arial"/>
        </w:rPr>
        <w:t xml:space="preserve">t.  </w:t>
      </w:r>
    </w:p>
    <w:p w14:paraId="1653904E" w14:textId="1707DDB8" w:rsidR="00684AF6" w:rsidRDefault="00684AF6" w:rsidP="1296B87A">
      <w:pPr>
        <w:pStyle w:val="ListParagraph"/>
        <w:ind w:hanging="720"/>
        <w:jc w:val="both"/>
        <w:rPr>
          <w:rFonts w:cs="Arial"/>
        </w:rPr>
      </w:pPr>
    </w:p>
    <w:p w14:paraId="250BDA7D" w14:textId="4C46B77F" w:rsidR="00684AF6" w:rsidRDefault="004A7A82" w:rsidP="1296B87A">
      <w:pPr>
        <w:pStyle w:val="ListParagraph"/>
        <w:ind w:hanging="720"/>
        <w:jc w:val="both"/>
        <w:rPr>
          <w:rFonts w:cs="Arial"/>
        </w:rPr>
      </w:pPr>
      <w:r w:rsidRPr="1296B87A">
        <w:rPr>
          <w:rFonts w:cs="Arial"/>
        </w:rPr>
        <w:t>9.2</w:t>
      </w:r>
      <w:r>
        <w:tab/>
      </w:r>
      <w:r w:rsidR="23067443" w:rsidRPr="1296B87A">
        <w:rPr>
          <w:rFonts w:cs="Arial"/>
          <w:color w:val="000000" w:themeColor="text1"/>
        </w:rPr>
        <w:t xml:space="preserve">The </w:t>
      </w:r>
      <w:r w:rsidR="00B63671">
        <w:rPr>
          <w:rFonts w:cs="Arial"/>
          <w:color w:val="000000" w:themeColor="text1"/>
        </w:rPr>
        <w:t>C</w:t>
      </w:r>
      <w:r w:rsidR="23067443" w:rsidRPr="1296B87A">
        <w:rPr>
          <w:rFonts w:cs="Arial"/>
          <w:color w:val="000000" w:themeColor="text1"/>
        </w:rPr>
        <w:t xml:space="preserve">ouncil's current interest rate payable on debt as measured by </w:t>
      </w:r>
      <w:r w:rsidR="68A3EEDB" w:rsidRPr="1296B87A">
        <w:rPr>
          <w:rFonts w:cs="Arial"/>
          <w:color w:val="000000" w:themeColor="text1"/>
        </w:rPr>
        <w:t xml:space="preserve">our Treasury Management advisors, </w:t>
      </w:r>
      <w:proofErr w:type="spellStart"/>
      <w:r w:rsidR="23067443" w:rsidRPr="1296B87A">
        <w:rPr>
          <w:rFonts w:cs="Arial"/>
          <w:color w:val="000000" w:themeColor="text1"/>
        </w:rPr>
        <w:t>Arlingclose</w:t>
      </w:r>
      <w:proofErr w:type="spellEnd"/>
      <w:r w:rsidR="68A3EEDB" w:rsidRPr="1296B87A">
        <w:rPr>
          <w:rFonts w:cs="Arial"/>
          <w:color w:val="000000" w:themeColor="text1"/>
        </w:rPr>
        <w:t>,</w:t>
      </w:r>
      <w:r w:rsidR="23067443" w:rsidRPr="1296B87A">
        <w:rPr>
          <w:rFonts w:cs="Arial"/>
          <w:color w:val="000000" w:themeColor="text1"/>
        </w:rPr>
        <w:t xml:space="preserve"> is 4.23%.</w:t>
      </w:r>
      <w:r w:rsidR="00CF172B" w:rsidRPr="1296B87A">
        <w:rPr>
          <w:rFonts w:cs="Arial"/>
          <w:color w:val="000000" w:themeColor="text1"/>
        </w:rPr>
        <w:t xml:space="preserve">  </w:t>
      </w:r>
      <w:proofErr w:type="spellStart"/>
      <w:r w:rsidR="68B47351" w:rsidRPr="1296B87A">
        <w:rPr>
          <w:rFonts w:cs="Arial"/>
        </w:rPr>
        <w:t>Arlingclose</w:t>
      </w:r>
      <w:proofErr w:type="spellEnd"/>
      <w:r w:rsidR="68B47351" w:rsidRPr="1296B87A">
        <w:rPr>
          <w:rFonts w:cs="Arial"/>
        </w:rPr>
        <w:t xml:space="preserve"> </w:t>
      </w:r>
      <w:r w:rsidR="73569E67" w:rsidRPr="1296B87A">
        <w:rPr>
          <w:rFonts w:cs="Arial"/>
        </w:rPr>
        <w:t>have advised</w:t>
      </w:r>
      <w:r w:rsidR="68B47351" w:rsidRPr="1296B87A">
        <w:rPr>
          <w:rFonts w:cs="Arial"/>
        </w:rPr>
        <w:t xml:space="preserve"> that </w:t>
      </w:r>
      <w:r w:rsidR="73569E67" w:rsidRPr="1296B87A">
        <w:rPr>
          <w:rFonts w:cs="Arial"/>
        </w:rPr>
        <w:t>their view is</w:t>
      </w:r>
      <w:r w:rsidR="68B47351" w:rsidRPr="1296B87A">
        <w:rPr>
          <w:rFonts w:cs="Arial"/>
        </w:rPr>
        <w:t xml:space="preserve"> that </w:t>
      </w:r>
      <w:r w:rsidR="770952C9" w:rsidRPr="1296B87A">
        <w:rPr>
          <w:rFonts w:cs="Arial"/>
        </w:rPr>
        <w:t xml:space="preserve">the </w:t>
      </w:r>
      <w:r w:rsidR="68B47351" w:rsidRPr="1296B87A">
        <w:rPr>
          <w:rFonts w:cs="Arial"/>
        </w:rPr>
        <w:t>Bank Rate has peaked at 5.25%</w:t>
      </w:r>
      <w:r w:rsidR="770952C9" w:rsidRPr="1296B87A">
        <w:rPr>
          <w:rFonts w:cs="Arial"/>
        </w:rPr>
        <w:t xml:space="preserve"> and t</w:t>
      </w:r>
      <w:r w:rsidR="68B47351" w:rsidRPr="1296B87A">
        <w:rPr>
          <w:rFonts w:cs="Arial"/>
        </w:rPr>
        <w:t>he Bank of England’s Monetary Policy Committee will cut rates in the medium term to stimulate the UK economy</w:t>
      </w:r>
      <w:r w:rsidR="73569E67" w:rsidRPr="1296B87A">
        <w:rPr>
          <w:rFonts w:cs="Arial"/>
        </w:rPr>
        <w:t xml:space="preserve">, </w:t>
      </w:r>
      <w:r w:rsidR="1F3EA174" w:rsidRPr="1296B87A">
        <w:rPr>
          <w:rFonts w:cs="Arial"/>
        </w:rPr>
        <w:t>forecasting</w:t>
      </w:r>
      <w:r w:rsidR="68B47351" w:rsidRPr="1296B87A">
        <w:rPr>
          <w:rFonts w:cs="Arial"/>
        </w:rPr>
        <w:t xml:space="preserve"> rate cuts from Q3 2024 to a low of around 3% by early/mid 2026.</w:t>
      </w:r>
      <w:r w:rsidR="00D6374D" w:rsidRPr="1296B87A">
        <w:rPr>
          <w:rFonts w:cs="Arial"/>
        </w:rPr>
        <w:t xml:space="preserve"> </w:t>
      </w:r>
    </w:p>
    <w:p w14:paraId="20444710" w14:textId="50C4AFF5" w:rsidR="00684AF6" w:rsidRDefault="00684AF6" w:rsidP="1296B87A">
      <w:pPr>
        <w:pStyle w:val="ListParagraph"/>
        <w:ind w:hanging="720"/>
        <w:jc w:val="both"/>
        <w:rPr>
          <w:rFonts w:cs="Arial"/>
        </w:rPr>
      </w:pPr>
    </w:p>
    <w:p w14:paraId="256DB778" w14:textId="50B70C8C" w:rsidR="0090219B" w:rsidRPr="00D6374D" w:rsidRDefault="004A7A82" w:rsidP="00D6374D">
      <w:pPr>
        <w:pStyle w:val="ListParagraph"/>
        <w:ind w:hanging="720"/>
        <w:contextualSpacing w:val="0"/>
        <w:jc w:val="both"/>
        <w:rPr>
          <w:rFonts w:cs="Arial"/>
        </w:rPr>
      </w:pPr>
      <w:r>
        <w:rPr>
          <w:rFonts w:cs="Arial"/>
        </w:rPr>
        <w:t>9.3</w:t>
      </w:r>
      <w:r>
        <w:rPr>
          <w:rFonts w:cs="Arial"/>
        </w:rPr>
        <w:tab/>
      </w:r>
      <w:r w:rsidR="5D6AF3D6" w:rsidRPr="00684AF6">
        <w:rPr>
          <w:rFonts w:cs="Arial"/>
        </w:rPr>
        <w:t xml:space="preserve">This has resulted in an increase in the </w:t>
      </w:r>
      <w:r w:rsidR="00B63671">
        <w:rPr>
          <w:rFonts w:cs="Arial"/>
        </w:rPr>
        <w:t>C</w:t>
      </w:r>
      <w:r w:rsidR="5D6AF3D6" w:rsidRPr="00684AF6">
        <w:rPr>
          <w:rFonts w:cs="Arial"/>
        </w:rPr>
        <w:t>ouncil</w:t>
      </w:r>
      <w:r w:rsidR="00F639FE">
        <w:rPr>
          <w:rFonts w:cs="Arial"/>
        </w:rPr>
        <w:t>'</w:t>
      </w:r>
      <w:r w:rsidR="5D6AF3D6" w:rsidRPr="00684AF6">
        <w:rPr>
          <w:rFonts w:cs="Arial"/>
        </w:rPr>
        <w:t>s capital financing costs of £5.368m</w:t>
      </w:r>
      <w:r w:rsidR="00D6374D" w:rsidRPr="00684AF6">
        <w:rPr>
          <w:rFonts w:cs="Arial"/>
        </w:rPr>
        <w:t xml:space="preserve"> in 2024</w:t>
      </w:r>
      <w:r w:rsidRPr="00684AF6">
        <w:rPr>
          <w:rFonts w:cs="Arial"/>
        </w:rPr>
        <w:t>/25</w:t>
      </w:r>
      <w:r w:rsidR="5D6AF3D6" w:rsidRPr="00684AF6">
        <w:rPr>
          <w:rFonts w:cs="Arial"/>
        </w:rPr>
        <w:t>.</w:t>
      </w:r>
    </w:p>
    <w:p w14:paraId="71F868FB" w14:textId="77777777" w:rsidR="0090219B" w:rsidRDefault="0090219B" w:rsidP="00E61820">
      <w:pPr>
        <w:jc w:val="both"/>
        <w:rPr>
          <w:rFonts w:cs="Arial"/>
          <w:highlight w:val="yellow"/>
        </w:rPr>
      </w:pPr>
    </w:p>
    <w:p w14:paraId="76F4EBD9" w14:textId="77777777" w:rsidR="0090219B" w:rsidRDefault="0090219B" w:rsidP="00E61820">
      <w:pPr>
        <w:jc w:val="both"/>
        <w:rPr>
          <w:rFonts w:cs="Arial"/>
          <w:highlight w:val="yellow"/>
        </w:rPr>
      </w:pPr>
    </w:p>
    <w:p w14:paraId="49859A91" w14:textId="77777777" w:rsidR="0090219B" w:rsidRDefault="0090219B" w:rsidP="00E61820">
      <w:pPr>
        <w:jc w:val="both"/>
        <w:rPr>
          <w:rFonts w:cs="Arial"/>
          <w:highlight w:val="yellow"/>
        </w:rPr>
      </w:pPr>
    </w:p>
    <w:p w14:paraId="4D6707CB" w14:textId="77777777" w:rsidR="00210938" w:rsidRDefault="00210938" w:rsidP="00E61820">
      <w:pPr>
        <w:jc w:val="both"/>
        <w:rPr>
          <w:rFonts w:cs="Arial"/>
          <w:highlight w:val="yellow"/>
        </w:rPr>
      </w:pPr>
    </w:p>
    <w:p w14:paraId="3670896F" w14:textId="5CBD6870" w:rsidR="008A50EC" w:rsidRDefault="004A7A82" w:rsidP="008A50EC">
      <w:pPr>
        <w:rPr>
          <w:rFonts w:eastAsia="Calibri" w:cs="Helvetica-Light"/>
          <w:b/>
          <w:color w:val="000000"/>
        </w:rPr>
      </w:pPr>
      <w:r>
        <w:rPr>
          <w:rFonts w:eastAsia="Calibri" w:cs="Helvetica-Light"/>
          <w:b/>
          <w:color w:val="000000"/>
        </w:rPr>
        <w:lastRenderedPageBreak/>
        <w:t>10.</w:t>
      </w:r>
      <w:r>
        <w:rPr>
          <w:rFonts w:eastAsia="Calibri" w:cs="Helvetica-Light"/>
          <w:b/>
          <w:color w:val="000000"/>
        </w:rPr>
        <w:tab/>
        <w:t>Funding</w:t>
      </w:r>
    </w:p>
    <w:p w14:paraId="1073D174" w14:textId="77777777" w:rsidR="005D0DC2" w:rsidRDefault="005D0DC2" w:rsidP="00E61820">
      <w:pPr>
        <w:jc w:val="both"/>
        <w:rPr>
          <w:rFonts w:eastAsia="Times New Roman" w:cs="Arial"/>
          <w:b/>
          <w:color w:val="000000"/>
        </w:rPr>
      </w:pPr>
    </w:p>
    <w:p w14:paraId="682D8C5E" w14:textId="47FF2E6D" w:rsidR="0084428E" w:rsidRDefault="004A7A82" w:rsidP="00653A24">
      <w:pPr>
        <w:ind w:left="720" w:hanging="720"/>
        <w:jc w:val="both"/>
        <w:rPr>
          <w:rFonts w:eastAsia="Times New Roman" w:cs="Arial"/>
          <w:b/>
          <w:color w:val="000000"/>
        </w:rPr>
      </w:pPr>
      <w:r w:rsidRPr="0090219B">
        <w:rPr>
          <w:rFonts w:eastAsia="Times New Roman" w:cs="Arial"/>
          <w:bCs/>
          <w:color w:val="000000"/>
        </w:rPr>
        <w:t>10.</w:t>
      </w:r>
      <w:r w:rsidR="00DF6D2C">
        <w:rPr>
          <w:rFonts w:eastAsia="Times New Roman" w:cs="Arial"/>
          <w:bCs/>
          <w:color w:val="000000"/>
        </w:rPr>
        <w:t>0</w:t>
      </w:r>
      <w:r>
        <w:rPr>
          <w:rFonts w:eastAsia="Times New Roman" w:cs="Arial"/>
          <w:b/>
          <w:color w:val="000000"/>
        </w:rPr>
        <w:tab/>
      </w:r>
      <w:r w:rsidR="005D0DC2" w:rsidRPr="0003544F">
        <w:rPr>
          <w:rFonts w:eastAsia="Times New Roman" w:cs="Arial"/>
          <w:bCs/>
          <w:color w:val="000000" w:themeColor="text1"/>
        </w:rPr>
        <w:t xml:space="preserve">The </w:t>
      </w:r>
      <w:r w:rsidR="00A237C8">
        <w:rPr>
          <w:rFonts w:eastAsia="Times New Roman" w:cs="Arial"/>
          <w:bCs/>
          <w:color w:val="000000" w:themeColor="text1"/>
        </w:rPr>
        <w:t>c</w:t>
      </w:r>
      <w:r w:rsidR="005D0DC2" w:rsidRPr="0003544F">
        <w:rPr>
          <w:rFonts w:eastAsia="Times New Roman" w:cs="Arial"/>
          <w:bCs/>
          <w:color w:val="000000" w:themeColor="text1"/>
        </w:rPr>
        <w:t xml:space="preserve">ounty </w:t>
      </w:r>
      <w:r w:rsidR="00A237C8">
        <w:rPr>
          <w:rFonts w:eastAsia="Times New Roman" w:cs="Arial"/>
          <w:bCs/>
          <w:color w:val="000000" w:themeColor="text1"/>
        </w:rPr>
        <w:t>c</w:t>
      </w:r>
      <w:r w:rsidR="005D0DC2" w:rsidRPr="0003544F">
        <w:rPr>
          <w:rFonts w:eastAsia="Times New Roman" w:cs="Arial"/>
          <w:bCs/>
          <w:color w:val="000000" w:themeColor="text1"/>
        </w:rPr>
        <w:t>ouncil rec</w:t>
      </w:r>
      <w:r w:rsidR="191C726E" w:rsidRPr="0003544F">
        <w:rPr>
          <w:rFonts w:eastAsia="Times New Roman" w:cs="Arial"/>
          <w:bCs/>
          <w:color w:val="000000" w:themeColor="text1"/>
        </w:rPr>
        <w:t>eives</w:t>
      </w:r>
      <w:r w:rsidR="005D0DC2" w:rsidRPr="0003544F">
        <w:rPr>
          <w:rFonts w:eastAsia="Times New Roman" w:cs="Arial"/>
          <w:bCs/>
          <w:color w:val="000000" w:themeColor="text1"/>
        </w:rPr>
        <w:t xml:space="preserve"> funding from </w:t>
      </w:r>
      <w:proofErr w:type="gramStart"/>
      <w:r w:rsidR="005D0DC2" w:rsidRPr="0003544F">
        <w:rPr>
          <w:rFonts w:eastAsia="Times New Roman" w:cs="Arial"/>
          <w:bCs/>
          <w:color w:val="000000" w:themeColor="text1"/>
        </w:rPr>
        <w:t>a number of</w:t>
      </w:r>
      <w:proofErr w:type="gramEnd"/>
      <w:r w:rsidR="005D0DC2" w:rsidRPr="0003544F">
        <w:rPr>
          <w:rFonts w:eastAsia="Times New Roman" w:cs="Arial"/>
          <w:bCs/>
          <w:color w:val="000000" w:themeColor="text1"/>
        </w:rPr>
        <w:t xml:space="preserve"> sources. The next section of the report identifie</w:t>
      </w:r>
      <w:r w:rsidR="006159A8" w:rsidRPr="0003544F">
        <w:rPr>
          <w:rFonts w:eastAsia="Times New Roman" w:cs="Arial"/>
          <w:bCs/>
          <w:color w:val="000000" w:themeColor="text1"/>
        </w:rPr>
        <w:t>s the expected sources of that income in 2024/25.</w:t>
      </w:r>
    </w:p>
    <w:p w14:paraId="5B8485D4" w14:textId="77777777" w:rsidR="00653A24" w:rsidRDefault="00653A24" w:rsidP="00653A24">
      <w:pPr>
        <w:ind w:left="720" w:hanging="720"/>
        <w:jc w:val="both"/>
        <w:rPr>
          <w:rFonts w:eastAsia="Times New Roman" w:cs="Arial"/>
          <w:b/>
          <w:color w:val="000000"/>
        </w:rPr>
      </w:pPr>
    </w:p>
    <w:p w14:paraId="47EC9B80" w14:textId="71D4226D" w:rsidR="00447DA2" w:rsidRPr="0003544F" w:rsidRDefault="004A7A82" w:rsidP="005838A0">
      <w:pPr>
        <w:pStyle w:val="ListParagraph"/>
        <w:numPr>
          <w:ilvl w:val="0"/>
          <w:numId w:val="5"/>
        </w:numPr>
        <w:jc w:val="both"/>
        <w:rPr>
          <w:rFonts w:eastAsia="Times New Roman" w:cs="Arial"/>
          <w:bCs/>
          <w:color w:val="000000"/>
        </w:rPr>
      </w:pPr>
      <w:r w:rsidRPr="0003544F">
        <w:rPr>
          <w:rFonts w:eastAsia="Times New Roman" w:cs="Arial"/>
          <w:bCs/>
          <w:color w:val="000000"/>
        </w:rPr>
        <w:t>Government Grants</w:t>
      </w:r>
    </w:p>
    <w:p w14:paraId="293CC741" w14:textId="789566DE" w:rsidR="00447DA2" w:rsidRPr="0003544F" w:rsidRDefault="004A7A82" w:rsidP="005838A0">
      <w:pPr>
        <w:pStyle w:val="ListParagraph"/>
        <w:numPr>
          <w:ilvl w:val="0"/>
          <w:numId w:val="5"/>
        </w:numPr>
        <w:jc w:val="both"/>
        <w:rPr>
          <w:rFonts w:eastAsia="Times New Roman" w:cs="Arial"/>
          <w:bCs/>
          <w:color w:val="000000"/>
        </w:rPr>
      </w:pPr>
      <w:r w:rsidRPr="0003544F">
        <w:rPr>
          <w:rFonts w:eastAsia="Times New Roman" w:cs="Arial"/>
          <w:bCs/>
          <w:color w:val="000000"/>
        </w:rPr>
        <w:t>Local Income</w:t>
      </w:r>
    </w:p>
    <w:p w14:paraId="6981CB77" w14:textId="5755D3D2" w:rsidR="00447DA2" w:rsidRDefault="004A7A82" w:rsidP="005838A0">
      <w:pPr>
        <w:pStyle w:val="ListParagraph"/>
        <w:numPr>
          <w:ilvl w:val="0"/>
          <w:numId w:val="5"/>
        </w:numPr>
        <w:jc w:val="both"/>
        <w:rPr>
          <w:rFonts w:eastAsia="Times New Roman" w:cs="Arial"/>
          <w:bCs/>
          <w:color w:val="000000"/>
        </w:rPr>
      </w:pPr>
      <w:r w:rsidRPr="0003544F">
        <w:rPr>
          <w:rFonts w:eastAsia="Times New Roman" w:cs="Arial"/>
          <w:bCs/>
          <w:color w:val="000000"/>
        </w:rPr>
        <w:t>Other</w:t>
      </w:r>
    </w:p>
    <w:p w14:paraId="3EBC087D" w14:textId="77777777" w:rsidR="0090219B" w:rsidRDefault="0090219B" w:rsidP="0090219B">
      <w:pPr>
        <w:jc w:val="both"/>
        <w:rPr>
          <w:rFonts w:eastAsia="Times New Roman" w:cs="Arial"/>
          <w:bCs/>
          <w:color w:val="000000"/>
        </w:rPr>
      </w:pPr>
    </w:p>
    <w:p w14:paraId="477D9BC3" w14:textId="342B62F3" w:rsidR="005D7A6E" w:rsidRDefault="004A7A82" w:rsidP="00E61820">
      <w:pPr>
        <w:jc w:val="both"/>
        <w:rPr>
          <w:rFonts w:eastAsia="Times New Roman" w:cs="Arial"/>
          <w:b/>
          <w:i/>
          <w:iCs/>
          <w:color w:val="000000"/>
          <w:u w:val="single"/>
        </w:rPr>
      </w:pPr>
      <w:r w:rsidRPr="00E61C9C">
        <w:rPr>
          <w:rFonts w:eastAsia="Times New Roman" w:cs="Arial"/>
          <w:b/>
          <w:i/>
          <w:iCs/>
          <w:color w:val="000000"/>
          <w:u w:val="single"/>
        </w:rPr>
        <w:t xml:space="preserve">Table </w:t>
      </w:r>
      <w:r w:rsidR="006A7473">
        <w:rPr>
          <w:rFonts w:eastAsia="Times New Roman" w:cs="Arial"/>
          <w:b/>
          <w:i/>
          <w:iCs/>
          <w:color w:val="000000"/>
          <w:u w:val="single"/>
        </w:rPr>
        <w:t>7</w:t>
      </w:r>
    </w:p>
    <w:p w14:paraId="79ED163A" w14:textId="77777777" w:rsidR="0035634F" w:rsidRDefault="0035634F" w:rsidP="00E61820">
      <w:pPr>
        <w:jc w:val="both"/>
        <w:rPr>
          <w:rFonts w:eastAsia="Times New Roman" w:cs="Arial"/>
          <w:b/>
          <w:i/>
          <w:iCs/>
          <w:color w:val="000000"/>
          <w:u w:val="single"/>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559"/>
        <w:gridCol w:w="1559"/>
        <w:gridCol w:w="1702"/>
      </w:tblGrid>
      <w:tr w:rsidR="00C92CD8" w14:paraId="033F8829" w14:textId="77777777" w:rsidTr="00E13849">
        <w:trPr>
          <w:trHeight w:val="495"/>
          <w:jc w:val="center"/>
        </w:trPr>
        <w:tc>
          <w:tcPr>
            <w:tcW w:w="3539" w:type="dxa"/>
            <w:shd w:val="clear" w:color="auto" w:fill="BFBFBF"/>
            <w:vAlign w:val="center"/>
          </w:tcPr>
          <w:p w14:paraId="5E4B72E4" w14:textId="77777777" w:rsidR="0035634F" w:rsidRPr="005D7A6E" w:rsidRDefault="0035634F" w:rsidP="00E13849">
            <w:pPr>
              <w:autoSpaceDE w:val="0"/>
              <w:autoSpaceDN w:val="0"/>
              <w:adjustRightInd w:val="0"/>
              <w:spacing w:after="120"/>
              <w:jc w:val="both"/>
              <w:rPr>
                <w:rFonts w:eastAsia="Calibri" w:cs="Arial"/>
                <w:color w:val="000000"/>
                <w:lang w:eastAsia="en-US"/>
              </w:rPr>
            </w:pPr>
          </w:p>
        </w:tc>
        <w:tc>
          <w:tcPr>
            <w:tcW w:w="1559" w:type="dxa"/>
            <w:shd w:val="clear" w:color="auto" w:fill="BFBFBF"/>
            <w:vAlign w:val="center"/>
          </w:tcPr>
          <w:p w14:paraId="0F837DCE" w14:textId="77777777" w:rsidR="0035634F" w:rsidRPr="005D7A6E" w:rsidRDefault="004A7A82" w:rsidP="00E13849">
            <w:pPr>
              <w:autoSpaceDE w:val="0"/>
              <w:autoSpaceDN w:val="0"/>
              <w:adjustRightInd w:val="0"/>
              <w:jc w:val="center"/>
              <w:rPr>
                <w:rFonts w:eastAsia="Calibri" w:cs="Arial"/>
                <w:b/>
                <w:color w:val="000000"/>
                <w:lang w:eastAsia="en-US"/>
              </w:rPr>
            </w:pPr>
            <w:r w:rsidRPr="005D7A6E">
              <w:rPr>
                <w:rFonts w:eastAsia="Calibri" w:cs="Arial"/>
                <w:b/>
                <w:color w:val="000000"/>
                <w:lang w:eastAsia="en-US"/>
              </w:rPr>
              <w:t>202</w:t>
            </w:r>
            <w:r>
              <w:rPr>
                <w:rFonts w:eastAsia="Calibri" w:cs="Arial"/>
                <w:b/>
                <w:color w:val="000000"/>
                <w:lang w:eastAsia="en-US"/>
              </w:rPr>
              <w:t>3</w:t>
            </w:r>
            <w:r w:rsidRPr="005D7A6E">
              <w:rPr>
                <w:rFonts w:eastAsia="Calibri" w:cs="Arial"/>
                <w:b/>
                <w:color w:val="000000"/>
                <w:lang w:eastAsia="en-US"/>
              </w:rPr>
              <w:t>/2</w:t>
            </w:r>
            <w:r>
              <w:rPr>
                <w:rFonts w:eastAsia="Calibri" w:cs="Arial"/>
                <w:b/>
                <w:color w:val="000000"/>
                <w:lang w:eastAsia="en-US"/>
              </w:rPr>
              <w:t>4</w:t>
            </w:r>
          </w:p>
          <w:p w14:paraId="427E0DAB" w14:textId="77777777" w:rsidR="0035634F" w:rsidRPr="005D7A6E" w:rsidRDefault="004A7A82" w:rsidP="00E13849">
            <w:pPr>
              <w:autoSpaceDE w:val="0"/>
              <w:autoSpaceDN w:val="0"/>
              <w:adjustRightInd w:val="0"/>
              <w:jc w:val="center"/>
              <w:rPr>
                <w:rFonts w:eastAsia="Calibri" w:cs="Arial"/>
                <w:b/>
                <w:color w:val="000000"/>
                <w:lang w:eastAsia="en-US"/>
              </w:rPr>
            </w:pPr>
            <w:r w:rsidRPr="005D7A6E">
              <w:rPr>
                <w:rFonts w:eastAsia="Calibri" w:cs="Arial"/>
                <w:b/>
                <w:color w:val="000000"/>
                <w:lang w:eastAsia="en-US"/>
              </w:rPr>
              <w:t>£m</w:t>
            </w:r>
          </w:p>
        </w:tc>
        <w:tc>
          <w:tcPr>
            <w:tcW w:w="1559" w:type="dxa"/>
            <w:shd w:val="clear" w:color="auto" w:fill="BFBFBF"/>
            <w:vAlign w:val="center"/>
          </w:tcPr>
          <w:p w14:paraId="78DF3E0C" w14:textId="77777777" w:rsidR="0035634F" w:rsidRPr="005D7A6E" w:rsidRDefault="004A7A82" w:rsidP="00E13849">
            <w:pPr>
              <w:autoSpaceDE w:val="0"/>
              <w:autoSpaceDN w:val="0"/>
              <w:adjustRightInd w:val="0"/>
              <w:jc w:val="center"/>
              <w:rPr>
                <w:rFonts w:eastAsia="Calibri" w:cs="Arial"/>
                <w:b/>
                <w:color w:val="000000"/>
                <w:lang w:eastAsia="en-US"/>
              </w:rPr>
            </w:pPr>
            <w:r w:rsidRPr="005D7A6E">
              <w:rPr>
                <w:rFonts w:eastAsia="Calibri" w:cs="Arial"/>
                <w:b/>
                <w:color w:val="000000"/>
                <w:lang w:eastAsia="en-US"/>
              </w:rPr>
              <w:t>2024/25</w:t>
            </w:r>
          </w:p>
          <w:p w14:paraId="275C45E7" w14:textId="77777777" w:rsidR="0035634F" w:rsidRPr="005D7A6E" w:rsidRDefault="004A7A82" w:rsidP="00E13849">
            <w:pPr>
              <w:autoSpaceDE w:val="0"/>
              <w:autoSpaceDN w:val="0"/>
              <w:adjustRightInd w:val="0"/>
              <w:jc w:val="center"/>
              <w:rPr>
                <w:rFonts w:eastAsia="Calibri" w:cs="Arial"/>
                <w:b/>
                <w:color w:val="000000"/>
                <w:lang w:eastAsia="en-US"/>
              </w:rPr>
            </w:pPr>
            <w:r w:rsidRPr="005D7A6E">
              <w:rPr>
                <w:rFonts w:eastAsia="Calibri" w:cs="Arial"/>
                <w:b/>
                <w:color w:val="000000"/>
                <w:lang w:eastAsia="en-US"/>
              </w:rPr>
              <w:t>£m</w:t>
            </w:r>
          </w:p>
        </w:tc>
        <w:tc>
          <w:tcPr>
            <w:tcW w:w="1702" w:type="dxa"/>
            <w:shd w:val="clear" w:color="auto" w:fill="BFBFBF"/>
            <w:vAlign w:val="center"/>
          </w:tcPr>
          <w:p w14:paraId="19F265FE" w14:textId="77777777" w:rsidR="0035634F" w:rsidRPr="005D7A6E" w:rsidRDefault="004A7A82" w:rsidP="00E13849">
            <w:pPr>
              <w:autoSpaceDE w:val="0"/>
              <w:autoSpaceDN w:val="0"/>
              <w:adjustRightInd w:val="0"/>
              <w:jc w:val="center"/>
              <w:rPr>
                <w:rFonts w:eastAsia="Calibri" w:cs="Arial"/>
                <w:b/>
                <w:color w:val="000000"/>
                <w:lang w:eastAsia="en-US"/>
              </w:rPr>
            </w:pPr>
            <w:r>
              <w:rPr>
                <w:rFonts w:eastAsia="Calibri" w:cs="Arial"/>
                <w:b/>
                <w:color w:val="000000"/>
                <w:lang w:eastAsia="en-US"/>
              </w:rPr>
              <w:t>Change in funding levels</w:t>
            </w:r>
          </w:p>
        </w:tc>
      </w:tr>
      <w:tr w:rsidR="00C92CD8" w14:paraId="113EB7F6" w14:textId="77777777" w:rsidTr="00E13849">
        <w:trPr>
          <w:trHeight w:val="365"/>
          <w:jc w:val="center"/>
        </w:trPr>
        <w:tc>
          <w:tcPr>
            <w:tcW w:w="3539" w:type="dxa"/>
            <w:tcBorders>
              <w:top w:val="single" w:sz="4" w:space="0" w:color="auto"/>
              <w:bottom w:val="single" w:sz="4" w:space="0" w:color="auto"/>
              <w:right w:val="single" w:sz="4" w:space="0" w:color="auto"/>
            </w:tcBorders>
            <w:shd w:val="clear" w:color="auto" w:fill="auto"/>
            <w:vAlign w:val="center"/>
          </w:tcPr>
          <w:p w14:paraId="375739ED" w14:textId="77777777" w:rsidR="0035634F" w:rsidRPr="00653A24" w:rsidRDefault="004A7A82" w:rsidP="00E13849">
            <w:pPr>
              <w:autoSpaceDE w:val="0"/>
              <w:autoSpaceDN w:val="0"/>
              <w:adjustRightInd w:val="0"/>
              <w:rPr>
                <w:rFonts w:eastAsia="Calibri" w:cs="Arial"/>
                <w:b/>
                <w:bCs/>
                <w:i/>
                <w:iCs/>
                <w:color w:val="000000"/>
                <w:lang w:eastAsia="en-US"/>
              </w:rPr>
            </w:pPr>
            <w:r w:rsidRPr="00653A24">
              <w:rPr>
                <w:rFonts w:eastAsia="Calibri" w:cs="Arial"/>
                <w:b/>
                <w:bCs/>
                <w:i/>
                <w:iCs/>
                <w:color w:val="000000"/>
                <w:lang w:eastAsia="en-US"/>
              </w:rPr>
              <w:t>Government Grants</w:t>
            </w:r>
          </w:p>
        </w:tc>
        <w:tc>
          <w:tcPr>
            <w:tcW w:w="1559" w:type="dxa"/>
            <w:tcBorders>
              <w:top w:val="single" w:sz="4" w:space="0" w:color="auto"/>
              <w:bottom w:val="single" w:sz="4" w:space="0" w:color="auto"/>
            </w:tcBorders>
            <w:vAlign w:val="center"/>
          </w:tcPr>
          <w:p w14:paraId="2856194F" w14:textId="77777777" w:rsidR="0035634F" w:rsidRPr="005D7A6E" w:rsidRDefault="0035634F" w:rsidP="00E13849">
            <w:pPr>
              <w:autoSpaceDE w:val="0"/>
              <w:autoSpaceDN w:val="0"/>
              <w:adjustRightInd w:val="0"/>
              <w:jc w:val="right"/>
              <w:rPr>
                <w:rFonts w:eastAsia="Calibri" w:cs="Arial"/>
                <w:color w:val="00000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15BEE0" w14:textId="77777777" w:rsidR="0035634F" w:rsidRPr="005D7A6E" w:rsidRDefault="0035634F" w:rsidP="00E13849">
            <w:pPr>
              <w:autoSpaceDE w:val="0"/>
              <w:autoSpaceDN w:val="0"/>
              <w:adjustRightInd w:val="0"/>
              <w:jc w:val="right"/>
              <w:rPr>
                <w:rFonts w:eastAsia="Calibri" w:cs="Arial"/>
                <w:color w:val="000000"/>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F483C50" w14:textId="77777777" w:rsidR="0035634F" w:rsidRPr="005D7A6E" w:rsidRDefault="0035634F" w:rsidP="00E13849">
            <w:pPr>
              <w:autoSpaceDE w:val="0"/>
              <w:autoSpaceDN w:val="0"/>
              <w:adjustRightInd w:val="0"/>
              <w:jc w:val="right"/>
              <w:rPr>
                <w:rFonts w:eastAsia="Calibri" w:cs="Arial"/>
                <w:color w:val="000000"/>
                <w:lang w:eastAsia="en-US"/>
              </w:rPr>
            </w:pPr>
          </w:p>
        </w:tc>
      </w:tr>
      <w:tr w:rsidR="00C92CD8" w14:paraId="2C3BD992"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tcPr>
          <w:p w14:paraId="2E240540" w14:textId="77777777" w:rsidR="0035634F" w:rsidRPr="005D7A6E" w:rsidRDefault="004A7A82" w:rsidP="00E13849">
            <w:pPr>
              <w:autoSpaceDE w:val="0"/>
              <w:autoSpaceDN w:val="0"/>
              <w:adjustRightInd w:val="0"/>
              <w:rPr>
                <w:rFonts w:eastAsia="Calibri" w:cs="Arial"/>
                <w:color w:val="000000"/>
                <w:lang w:eastAsia="en-US"/>
              </w:rPr>
            </w:pPr>
            <w:r w:rsidRPr="005D7A6E">
              <w:rPr>
                <w:rFonts w:eastAsia="Calibri" w:cs="Arial"/>
                <w:color w:val="000000"/>
                <w:lang w:eastAsia="en-US"/>
              </w:rPr>
              <w:t>Revenue Support Grant</w:t>
            </w:r>
          </w:p>
        </w:tc>
        <w:tc>
          <w:tcPr>
            <w:tcW w:w="1559" w:type="dxa"/>
            <w:tcBorders>
              <w:top w:val="single" w:sz="4" w:space="0" w:color="auto"/>
              <w:bottom w:val="single" w:sz="4" w:space="0" w:color="auto"/>
            </w:tcBorders>
            <w:vAlign w:val="center"/>
          </w:tcPr>
          <w:p w14:paraId="36EA3A86" w14:textId="77777777" w:rsidR="0035634F"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38.206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D3EB17" w14:textId="77777777" w:rsidR="0035634F" w:rsidRPr="005D7A6E" w:rsidRDefault="004A7A82" w:rsidP="00E13849">
            <w:pPr>
              <w:autoSpaceDE w:val="0"/>
              <w:autoSpaceDN w:val="0"/>
              <w:adjustRightInd w:val="0"/>
              <w:jc w:val="right"/>
              <w:rPr>
                <w:rFonts w:eastAsia="Calibri" w:cs="Arial"/>
                <w:color w:val="000000"/>
                <w:lang w:eastAsia="en-US"/>
              </w:rPr>
            </w:pPr>
            <w:r w:rsidRPr="005D7A6E">
              <w:rPr>
                <w:rFonts w:eastAsia="Calibri" w:cs="Arial"/>
                <w:color w:val="000000"/>
                <w:lang w:eastAsia="en-US"/>
              </w:rPr>
              <w:t>40.737</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6EEA4FA" w14:textId="77777777" w:rsidR="0035634F"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2.531</w:t>
            </w:r>
          </w:p>
        </w:tc>
      </w:tr>
      <w:tr w:rsidR="00C92CD8" w14:paraId="457A1362"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tcPr>
          <w:p w14:paraId="0F168C36" w14:textId="77777777" w:rsidR="0035634F" w:rsidRPr="005D7A6E" w:rsidRDefault="004A7A82" w:rsidP="00E13849">
            <w:pPr>
              <w:autoSpaceDE w:val="0"/>
              <w:autoSpaceDN w:val="0"/>
              <w:adjustRightInd w:val="0"/>
              <w:rPr>
                <w:rFonts w:eastAsia="Calibri" w:cs="Arial"/>
                <w:color w:val="000000"/>
                <w:lang w:eastAsia="en-US"/>
              </w:rPr>
            </w:pPr>
            <w:r w:rsidRPr="005D7A6E">
              <w:rPr>
                <w:rFonts w:eastAsia="Calibri" w:cs="Arial"/>
                <w:color w:val="000000"/>
                <w:lang w:eastAsia="en-US"/>
              </w:rPr>
              <w:t>New Homes Bonus</w:t>
            </w:r>
          </w:p>
        </w:tc>
        <w:tc>
          <w:tcPr>
            <w:tcW w:w="1559" w:type="dxa"/>
            <w:tcBorders>
              <w:top w:val="single" w:sz="4" w:space="0" w:color="auto"/>
              <w:bottom w:val="single" w:sz="4" w:space="0" w:color="auto"/>
            </w:tcBorders>
            <w:vAlign w:val="center"/>
          </w:tcPr>
          <w:p w14:paraId="6F0DA2BF" w14:textId="77777777" w:rsidR="0035634F"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1.482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295CE3" w14:textId="77777777" w:rsidR="0035634F" w:rsidRPr="005D7A6E" w:rsidRDefault="004A7A82" w:rsidP="00E13849">
            <w:pPr>
              <w:autoSpaceDE w:val="0"/>
              <w:autoSpaceDN w:val="0"/>
              <w:adjustRightInd w:val="0"/>
              <w:jc w:val="right"/>
              <w:rPr>
                <w:rFonts w:eastAsia="Calibri" w:cs="Arial"/>
                <w:color w:val="000000"/>
                <w:lang w:eastAsia="en-US"/>
              </w:rPr>
            </w:pPr>
            <w:r w:rsidRPr="005D7A6E">
              <w:rPr>
                <w:rFonts w:eastAsia="Calibri" w:cs="Arial"/>
                <w:color w:val="000000"/>
                <w:lang w:eastAsia="en-US"/>
              </w:rPr>
              <w:t>1.49</w:t>
            </w:r>
            <w:r>
              <w:rPr>
                <w:rFonts w:eastAsia="Calibri" w:cs="Arial"/>
                <w:color w:val="000000"/>
                <w:lang w:eastAsia="en-US"/>
              </w:rPr>
              <w:t>7</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2DD790F" w14:textId="77777777" w:rsidR="0035634F"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0.015</w:t>
            </w:r>
          </w:p>
        </w:tc>
      </w:tr>
      <w:tr w:rsidR="00C92CD8" w14:paraId="7B95B70A"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hideMark/>
          </w:tcPr>
          <w:p w14:paraId="774675C2" w14:textId="77777777" w:rsidR="0035634F" w:rsidRPr="005D7A6E" w:rsidRDefault="004A7A82" w:rsidP="00E13849">
            <w:pPr>
              <w:autoSpaceDE w:val="0"/>
              <w:autoSpaceDN w:val="0"/>
              <w:adjustRightInd w:val="0"/>
              <w:rPr>
                <w:rFonts w:eastAsia="Calibri" w:cs="Arial"/>
                <w:color w:val="000000"/>
                <w:lang w:eastAsia="en-US"/>
              </w:rPr>
            </w:pPr>
            <w:r w:rsidRPr="005D7A6E">
              <w:rPr>
                <w:rFonts w:eastAsia="Calibri" w:cs="Arial"/>
                <w:color w:val="000000"/>
                <w:lang w:eastAsia="en-US"/>
              </w:rPr>
              <w:t>Improved Better Care Fund</w:t>
            </w:r>
          </w:p>
        </w:tc>
        <w:tc>
          <w:tcPr>
            <w:tcW w:w="1559" w:type="dxa"/>
            <w:tcBorders>
              <w:top w:val="single" w:sz="4" w:space="0" w:color="auto"/>
              <w:bottom w:val="single" w:sz="4" w:space="0" w:color="auto"/>
            </w:tcBorders>
            <w:vAlign w:val="center"/>
          </w:tcPr>
          <w:p w14:paraId="6520878A" w14:textId="77777777" w:rsidR="0035634F"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47.145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FCA0E9" w14:textId="77777777" w:rsidR="0035634F" w:rsidRPr="005D7A6E" w:rsidRDefault="004A7A82" w:rsidP="00E13849">
            <w:pPr>
              <w:autoSpaceDE w:val="0"/>
              <w:autoSpaceDN w:val="0"/>
              <w:adjustRightInd w:val="0"/>
              <w:jc w:val="right"/>
              <w:rPr>
                <w:rFonts w:eastAsia="Calibri" w:cs="Arial"/>
                <w:color w:val="000000"/>
                <w:lang w:eastAsia="en-US"/>
              </w:rPr>
            </w:pPr>
            <w:r w:rsidRPr="005D7A6E">
              <w:rPr>
                <w:rFonts w:eastAsia="Calibri" w:cs="Arial"/>
                <w:color w:val="000000"/>
                <w:lang w:eastAsia="en-US"/>
              </w:rPr>
              <w:t>47.145</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5B5D414" w14:textId="77777777" w:rsidR="0035634F"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0.000</w:t>
            </w:r>
          </w:p>
        </w:tc>
      </w:tr>
      <w:tr w:rsidR="00C92CD8" w14:paraId="547F56EF"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tcPr>
          <w:p w14:paraId="399BE82E" w14:textId="77777777" w:rsidR="0035634F" w:rsidRPr="005D7A6E" w:rsidRDefault="004A7A82" w:rsidP="00E13849">
            <w:pPr>
              <w:autoSpaceDE w:val="0"/>
              <w:autoSpaceDN w:val="0"/>
              <w:adjustRightInd w:val="0"/>
              <w:rPr>
                <w:rFonts w:eastAsia="Calibri" w:cs="Arial"/>
                <w:color w:val="000000"/>
                <w:lang w:eastAsia="en-US"/>
              </w:rPr>
            </w:pPr>
            <w:r w:rsidRPr="005D7A6E">
              <w:rPr>
                <w:rFonts w:eastAsia="Calibri" w:cs="Arial"/>
                <w:color w:val="000000"/>
                <w:lang w:eastAsia="en-US"/>
              </w:rPr>
              <w:t>Social Care Support Grant</w:t>
            </w:r>
          </w:p>
        </w:tc>
        <w:tc>
          <w:tcPr>
            <w:tcW w:w="1559" w:type="dxa"/>
            <w:tcBorders>
              <w:top w:val="single" w:sz="4" w:space="0" w:color="auto"/>
              <w:bottom w:val="single" w:sz="4" w:space="0" w:color="auto"/>
            </w:tcBorders>
            <w:vAlign w:val="center"/>
          </w:tcPr>
          <w:p w14:paraId="2D26F5C4" w14:textId="77777777" w:rsidR="0035634F"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94.569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AF3DDD" w14:textId="77777777" w:rsidR="0035634F"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123.055</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FE52313" w14:textId="77777777" w:rsidR="0035634F"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28.486</w:t>
            </w:r>
          </w:p>
        </w:tc>
      </w:tr>
      <w:tr w:rsidR="00C92CD8" w14:paraId="49D8C863"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tcPr>
          <w:p w14:paraId="3436F028" w14:textId="77777777" w:rsidR="0035634F" w:rsidRPr="005D7A6E" w:rsidRDefault="004A7A82" w:rsidP="00E13849">
            <w:pPr>
              <w:autoSpaceDE w:val="0"/>
              <w:autoSpaceDN w:val="0"/>
              <w:adjustRightInd w:val="0"/>
              <w:rPr>
                <w:rFonts w:eastAsia="Calibri" w:cs="Arial"/>
                <w:color w:val="000000"/>
                <w:lang w:eastAsia="en-US"/>
              </w:rPr>
            </w:pPr>
            <w:r w:rsidRPr="005D7A6E">
              <w:rPr>
                <w:rFonts w:eastAsia="Calibri" w:cs="Arial"/>
                <w:color w:val="000000"/>
                <w:lang w:eastAsia="en-US"/>
              </w:rPr>
              <w:t>Services Grant</w:t>
            </w:r>
          </w:p>
        </w:tc>
        <w:tc>
          <w:tcPr>
            <w:tcW w:w="1559" w:type="dxa"/>
            <w:tcBorders>
              <w:top w:val="single" w:sz="4" w:space="0" w:color="auto"/>
              <w:bottom w:val="single" w:sz="4" w:space="0" w:color="auto"/>
            </w:tcBorders>
            <w:vAlign w:val="center"/>
          </w:tcPr>
          <w:p w14:paraId="3AA8067F" w14:textId="77777777" w:rsidR="0035634F"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7.663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0E196A" w14:textId="77777777" w:rsidR="0035634F" w:rsidRPr="005D7A6E" w:rsidRDefault="004A7A82" w:rsidP="00E13849">
            <w:pPr>
              <w:autoSpaceDE w:val="0"/>
              <w:autoSpaceDN w:val="0"/>
              <w:adjustRightInd w:val="0"/>
              <w:jc w:val="right"/>
              <w:rPr>
                <w:rFonts w:eastAsia="Calibri" w:cs="Arial"/>
                <w:color w:val="000000"/>
                <w:lang w:eastAsia="en-US"/>
              </w:rPr>
            </w:pPr>
            <w:r w:rsidRPr="005D7A6E">
              <w:rPr>
                <w:rFonts w:eastAsia="Calibri" w:cs="Arial"/>
                <w:color w:val="000000"/>
                <w:lang w:eastAsia="en-US"/>
              </w:rPr>
              <w:t>1.</w:t>
            </w:r>
            <w:r>
              <w:rPr>
                <w:rFonts w:eastAsia="Calibri" w:cs="Arial"/>
                <w:color w:val="000000"/>
                <w:lang w:eastAsia="en-US"/>
              </w:rPr>
              <w:t>323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6F1EB32" w14:textId="77777777" w:rsidR="0035634F"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-6.340</w:t>
            </w:r>
          </w:p>
        </w:tc>
      </w:tr>
      <w:tr w:rsidR="00C92CD8" w14:paraId="21BCBF4D"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tcPr>
          <w:p w14:paraId="1C8C5509" w14:textId="77777777" w:rsidR="0035634F" w:rsidRPr="00653A24" w:rsidRDefault="004A7A82" w:rsidP="00E13849">
            <w:pPr>
              <w:autoSpaceDE w:val="0"/>
              <w:autoSpaceDN w:val="0"/>
              <w:adjustRightInd w:val="0"/>
              <w:rPr>
                <w:rFonts w:eastAsia="Calibri" w:cs="Arial"/>
                <w:b/>
                <w:bCs/>
                <w:i/>
                <w:iCs/>
                <w:color w:val="000000"/>
                <w:lang w:eastAsia="en-US"/>
              </w:rPr>
            </w:pPr>
            <w:r w:rsidRPr="00653A24">
              <w:rPr>
                <w:rFonts w:eastAsia="Calibri" w:cs="Arial"/>
                <w:b/>
                <w:bCs/>
                <w:i/>
                <w:iCs/>
                <w:color w:val="000000"/>
                <w:lang w:eastAsia="en-US"/>
              </w:rPr>
              <w:t>Sub-Total</w:t>
            </w:r>
          </w:p>
        </w:tc>
        <w:tc>
          <w:tcPr>
            <w:tcW w:w="1559" w:type="dxa"/>
            <w:tcBorders>
              <w:top w:val="single" w:sz="4" w:space="0" w:color="auto"/>
              <w:bottom w:val="single" w:sz="4" w:space="0" w:color="auto"/>
            </w:tcBorders>
            <w:vAlign w:val="center"/>
          </w:tcPr>
          <w:p w14:paraId="4EA6F04B" w14:textId="77777777" w:rsidR="0035634F" w:rsidRPr="006839C7" w:rsidRDefault="004A7A82" w:rsidP="00E13849">
            <w:pPr>
              <w:autoSpaceDE w:val="0"/>
              <w:autoSpaceDN w:val="0"/>
              <w:adjustRightInd w:val="0"/>
              <w:jc w:val="right"/>
              <w:rPr>
                <w:rFonts w:eastAsia="Calibri" w:cs="Arial"/>
                <w:b/>
                <w:bCs/>
                <w:i/>
                <w:iCs/>
                <w:color w:val="000000"/>
                <w:lang w:eastAsia="en-US"/>
              </w:rPr>
            </w:pPr>
            <w:r w:rsidRPr="006839C7">
              <w:rPr>
                <w:rFonts w:eastAsia="Calibri" w:cs="Arial"/>
                <w:b/>
                <w:bCs/>
                <w:i/>
                <w:iCs/>
                <w:color w:val="000000"/>
                <w:lang w:eastAsia="en-US"/>
              </w:rPr>
              <w:t>189.065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5D45A9" w14:textId="77777777" w:rsidR="0035634F" w:rsidRPr="006839C7" w:rsidRDefault="004A7A82" w:rsidP="00E13849">
            <w:pPr>
              <w:autoSpaceDE w:val="0"/>
              <w:autoSpaceDN w:val="0"/>
              <w:adjustRightInd w:val="0"/>
              <w:jc w:val="right"/>
              <w:rPr>
                <w:rFonts w:eastAsia="Calibri" w:cs="Arial"/>
                <w:b/>
                <w:bCs/>
                <w:i/>
                <w:iCs/>
                <w:color w:val="000000"/>
                <w:lang w:eastAsia="en-US"/>
              </w:rPr>
            </w:pPr>
            <w:r>
              <w:rPr>
                <w:rFonts w:eastAsia="Calibri" w:cs="Arial"/>
                <w:b/>
                <w:bCs/>
                <w:i/>
                <w:iCs/>
                <w:color w:val="000000"/>
                <w:lang w:eastAsia="en-US"/>
              </w:rPr>
              <w:t>213.757</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6464B20" w14:textId="77777777" w:rsidR="0035634F" w:rsidRPr="006839C7" w:rsidRDefault="004A7A82" w:rsidP="00E13849">
            <w:pPr>
              <w:autoSpaceDE w:val="0"/>
              <w:autoSpaceDN w:val="0"/>
              <w:adjustRightInd w:val="0"/>
              <w:jc w:val="right"/>
              <w:rPr>
                <w:rFonts w:eastAsia="Calibri" w:cs="Arial"/>
                <w:b/>
                <w:bCs/>
                <w:i/>
                <w:iCs/>
                <w:color w:val="000000"/>
                <w:lang w:eastAsia="en-US"/>
              </w:rPr>
            </w:pPr>
            <w:r>
              <w:rPr>
                <w:rFonts w:eastAsia="Calibri" w:cs="Arial"/>
                <w:b/>
                <w:bCs/>
                <w:i/>
                <w:iCs/>
                <w:color w:val="000000"/>
                <w:lang w:eastAsia="en-US"/>
              </w:rPr>
              <w:t>24.692</w:t>
            </w:r>
          </w:p>
        </w:tc>
      </w:tr>
      <w:tr w:rsidR="00C92CD8" w14:paraId="0AC33995" w14:textId="77777777" w:rsidTr="00E13849">
        <w:trPr>
          <w:trHeight w:val="195"/>
          <w:jc w:val="center"/>
        </w:trPr>
        <w:tc>
          <w:tcPr>
            <w:tcW w:w="3539" w:type="dxa"/>
            <w:tcBorders>
              <w:top w:val="single" w:sz="4" w:space="0" w:color="auto"/>
              <w:bottom w:val="single" w:sz="4" w:space="0" w:color="auto"/>
              <w:right w:val="single" w:sz="4" w:space="0" w:color="auto"/>
            </w:tcBorders>
            <w:shd w:val="clear" w:color="auto" w:fill="auto"/>
            <w:vAlign w:val="center"/>
          </w:tcPr>
          <w:p w14:paraId="6103BB0C" w14:textId="77777777" w:rsidR="0035634F" w:rsidRPr="005D7A6E" w:rsidRDefault="0035634F" w:rsidP="00E13849">
            <w:pPr>
              <w:autoSpaceDE w:val="0"/>
              <w:autoSpaceDN w:val="0"/>
              <w:adjustRightInd w:val="0"/>
              <w:spacing w:after="120"/>
              <w:rPr>
                <w:rFonts w:eastAsia="Calibri" w:cs="Arial"/>
                <w:color w:val="000000"/>
                <w:lang w:eastAsia="en-US"/>
              </w:rPr>
            </w:pPr>
          </w:p>
        </w:tc>
        <w:tc>
          <w:tcPr>
            <w:tcW w:w="1559" w:type="dxa"/>
            <w:tcBorders>
              <w:top w:val="single" w:sz="4" w:space="0" w:color="auto"/>
              <w:bottom w:val="single" w:sz="4" w:space="0" w:color="auto"/>
            </w:tcBorders>
            <w:vAlign w:val="center"/>
          </w:tcPr>
          <w:p w14:paraId="672B9F89" w14:textId="77777777" w:rsidR="0035634F" w:rsidRDefault="0035634F" w:rsidP="00E13849">
            <w:pPr>
              <w:autoSpaceDE w:val="0"/>
              <w:autoSpaceDN w:val="0"/>
              <w:adjustRightInd w:val="0"/>
              <w:jc w:val="right"/>
              <w:rPr>
                <w:rFonts w:eastAsia="Calibri" w:cs="Arial"/>
                <w:color w:val="00000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94455B" w14:textId="77777777" w:rsidR="0035634F" w:rsidRPr="005D7A6E" w:rsidRDefault="0035634F" w:rsidP="00E13849">
            <w:pPr>
              <w:autoSpaceDE w:val="0"/>
              <w:autoSpaceDN w:val="0"/>
              <w:adjustRightInd w:val="0"/>
              <w:jc w:val="right"/>
              <w:rPr>
                <w:rFonts w:eastAsia="Calibri" w:cs="Arial"/>
                <w:color w:val="000000"/>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6356DD4" w14:textId="77777777" w:rsidR="0035634F" w:rsidRDefault="0035634F" w:rsidP="00E13849">
            <w:pPr>
              <w:autoSpaceDE w:val="0"/>
              <w:autoSpaceDN w:val="0"/>
              <w:adjustRightInd w:val="0"/>
              <w:jc w:val="right"/>
              <w:rPr>
                <w:rFonts w:eastAsia="Calibri" w:cs="Arial"/>
                <w:color w:val="000000"/>
                <w:lang w:eastAsia="en-US"/>
              </w:rPr>
            </w:pPr>
          </w:p>
        </w:tc>
      </w:tr>
      <w:tr w:rsidR="00C92CD8" w14:paraId="44258199" w14:textId="77777777" w:rsidTr="00E13849">
        <w:trPr>
          <w:trHeight w:val="286"/>
          <w:jc w:val="center"/>
        </w:trPr>
        <w:tc>
          <w:tcPr>
            <w:tcW w:w="3539" w:type="dxa"/>
            <w:tcBorders>
              <w:top w:val="single" w:sz="4" w:space="0" w:color="auto"/>
              <w:bottom w:val="single" w:sz="4" w:space="0" w:color="auto"/>
              <w:right w:val="single" w:sz="4" w:space="0" w:color="auto"/>
            </w:tcBorders>
            <w:shd w:val="clear" w:color="auto" w:fill="auto"/>
            <w:vAlign w:val="center"/>
          </w:tcPr>
          <w:p w14:paraId="7E84BB41" w14:textId="77777777" w:rsidR="0035634F" w:rsidRPr="00653A24" w:rsidRDefault="004A7A82" w:rsidP="00E13849">
            <w:pPr>
              <w:autoSpaceDE w:val="0"/>
              <w:autoSpaceDN w:val="0"/>
              <w:adjustRightInd w:val="0"/>
              <w:rPr>
                <w:rFonts w:eastAsia="Calibri" w:cs="Arial"/>
                <w:b/>
                <w:bCs/>
                <w:i/>
                <w:iCs/>
                <w:color w:val="000000"/>
                <w:lang w:eastAsia="en-US"/>
              </w:rPr>
            </w:pPr>
            <w:r w:rsidRPr="00653A24">
              <w:rPr>
                <w:rFonts w:eastAsia="Calibri" w:cs="Arial"/>
                <w:b/>
                <w:bCs/>
                <w:i/>
                <w:iCs/>
                <w:color w:val="000000"/>
                <w:lang w:eastAsia="en-US"/>
              </w:rPr>
              <w:t>Local Income</w:t>
            </w:r>
          </w:p>
        </w:tc>
        <w:tc>
          <w:tcPr>
            <w:tcW w:w="1559" w:type="dxa"/>
            <w:tcBorders>
              <w:top w:val="single" w:sz="4" w:space="0" w:color="auto"/>
              <w:bottom w:val="single" w:sz="4" w:space="0" w:color="auto"/>
            </w:tcBorders>
            <w:vAlign w:val="center"/>
          </w:tcPr>
          <w:p w14:paraId="45109A4F" w14:textId="77777777" w:rsidR="0035634F" w:rsidRDefault="0035634F" w:rsidP="00E13849">
            <w:pPr>
              <w:autoSpaceDE w:val="0"/>
              <w:autoSpaceDN w:val="0"/>
              <w:adjustRightInd w:val="0"/>
              <w:jc w:val="right"/>
              <w:rPr>
                <w:rFonts w:eastAsia="Calibri" w:cs="Arial"/>
                <w:color w:val="00000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FC9F8B" w14:textId="77777777" w:rsidR="0035634F" w:rsidRPr="005D7A6E" w:rsidRDefault="0035634F" w:rsidP="00E13849">
            <w:pPr>
              <w:autoSpaceDE w:val="0"/>
              <w:autoSpaceDN w:val="0"/>
              <w:adjustRightInd w:val="0"/>
              <w:jc w:val="right"/>
              <w:rPr>
                <w:rFonts w:eastAsia="Calibri" w:cs="Arial"/>
                <w:color w:val="000000"/>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E815EF9" w14:textId="77777777" w:rsidR="0035634F" w:rsidRDefault="0035634F" w:rsidP="00E13849">
            <w:pPr>
              <w:autoSpaceDE w:val="0"/>
              <w:autoSpaceDN w:val="0"/>
              <w:adjustRightInd w:val="0"/>
              <w:jc w:val="right"/>
              <w:rPr>
                <w:rFonts w:eastAsia="Calibri" w:cs="Arial"/>
                <w:color w:val="000000"/>
                <w:lang w:eastAsia="en-US"/>
              </w:rPr>
            </w:pPr>
          </w:p>
        </w:tc>
      </w:tr>
      <w:tr w:rsidR="00C92CD8" w14:paraId="57FFEB52"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hideMark/>
          </w:tcPr>
          <w:p w14:paraId="6DE9B042" w14:textId="77777777" w:rsidR="0035634F" w:rsidRPr="005D7A6E" w:rsidRDefault="004A7A82" w:rsidP="00E13849">
            <w:pPr>
              <w:autoSpaceDE w:val="0"/>
              <w:autoSpaceDN w:val="0"/>
              <w:adjustRightInd w:val="0"/>
              <w:rPr>
                <w:rFonts w:eastAsia="Calibri" w:cs="Arial"/>
                <w:color w:val="000000"/>
                <w:lang w:eastAsia="en-US"/>
              </w:rPr>
            </w:pPr>
            <w:r w:rsidRPr="005D7A6E">
              <w:rPr>
                <w:rFonts w:eastAsia="Calibri" w:cs="Arial"/>
                <w:color w:val="000000"/>
                <w:lang w:eastAsia="en-US"/>
              </w:rPr>
              <w:t>Business Rates</w:t>
            </w:r>
          </w:p>
        </w:tc>
        <w:tc>
          <w:tcPr>
            <w:tcW w:w="1559" w:type="dxa"/>
            <w:tcBorders>
              <w:top w:val="single" w:sz="4" w:space="0" w:color="auto"/>
              <w:bottom w:val="single" w:sz="4" w:space="0" w:color="auto"/>
            </w:tcBorders>
            <w:vAlign w:val="center"/>
          </w:tcPr>
          <w:p w14:paraId="391BC079" w14:textId="77777777" w:rsidR="0035634F"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236.738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B3BC64" w14:textId="77777777" w:rsidR="0035634F"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252.868</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24F51C0" w14:textId="77777777" w:rsidR="0035634F"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16.130</w:t>
            </w:r>
          </w:p>
        </w:tc>
      </w:tr>
      <w:tr w:rsidR="00C92CD8" w14:paraId="32EC7657"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hideMark/>
          </w:tcPr>
          <w:p w14:paraId="0FF387F4" w14:textId="77777777" w:rsidR="0035634F" w:rsidRPr="005D7A6E" w:rsidRDefault="004A7A82" w:rsidP="00E13849">
            <w:pPr>
              <w:autoSpaceDE w:val="0"/>
              <w:autoSpaceDN w:val="0"/>
              <w:adjustRightInd w:val="0"/>
              <w:rPr>
                <w:rFonts w:eastAsia="Calibri" w:cs="Arial"/>
                <w:color w:val="000000"/>
                <w:lang w:eastAsia="en-US"/>
              </w:rPr>
            </w:pPr>
            <w:r w:rsidRPr="005D7A6E">
              <w:rPr>
                <w:rFonts w:eastAsia="Calibri" w:cs="Arial"/>
                <w:color w:val="000000"/>
                <w:lang w:eastAsia="en-US"/>
              </w:rPr>
              <w:t>Council Tax</w:t>
            </w:r>
          </w:p>
        </w:tc>
        <w:tc>
          <w:tcPr>
            <w:tcW w:w="1559" w:type="dxa"/>
            <w:tcBorders>
              <w:top w:val="single" w:sz="4" w:space="0" w:color="auto"/>
              <w:bottom w:val="single" w:sz="4" w:space="0" w:color="auto"/>
            </w:tcBorders>
            <w:vAlign w:val="center"/>
          </w:tcPr>
          <w:p w14:paraId="0CB342FB" w14:textId="77777777" w:rsidR="0035634F"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604.416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1D5885" w14:textId="77777777" w:rsidR="0035634F"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642.208</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4D9CF25" w14:textId="77777777" w:rsidR="0035634F"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37.792</w:t>
            </w:r>
          </w:p>
        </w:tc>
      </w:tr>
      <w:tr w:rsidR="00C92CD8" w14:paraId="6E356B0A"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hideMark/>
          </w:tcPr>
          <w:p w14:paraId="3484AE6A" w14:textId="77777777" w:rsidR="0035634F" w:rsidRPr="005D7A6E" w:rsidRDefault="004A7A82" w:rsidP="00E13849">
            <w:pPr>
              <w:autoSpaceDE w:val="0"/>
              <w:autoSpaceDN w:val="0"/>
              <w:adjustRightInd w:val="0"/>
              <w:rPr>
                <w:rFonts w:eastAsia="Calibri" w:cs="Arial"/>
                <w:color w:val="000000"/>
                <w:lang w:eastAsia="en-US"/>
              </w:rPr>
            </w:pPr>
            <w:r w:rsidRPr="005D7A6E">
              <w:rPr>
                <w:rFonts w:eastAsia="Calibri" w:cs="Arial"/>
                <w:color w:val="000000"/>
                <w:lang w:eastAsia="en-US"/>
              </w:rPr>
              <w:t>Collection Fund</w:t>
            </w:r>
          </w:p>
        </w:tc>
        <w:tc>
          <w:tcPr>
            <w:tcW w:w="1559" w:type="dxa"/>
            <w:tcBorders>
              <w:top w:val="single" w:sz="4" w:space="0" w:color="auto"/>
              <w:bottom w:val="single" w:sz="4" w:space="0" w:color="auto"/>
            </w:tcBorders>
            <w:vAlign w:val="center"/>
          </w:tcPr>
          <w:p w14:paraId="6123E4EF" w14:textId="77777777" w:rsidR="0035634F"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3.827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128927" w14:textId="77777777" w:rsidR="0035634F"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-2.079</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7247F54" w14:textId="77777777" w:rsidR="0035634F"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-5.906</w:t>
            </w:r>
          </w:p>
        </w:tc>
      </w:tr>
      <w:tr w:rsidR="00C92CD8" w14:paraId="591D9896"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tcPr>
          <w:p w14:paraId="12586150" w14:textId="77777777" w:rsidR="0035634F" w:rsidRPr="005D7A6E" w:rsidRDefault="004A7A82" w:rsidP="00E13849">
            <w:pPr>
              <w:autoSpaceDE w:val="0"/>
              <w:autoSpaceDN w:val="0"/>
              <w:adjustRightInd w:val="0"/>
              <w:rPr>
                <w:rFonts w:eastAsia="Calibri" w:cs="Arial"/>
                <w:color w:val="000000"/>
                <w:lang w:eastAsia="en-US"/>
              </w:rPr>
            </w:pPr>
            <w:r w:rsidRPr="00653A24">
              <w:rPr>
                <w:rFonts w:eastAsia="Calibri" w:cs="Arial"/>
                <w:b/>
                <w:bCs/>
                <w:i/>
                <w:iCs/>
                <w:color w:val="000000"/>
                <w:lang w:eastAsia="en-US"/>
              </w:rPr>
              <w:t>Sub-Total</w:t>
            </w:r>
          </w:p>
        </w:tc>
        <w:tc>
          <w:tcPr>
            <w:tcW w:w="1559" w:type="dxa"/>
            <w:tcBorders>
              <w:top w:val="single" w:sz="4" w:space="0" w:color="auto"/>
              <w:bottom w:val="single" w:sz="4" w:space="0" w:color="auto"/>
            </w:tcBorders>
            <w:vAlign w:val="center"/>
          </w:tcPr>
          <w:p w14:paraId="6399E525" w14:textId="77777777" w:rsidR="0035634F" w:rsidRPr="00F07211" w:rsidRDefault="004A7A82" w:rsidP="00E13849">
            <w:pPr>
              <w:autoSpaceDE w:val="0"/>
              <w:autoSpaceDN w:val="0"/>
              <w:adjustRightInd w:val="0"/>
              <w:jc w:val="right"/>
              <w:rPr>
                <w:rFonts w:eastAsia="Calibri" w:cs="Arial"/>
                <w:b/>
                <w:bCs/>
                <w:i/>
                <w:iCs/>
                <w:color w:val="000000"/>
                <w:lang w:eastAsia="en-US"/>
              </w:rPr>
            </w:pPr>
            <w:r w:rsidRPr="00F07211">
              <w:rPr>
                <w:rFonts w:eastAsia="Calibri" w:cs="Arial"/>
                <w:b/>
                <w:bCs/>
                <w:i/>
                <w:iCs/>
                <w:color w:val="000000"/>
                <w:lang w:eastAsia="en-US"/>
              </w:rPr>
              <w:t>844.981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F8A74B" w14:textId="77777777" w:rsidR="0035634F" w:rsidRPr="00F07211" w:rsidRDefault="004A7A82" w:rsidP="00E13849">
            <w:pPr>
              <w:autoSpaceDE w:val="0"/>
              <w:autoSpaceDN w:val="0"/>
              <w:adjustRightInd w:val="0"/>
              <w:jc w:val="right"/>
              <w:rPr>
                <w:rFonts w:eastAsia="Calibri" w:cs="Arial"/>
                <w:b/>
                <w:bCs/>
                <w:i/>
                <w:iCs/>
                <w:color w:val="000000"/>
                <w:lang w:eastAsia="en-US"/>
              </w:rPr>
            </w:pPr>
            <w:r>
              <w:rPr>
                <w:rFonts w:eastAsia="Calibri" w:cs="Arial"/>
                <w:b/>
                <w:bCs/>
                <w:i/>
                <w:iCs/>
                <w:color w:val="000000"/>
                <w:lang w:eastAsia="en-US"/>
              </w:rPr>
              <w:t>892.997</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B369C78" w14:textId="77777777" w:rsidR="0035634F" w:rsidRPr="00F07211" w:rsidRDefault="004A7A82" w:rsidP="00E13849">
            <w:pPr>
              <w:autoSpaceDE w:val="0"/>
              <w:autoSpaceDN w:val="0"/>
              <w:adjustRightInd w:val="0"/>
              <w:jc w:val="right"/>
              <w:rPr>
                <w:rFonts w:eastAsia="Calibri" w:cs="Arial"/>
                <w:b/>
                <w:bCs/>
                <w:i/>
                <w:iCs/>
                <w:color w:val="000000"/>
                <w:lang w:eastAsia="en-US"/>
              </w:rPr>
            </w:pPr>
            <w:r>
              <w:rPr>
                <w:rFonts w:eastAsia="Calibri" w:cs="Arial"/>
                <w:b/>
                <w:bCs/>
                <w:i/>
                <w:iCs/>
                <w:color w:val="000000"/>
                <w:lang w:eastAsia="en-US"/>
              </w:rPr>
              <w:t>48.016</w:t>
            </w:r>
          </w:p>
        </w:tc>
      </w:tr>
      <w:tr w:rsidR="00C92CD8" w14:paraId="149DEECE"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tcPr>
          <w:p w14:paraId="5F738908" w14:textId="77777777" w:rsidR="0035634F" w:rsidRPr="005D7A6E" w:rsidRDefault="0035634F" w:rsidP="00E13849">
            <w:pPr>
              <w:autoSpaceDE w:val="0"/>
              <w:autoSpaceDN w:val="0"/>
              <w:adjustRightInd w:val="0"/>
              <w:spacing w:after="120"/>
              <w:rPr>
                <w:rFonts w:eastAsia="Calibri" w:cs="Arial"/>
                <w:color w:val="000000"/>
                <w:lang w:eastAsia="en-US"/>
              </w:rPr>
            </w:pPr>
          </w:p>
        </w:tc>
        <w:tc>
          <w:tcPr>
            <w:tcW w:w="1559" w:type="dxa"/>
            <w:tcBorders>
              <w:top w:val="single" w:sz="4" w:space="0" w:color="auto"/>
              <w:bottom w:val="single" w:sz="4" w:space="0" w:color="auto"/>
            </w:tcBorders>
            <w:vAlign w:val="center"/>
          </w:tcPr>
          <w:p w14:paraId="6E5CF03D" w14:textId="77777777" w:rsidR="0035634F" w:rsidRDefault="0035634F" w:rsidP="00E13849">
            <w:pPr>
              <w:autoSpaceDE w:val="0"/>
              <w:autoSpaceDN w:val="0"/>
              <w:adjustRightInd w:val="0"/>
              <w:jc w:val="right"/>
              <w:rPr>
                <w:rFonts w:eastAsia="Calibri" w:cs="Arial"/>
                <w:color w:val="00000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79496B" w14:textId="77777777" w:rsidR="0035634F" w:rsidRPr="005D7A6E" w:rsidRDefault="0035634F" w:rsidP="00E13849">
            <w:pPr>
              <w:autoSpaceDE w:val="0"/>
              <w:autoSpaceDN w:val="0"/>
              <w:adjustRightInd w:val="0"/>
              <w:jc w:val="right"/>
              <w:rPr>
                <w:rFonts w:eastAsia="Calibri" w:cs="Arial"/>
                <w:color w:val="000000"/>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E02986B" w14:textId="77777777" w:rsidR="0035634F" w:rsidRDefault="0035634F" w:rsidP="00E13849">
            <w:pPr>
              <w:autoSpaceDE w:val="0"/>
              <w:autoSpaceDN w:val="0"/>
              <w:adjustRightInd w:val="0"/>
              <w:jc w:val="right"/>
              <w:rPr>
                <w:rFonts w:eastAsia="Calibri" w:cs="Arial"/>
                <w:color w:val="000000"/>
                <w:lang w:eastAsia="en-US"/>
              </w:rPr>
            </w:pPr>
          </w:p>
        </w:tc>
      </w:tr>
      <w:tr w:rsidR="00C92CD8" w14:paraId="32F73053"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tcPr>
          <w:p w14:paraId="09DF1594" w14:textId="77777777" w:rsidR="0035634F" w:rsidRPr="00653A24" w:rsidRDefault="004A7A82" w:rsidP="00E13849">
            <w:pPr>
              <w:autoSpaceDE w:val="0"/>
              <w:autoSpaceDN w:val="0"/>
              <w:adjustRightInd w:val="0"/>
              <w:rPr>
                <w:rFonts w:eastAsia="Calibri" w:cs="Arial"/>
                <w:b/>
                <w:bCs/>
                <w:i/>
                <w:iCs/>
                <w:color w:val="000000"/>
                <w:lang w:eastAsia="en-US"/>
              </w:rPr>
            </w:pPr>
            <w:r w:rsidRPr="00653A24">
              <w:rPr>
                <w:rFonts w:eastAsia="Calibri" w:cs="Arial"/>
                <w:b/>
                <w:bCs/>
                <w:i/>
                <w:iCs/>
                <w:color w:val="000000"/>
                <w:lang w:eastAsia="en-US"/>
              </w:rPr>
              <w:t>Other</w:t>
            </w:r>
          </w:p>
        </w:tc>
        <w:tc>
          <w:tcPr>
            <w:tcW w:w="1559" w:type="dxa"/>
            <w:tcBorders>
              <w:top w:val="single" w:sz="4" w:space="0" w:color="auto"/>
              <w:bottom w:val="single" w:sz="4" w:space="0" w:color="auto"/>
            </w:tcBorders>
            <w:vAlign w:val="center"/>
          </w:tcPr>
          <w:p w14:paraId="4E4B7FD8" w14:textId="77777777" w:rsidR="0035634F" w:rsidRDefault="0035634F" w:rsidP="00E13849">
            <w:pPr>
              <w:autoSpaceDE w:val="0"/>
              <w:autoSpaceDN w:val="0"/>
              <w:adjustRightInd w:val="0"/>
              <w:jc w:val="right"/>
              <w:rPr>
                <w:rFonts w:eastAsia="Calibri" w:cs="Arial"/>
                <w:color w:val="00000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745A55" w14:textId="77777777" w:rsidR="0035634F" w:rsidRPr="005D7A6E" w:rsidRDefault="0035634F" w:rsidP="00E13849">
            <w:pPr>
              <w:autoSpaceDE w:val="0"/>
              <w:autoSpaceDN w:val="0"/>
              <w:adjustRightInd w:val="0"/>
              <w:jc w:val="right"/>
              <w:rPr>
                <w:rFonts w:eastAsia="Calibri" w:cs="Arial"/>
                <w:color w:val="000000"/>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7BA590E" w14:textId="77777777" w:rsidR="0035634F" w:rsidRDefault="0035634F" w:rsidP="00E13849">
            <w:pPr>
              <w:autoSpaceDE w:val="0"/>
              <w:autoSpaceDN w:val="0"/>
              <w:adjustRightInd w:val="0"/>
              <w:jc w:val="right"/>
              <w:rPr>
                <w:rFonts w:eastAsia="Calibri" w:cs="Arial"/>
                <w:color w:val="000000"/>
                <w:lang w:eastAsia="en-US"/>
              </w:rPr>
            </w:pPr>
          </w:p>
        </w:tc>
      </w:tr>
      <w:tr w:rsidR="00C92CD8" w14:paraId="1F5D43E3"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tcPr>
          <w:p w14:paraId="5005A982" w14:textId="77777777" w:rsidR="0035634F" w:rsidRPr="005D7A6E" w:rsidRDefault="004A7A82" w:rsidP="00E13849">
            <w:pPr>
              <w:autoSpaceDE w:val="0"/>
              <w:autoSpaceDN w:val="0"/>
              <w:adjustRightInd w:val="0"/>
              <w:rPr>
                <w:rFonts w:eastAsia="Calibri" w:cs="Arial"/>
                <w:color w:val="000000"/>
                <w:lang w:eastAsia="en-US"/>
              </w:rPr>
            </w:pPr>
            <w:r w:rsidRPr="005D7A6E">
              <w:rPr>
                <w:rFonts w:eastAsia="Calibri" w:cs="Arial"/>
                <w:color w:val="000000"/>
                <w:lang w:eastAsia="en-US"/>
              </w:rPr>
              <w:t>Capital Receipts</w:t>
            </w:r>
          </w:p>
        </w:tc>
        <w:tc>
          <w:tcPr>
            <w:tcW w:w="1559" w:type="dxa"/>
            <w:tcBorders>
              <w:top w:val="single" w:sz="4" w:space="0" w:color="auto"/>
              <w:bottom w:val="single" w:sz="4" w:space="0" w:color="auto"/>
            </w:tcBorders>
            <w:vAlign w:val="center"/>
          </w:tcPr>
          <w:p w14:paraId="0444B367" w14:textId="77777777" w:rsidR="0035634F"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A31B5B" w14:textId="77777777" w:rsidR="0035634F" w:rsidRPr="005D7A6E" w:rsidRDefault="004A7A82" w:rsidP="00E13849">
            <w:pPr>
              <w:autoSpaceDE w:val="0"/>
              <w:autoSpaceDN w:val="0"/>
              <w:adjustRightInd w:val="0"/>
              <w:jc w:val="right"/>
              <w:rPr>
                <w:rFonts w:eastAsia="Calibri" w:cs="Arial"/>
                <w:color w:val="000000"/>
                <w:lang w:eastAsia="en-US"/>
              </w:rPr>
            </w:pPr>
            <w:r w:rsidRPr="005D7A6E">
              <w:rPr>
                <w:rFonts w:eastAsia="Calibri" w:cs="Arial"/>
                <w:color w:val="000000"/>
                <w:lang w:eastAsia="en-US"/>
              </w:rPr>
              <w:t>5.000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E5D60F4" w14:textId="77777777" w:rsidR="0035634F" w:rsidRPr="005D7A6E" w:rsidRDefault="004A7A82" w:rsidP="00E13849">
            <w:pPr>
              <w:autoSpaceDE w:val="0"/>
              <w:autoSpaceDN w:val="0"/>
              <w:adjustRightInd w:val="0"/>
              <w:jc w:val="right"/>
              <w:rPr>
                <w:rFonts w:eastAsia="Calibri" w:cs="Arial"/>
                <w:color w:val="000000"/>
                <w:lang w:eastAsia="en-US"/>
              </w:rPr>
            </w:pPr>
            <w:r>
              <w:rPr>
                <w:rFonts w:eastAsia="Calibri" w:cs="Arial"/>
                <w:color w:val="000000"/>
                <w:lang w:eastAsia="en-US"/>
              </w:rPr>
              <w:t>0.000</w:t>
            </w:r>
          </w:p>
        </w:tc>
      </w:tr>
      <w:tr w:rsidR="00C92CD8" w14:paraId="60DF3D1B"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tcPr>
          <w:p w14:paraId="58022DBC" w14:textId="77777777" w:rsidR="0035634F" w:rsidRPr="005D7A6E" w:rsidRDefault="004A7A82" w:rsidP="00E13849">
            <w:pPr>
              <w:autoSpaceDE w:val="0"/>
              <w:autoSpaceDN w:val="0"/>
              <w:adjustRightInd w:val="0"/>
              <w:rPr>
                <w:rFonts w:eastAsia="Calibri" w:cs="Arial"/>
                <w:color w:val="000000"/>
                <w:lang w:eastAsia="en-US"/>
              </w:rPr>
            </w:pPr>
            <w:r w:rsidRPr="00653A24">
              <w:rPr>
                <w:rFonts w:eastAsia="Calibri" w:cs="Arial"/>
                <w:b/>
                <w:bCs/>
                <w:i/>
                <w:iCs/>
                <w:color w:val="000000"/>
                <w:lang w:eastAsia="en-US"/>
              </w:rPr>
              <w:t>Sub-Total</w:t>
            </w:r>
          </w:p>
        </w:tc>
        <w:tc>
          <w:tcPr>
            <w:tcW w:w="1559" w:type="dxa"/>
            <w:tcBorders>
              <w:top w:val="single" w:sz="4" w:space="0" w:color="auto"/>
              <w:bottom w:val="single" w:sz="4" w:space="0" w:color="auto"/>
            </w:tcBorders>
            <w:vAlign w:val="center"/>
          </w:tcPr>
          <w:p w14:paraId="66A17011" w14:textId="77777777" w:rsidR="0035634F" w:rsidRPr="00F07211" w:rsidRDefault="004A7A82" w:rsidP="00E13849">
            <w:pPr>
              <w:autoSpaceDE w:val="0"/>
              <w:autoSpaceDN w:val="0"/>
              <w:adjustRightInd w:val="0"/>
              <w:jc w:val="right"/>
              <w:rPr>
                <w:rFonts w:eastAsia="Calibri" w:cs="Arial"/>
                <w:b/>
                <w:bCs/>
                <w:i/>
                <w:iCs/>
                <w:color w:val="000000"/>
                <w:lang w:eastAsia="en-US"/>
              </w:rPr>
            </w:pPr>
            <w:r w:rsidRPr="00F07211">
              <w:rPr>
                <w:rFonts w:eastAsia="Calibri" w:cs="Arial"/>
                <w:b/>
                <w:bCs/>
                <w:i/>
                <w:iCs/>
                <w:color w:val="000000"/>
                <w:lang w:eastAsia="en-US"/>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553628" w14:textId="77777777" w:rsidR="0035634F" w:rsidRPr="00F07211" w:rsidRDefault="004A7A82" w:rsidP="00E13849">
            <w:pPr>
              <w:autoSpaceDE w:val="0"/>
              <w:autoSpaceDN w:val="0"/>
              <w:adjustRightInd w:val="0"/>
              <w:jc w:val="right"/>
              <w:rPr>
                <w:rFonts w:eastAsia="Calibri" w:cs="Arial"/>
                <w:b/>
                <w:bCs/>
                <w:i/>
                <w:iCs/>
                <w:color w:val="000000"/>
                <w:lang w:eastAsia="en-US"/>
              </w:rPr>
            </w:pPr>
            <w:r w:rsidRPr="00F07211">
              <w:rPr>
                <w:rFonts w:eastAsia="Calibri" w:cs="Arial"/>
                <w:b/>
                <w:bCs/>
                <w:i/>
                <w:iCs/>
                <w:color w:val="000000"/>
                <w:lang w:eastAsia="en-US"/>
              </w:rPr>
              <w:t>5.000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20B91A6" w14:textId="77777777" w:rsidR="0035634F" w:rsidRPr="00F07211" w:rsidRDefault="004A7A82" w:rsidP="00E13849">
            <w:pPr>
              <w:autoSpaceDE w:val="0"/>
              <w:autoSpaceDN w:val="0"/>
              <w:adjustRightInd w:val="0"/>
              <w:jc w:val="right"/>
              <w:rPr>
                <w:rFonts w:eastAsia="Calibri" w:cs="Arial"/>
                <w:b/>
                <w:bCs/>
                <w:i/>
                <w:iCs/>
                <w:color w:val="000000"/>
                <w:lang w:eastAsia="en-US"/>
              </w:rPr>
            </w:pPr>
            <w:r w:rsidRPr="00F07211">
              <w:rPr>
                <w:rFonts w:eastAsia="Calibri" w:cs="Arial"/>
                <w:b/>
                <w:bCs/>
                <w:i/>
                <w:iCs/>
                <w:color w:val="000000"/>
                <w:lang w:eastAsia="en-US"/>
              </w:rPr>
              <w:t>0.000</w:t>
            </w:r>
          </w:p>
        </w:tc>
      </w:tr>
      <w:tr w:rsidR="00C92CD8" w14:paraId="73FAFFBE"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auto"/>
            <w:vAlign w:val="center"/>
          </w:tcPr>
          <w:p w14:paraId="6F3830AA" w14:textId="77777777" w:rsidR="0035634F" w:rsidRPr="005D7A6E" w:rsidRDefault="0035634F" w:rsidP="00E13849">
            <w:pPr>
              <w:autoSpaceDE w:val="0"/>
              <w:autoSpaceDN w:val="0"/>
              <w:adjustRightInd w:val="0"/>
              <w:spacing w:after="120"/>
              <w:rPr>
                <w:rFonts w:eastAsia="Calibri" w:cs="Arial"/>
                <w:color w:val="000000"/>
                <w:lang w:eastAsia="en-US"/>
              </w:rPr>
            </w:pPr>
          </w:p>
        </w:tc>
        <w:tc>
          <w:tcPr>
            <w:tcW w:w="1559" w:type="dxa"/>
            <w:tcBorders>
              <w:top w:val="single" w:sz="4" w:space="0" w:color="auto"/>
              <w:bottom w:val="single" w:sz="4" w:space="0" w:color="auto"/>
            </w:tcBorders>
            <w:vAlign w:val="center"/>
          </w:tcPr>
          <w:p w14:paraId="59AFCD43" w14:textId="77777777" w:rsidR="0035634F" w:rsidRDefault="0035634F" w:rsidP="00E13849">
            <w:pPr>
              <w:autoSpaceDE w:val="0"/>
              <w:autoSpaceDN w:val="0"/>
              <w:adjustRightInd w:val="0"/>
              <w:jc w:val="right"/>
              <w:rPr>
                <w:rFonts w:eastAsia="Calibri" w:cs="Arial"/>
                <w:color w:val="00000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626592" w14:textId="77777777" w:rsidR="0035634F" w:rsidRPr="005D7A6E" w:rsidRDefault="0035634F" w:rsidP="00E13849">
            <w:pPr>
              <w:autoSpaceDE w:val="0"/>
              <w:autoSpaceDN w:val="0"/>
              <w:adjustRightInd w:val="0"/>
              <w:jc w:val="right"/>
              <w:rPr>
                <w:rFonts w:eastAsia="Calibri" w:cs="Arial"/>
                <w:color w:val="000000"/>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1DF70E7" w14:textId="77777777" w:rsidR="0035634F" w:rsidRDefault="0035634F" w:rsidP="00E13849">
            <w:pPr>
              <w:autoSpaceDE w:val="0"/>
              <w:autoSpaceDN w:val="0"/>
              <w:adjustRightInd w:val="0"/>
              <w:jc w:val="right"/>
              <w:rPr>
                <w:rFonts w:eastAsia="Calibri" w:cs="Arial"/>
                <w:color w:val="000000"/>
                <w:lang w:eastAsia="en-US"/>
              </w:rPr>
            </w:pPr>
          </w:p>
        </w:tc>
      </w:tr>
      <w:tr w:rsidR="00C92CD8" w14:paraId="56B593E9" w14:textId="77777777" w:rsidTr="00E13849">
        <w:trPr>
          <w:trHeight w:val="425"/>
          <w:jc w:val="center"/>
        </w:trPr>
        <w:tc>
          <w:tcPr>
            <w:tcW w:w="3539" w:type="dxa"/>
            <w:tcBorders>
              <w:top w:val="single" w:sz="4" w:space="0" w:color="auto"/>
              <w:bottom w:val="single" w:sz="4" w:space="0" w:color="auto"/>
              <w:right w:val="single" w:sz="4" w:space="0" w:color="auto"/>
            </w:tcBorders>
            <w:shd w:val="clear" w:color="auto" w:fill="BFBFBF"/>
            <w:vAlign w:val="center"/>
          </w:tcPr>
          <w:p w14:paraId="7F321435" w14:textId="77777777" w:rsidR="0035634F" w:rsidRPr="005D7A6E" w:rsidRDefault="004A7A82" w:rsidP="00E13849">
            <w:pPr>
              <w:autoSpaceDE w:val="0"/>
              <w:autoSpaceDN w:val="0"/>
              <w:adjustRightInd w:val="0"/>
              <w:jc w:val="both"/>
              <w:rPr>
                <w:rFonts w:eastAsia="Calibri" w:cs="Arial"/>
                <w:b/>
                <w:color w:val="000000"/>
                <w:lang w:eastAsia="en-US"/>
              </w:rPr>
            </w:pPr>
            <w:r w:rsidRPr="005D7A6E">
              <w:rPr>
                <w:rFonts w:eastAsia="Calibri" w:cs="Arial"/>
                <w:b/>
                <w:color w:val="000000"/>
                <w:lang w:eastAsia="en-US"/>
              </w:rPr>
              <w:t>Total</w:t>
            </w:r>
          </w:p>
        </w:tc>
        <w:tc>
          <w:tcPr>
            <w:tcW w:w="1559" w:type="dxa"/>
            <w:tcBorders>
              <w:top w:val="single" w:sz="4" w:space="0" w:color="auto"/>
              <w:bottom w:val="single" w:sz="4" w:space="0" w:color="auto"/>
            </w:tcBorders>
            <w:shd w:val="clear" w:color="auto" w:fill="BFBFBF"/>
            <w:vAlign w:val="center"/>
          </w:tcPr>
          <w:p w14:paraId="3F3E33A9" w14:textId="77777777" w:rsidR="0035634F" w:rsidRPr="005D7A6E" w:rsidRDefault="004A7A82" w:rsidP="00E13849">
            <w:pPr>
              <w:autoSpaceDE w:val="0"/>
              <w:autoSpaceDN w:val="0"/>
              <w:adjustRightInd w:val="0"/>
              <w:jc w:val="right"/>
              <w:rPr>
                <w:rFonts w:eastAsia="Times New Roman" w:cs="Arial"/>
                <w:b/>
                <w:bCs/>
                <w:color w:val="000000"/>
                <w:lang w:eastAsia="en-US"/>
              </w:rPr>
            </w:pPr>
            <w:r>
              <w:rPr>
                <w:rFonts w:eastAsia="Times New Roman" w:cs="Arial"/>
                <w:b/>
                <w:bCs/>
                <w:color w:val="000000"/>
                <w:lang w:eastAsia="en-US"/>
              </w:rPr>
              <w:t>1039.046</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14:paraId="50509E5B" w14:textId="77777777" w:rsidR="0035634F" w:rsidRPr="005D7A6E" w:rsidRDefault="004A7A82" w:rsidP="00E13849">
            <w:pPr>
              <w:autoSpaceDE w:val="0"/>
              <w:autoSpaceDN w:val="0"/>
              <w:adjustRightInd w:val="0"/>
              <w:jc w:val="right"/>
              <w:rPr>
                <w:rFonts w:eastAsia="Times New Roman" w:cs="Arial"/>
                <w:b/>
                <w:bCs/>
                <w:color w:val="000000"/>
                <w:lang w:eastAsia="en-US"/>
              </w:rPr>
            </w:pPr>
            <w:r>
              <w:rPr>
                <w:rFonts w:eastAsia="Times New Roman" w:cs="Arial"/>
                <w:b/>
                <w:bCs/>
                <w:color w:val="000000"/>
                <w:lang w:eastAsia="en-US"/>
              </w:rPr>
              <w:t>1,111.754</w:t>
            </w:r>
          </w:p>
        </w:tc>
        <w:tc>
          <w:tcPr>
            <w:tcW w:w="1702" w:type="dxa"/>
            <w:tcBorders>
              <w:top w:val="single" w:sz="4" w:space="0" w:color="auto"/>
              <w:left w:val="single" w:sz="4" w:space="0" w:color="auto"/>
              <w:bottom w:val="single" w:sz="4" w:space="0" w:color="auto"/>
              <w:right w:val="single" w:sz="4" w:space="0" w:color="auto"/>
            </w:tcBorders>
            <w:shd w:val="clear" w:color="auto" w:fill="BFBFBF"/>
            <w:vAlign w:val="center"/>
          </w:tcPr>
          <w:p w14:paraId="3FD7D93B" w14:textId="77777777" w:rsidR="0035634F" w:rsidRPr="005D7A6E" w:rsidRDefault="004A7A82" w:rsidP="00E13849">
            <w:pPr>
              <w:autoSpaceDE w:val="0"/>
              <w:autoSpaceDN w:val="0"/>
              <w:adjustRightInd w:val="0"/>
              <w:jc w:val="right"/>
              <w:rPr>
                <w:rFonts w:eastAsia="Times New Roman" w:cs="Arial"/>
                <w:b/>
                <w:bCs/>
                <w:color w:val="000000"/>
                <w:lang w:eastAsia="en-US"/>
              </w:rPr>
            </w:pPr>
            <w:r>
              <w:rPr>
                <w:rFonts w:eastAsia="Times New Roman" w:cs="Arial"/>
                <w:b/>
                <w:bCs/>
                <w:color w:val="000000"/>
                <w:lang w:eastAsia="en-US"/>
              </w:rPr>
              <w:t>72.708</w:t>
            </w:r>
          </w:p>
        </w:tc>
      </w:tr>
    </w:tbl>
    <w:p w14:paraId="586964C3" w14:textId="77777777" w:rsidR="0035634F" w:rsidRDefault="0035634F" w:rsidP="00E61820">
      <w:pPr>
        <w:jc w:val="both"/>
        <w:rPr>
          <w:rFonts w:eastAsia="Times New Roman" w:cs="Arial"/>
          <w:b/>
          <w:i/>
          <w:iCs/>
          <w:color w:val="000000"/>
          <w:u w:val="single"/>
        </w:rPr>
      </w:pPr>
    </w:p>
    <w:p w14:paraId="0CDA3B9D" w14:textId="77777777" w:rsidR="00467834" w:rsidRDefault="00467834" w:rsidP="00E61820">
      <w:pPr>
        <w:jc w:val="both"/>
        <w:rPr>
          <w:rFonts w:eastAsia="Times New Roman" w:cs="Arial"/>
          <w:b/>
          <w:color w:val="000000"/>
        </w:rPr>
      </w:pPr>
    </w:p>
    <w:p w14:paraId="4D92BC0A" w14:textId="471F96E5" w:rsidR="00B110AE" w:rsidRDefault="00B110AE" w:rsidP="1296B87A">
      <w:pPr>
        <w:rPr>
          <w:rFonts w:cs="Arial"/>
          <w:b/>
          <w:bCs/>
        </w:rPr>
      </w:pPr>
    </w:p>
    <w:p w14:paraId="72D9A505" w14:textId="77777777" w:rsidR="0035634F" w:rsidRDefault="0035634F" w:rsidP="1296B87A">
      <w:pPr>
        <w:rPr>
          <w:rFonts w:cs="Arial"/>
          <w:b/>
          <w:bCs/>
        </w:rPr>
      </w:pPr>
    </w:p>
    <w:p w14:paraId="0FACDA3B" w14:textId="3A0209AF" w:rsidR="00B110AE" w:rsidRDefault="00B110AE" w:rsidP="1296B87A">
      <w:pPr>
        <w:rPr>
          <w:rFonts w:cs="Arial"/>
          <w:b/>
          <w:bCs/>
        </w:rPr>
      </w:pPr>
    </w:p>
    <w:p w14:paraId="35BDAD1A" w14:textId="317D5F80" w:rsidR="00B110AE" w:rsidRDefault="00B110AE" w:rsidP="1296B87A">
      <w:pPr>
        <w:rPr>
          <w:rFonts w:cs="Arial"/>
          <w:b/>
          <w:bCs/>
        </w:rPr>
      </w:pPr>
    </w:p>
    <w:p w14:paraId="39F93C85" w14:textId="762D8B8F" w:rsidR="00B110AE" w:rsidRDefault="00B110AE" w:rsidP="1296B87A">
      <w:pPr>
        <w:rPr>
          <w:rFonts w:cs="Arial"/>
          <w:b/>
          <w:bCs/>
        </w:rPr>
      </w:pPr>
    </w:p>
    <w:p w14:paraId="70FD9559" w14:textId="6BA2B6B4" w:rsidR="0081500E" w:rsidRDefault="004A7A82" w:rsidP="1296B87A">
      <w:pPr>
        <w:autoSpaceDE w:val="0"/>
        <w:autoSpaceDN w:val="0"/>
        <w:adjustRightInd w:val="0"/>
        <w:jc w:val="both"/>
        <w:rPr>
          <w:rFonts w:eastAsia="Calibri" w:cs="Helvetica-Light"/>
          <w:b/>
          <w:bCs/>
          <w:color w:val="000000"/>
        </w:rPr>
      </w:pPr>
      <w:r w:rsidRPr="1296B87A">
        <w:rPr>
          <w:rFonts w:eastAsia="Calibri" w:cs="Helvetica-Light"/>
          <w:b/>
          <w:bCs/>
          <w:color w:val="000000" w:themeColor="text1"/>
        </w:rPr>
        <w:lastRenderedPageBreak/>
        <w:t>10.</w:t>
      </w:r>
      <w:r w:rsidR="00DF6D2C">
        <w:rPr>
          <w:rFonts w:eastAsia="Calibri" w:cs="Helvetica-Light"/>
          <w:b/>
          <w:bCs/>
          <w:color w:val="000000" w:themeColor="text1"/>
        </w:rPr>
        <w:t>1</w:t>
      </w:r>
      <w:r w:rsidR="00F25CF5">
        <w:tab/>
      </w:r>
      <w:r w:rsidR="56B22C8A" w:rsidRPr="1296B87A">
        <w:rPr>
          <w:rFonts w:eastAsia="Calibri" w:cs="Helvetica-Light"/>
          <w:b/>
          <w:bCs/>
          <w:color w:val="000000" w:themeColor="text1"/>
        </w:rPr>
        <w:t>Government Grants</w:t>
      </w:r>
    </w:p>
    <w:p w14:paraId="2324971A" w14:textId="0725F091" w:rsidR="2165DDB2" w:rsidRDefault="2165DDB2" w:rsidP="2165DDB2">
      <w:pPr>
        <w:jc w:val="both"/>
        <w:rPr>
          <w:rFonts w:eastAsia="Calibri" w:cs="Helvetica-Light"/>
          <w:b/>
          <w:bCs/>
          <w:color w:val="000000" w:themeColor="text1"/>
        </w:rPr>
      </w:pPr>
    </w:p>
    <w:p w14:paraId="0A6CEDC5" w14:textId="68D6249E" w:rsidR="00571BE3" w:rsidRDefault="004A7A82" w:rsidP="00352305">
      <w:pPr>
        <w:autoSpaceDE w:val="0"/>
        <w:autoSpaceDN w:val="0"/>
        <w:adjustRightInd w:val="0"/>
        <w:ind w:left="720" w:hanging="720"/>
        <w:jc w:val="both"/>
        <w:rPr>
          <w:rFonts w:eastAsia="Calibri" w:cs="Helvetica-Light"/>
          <w:bCs/>
          <w:color w:val="000000"/>
        </w:rPr>
      </w:pPr>
      <w:r>
        <w:rPr>
          <w:rFonts w:eastAsia="Calibri" w:cs="Helvetica-Light"/>
          <w:bCs/>
          <w:color w:val="000000"/>
        </w:rPr>
        <w:t>10.</w:t>
      </w:r>
      <w:r w:rsidR="00DF6D2C">
        <w:rPr>
          <w:rFonts w:eastAsia="Calibri" w:cs="Helvetica-Light"/>
          <w:bCs/>
          <w:color w:val="000000"/>
        </w:rPr>
        <w:t>1</w:t>
      </w:r>
      <w:r w:rsidR="00F25CF5">
        <w:rPr>
          <w:rFonts w:eastAsia="Calibri" w:cs="Helvetica-Light"/>
          <w:bCs/>
          <w:color w:val="000000"/>
        </w:rPr>
        <w:t>1</w:t>
      </w:r>
      <w:r w:rsidR="0081500E">
        <w:rPr>
          <w:rFonts w:eastAsia="Calibri" w:cs="Helvetica-Light"/>
          <w:bCs/>
          <w:color w:val="000000"/>
        </w:rPr>
        <w:tab/>
      </w:r>
      <w:r>
        <w:rPr>
          <w:rFonts w:eastAsia="Calibri" w:cs="Helvetica-Light"/>
          <w:bCs/>
          <w:color w:val="000000"/>
        </w:rPr>
        <w:t>In 2024/25, the county council will receive c£2</w:t>
      </w:r>
      <w:r w:rsidR="006C1A07">
        <w:rPr>
          <w:rFonts w:eastAsia="Calibri" w:cs="Helvetica-Light"/>
          <w:bCs/>
          <w:color w:val="000000"/>
        </w:rPr>
        <w:t>1</w:t>
      </w:r>
      <w:r w:rsidR="00D203F5">
        <w:rPr>
          <w:rFonts w:eastAsia="Calibri" w:cs="Helvetica-Light"/>
          <w:bCs/>
          <w:color w:val="000000"/>
        </w:rPr>
        <w:t>4</w:t>
      </w:r>
      <w:r>
        <w:rPr>
          <w:rFonts w:eastAsia="Calibri" w:cs="Helvetica-Light"/>
          <w:bCs/>
          <w:color w:val="000000"/>
        </w:rPr>
        <w:t xml:space="preserve">m of government grants to support the funding of services. </w:t>
      </w:r>
      <w:r w:rsidR="00971837">
        <w:rPr>
          <w:rFonts w:eastAsia="Calibri" w:cs="Helvetica-Light"/>
          <w:bCs/>
          <w:color w:val="000000"/>
        </w:rPr>
        <w:t xml:space="preserve">An additional </w:t>
      </w:r>
      <w:r w:rsidR="00D203F5">
        <w:rPr>
          <w:rFonts w:eastAsia="Calibri" w:cs="Helvetica-Light"/>
          <w:bCs/>
          <w:color w:val="000000"/>
        </w:rPr>
        <w:t>c</w:t>
      </w:r>
      <w:r w:rsidR="00971837">
        <w:rPr>
          <w:rFonts w:eastAsia="Calibri" w:cs="Helvetica-Light"/>
          <w:bCs/>
          <w:color w:val="000000"/>
        </w:rPr>
        <w:t>£</w:t>
      </w:r>
      <w:r w:rsidR="00B96C81">
        <w:rPr>
          <w:rFonts w:eastAsia="Calibri" w:cs="Helvetica-Light"/>
          <w:bCs/>
          <w:color w:val="000000"/>
        </w:rPr>
        <w:t>2</w:t>
      </w:r>
      <w:r w:rsidR="00D203F5">
        <w:rPr>
          <w:rFonts w:eastAsia="Calibri" w:cs="Helvetica-Light"/>
          <w:bCs/>
          <w:color w:val="000000"/>
        </w:rPr>
        <w:t>5</w:t>
      </w:r>
      <w:r w:rsidR="00971837">
        <w:rPr>
          <w:rFonts w:eastAsia="Calibri" w:cs="Helvetica-Light"/>
          <w:bCs/>
          <w:color w:val="000000"/>
        </w:rPr>
        <w:t>m of government grants have been received in 202</w:t>
      </w:r>
      <w:r w:rsidR="001072CC">
        <w:rPr>
          <w:rFonts w:eastAsia="Calibri" w:cs="Helvetica-Light"/>
          <w:bCs/>
          <w:color w:val="000000"/>
        </w:rPr>
        <w:t>4</w:t>
      </w:r>
      <w:r w:rsidR="00971837">
        <w:rPr>
          <w:rFonts w:eastAsia="Calibri" w:cs="Helvetica-Light"/>
          <w:bCs/>
          <w:color w:val="000000"/>
        </w:rPr>
        <w:t>/2</w:t>
      </w:r>
      <w:r w:rsidR="001072CC">
        <w:rPr>
          <w:rFonts w:eastAsia="Calibri" w:cs="Helvetica-Light"/>
          <w:bCs/>
          <w:color w:val="000000"/>
        </w:rPr>
        <w:t>5</w:t>
      </w:r>
      <w:r w:rsidR="00971837">
        <w:rPr>
          <w:rFonts w:eastAsia="Calibri" w:cs="Helvetica-Light"/>
          <w:bCs/>
          <w:color w:val="000000"/>
        </w:rPr>
        <w:t xml:space="preserve"> when compar</w:t>
      </w:r>
      <w:r w:rsidR="001072CC">
        <w:rPr>
          <w:rFonts w:eastAsia="Calibri" w:cs="Helvetica-Light"/>
          <w:bCs/>
          <w:color w:val="000000"/>
        </w:rPr>
        <w:t>e</w:t>
      </w:r>
      <w:r w:rsidR="00971837">
        <w:rPr>
          <w:rFonts w:eastAsia="Calibri" w:cs="Helvetica-Light"/>
          <w:bCs/>
          <w:color w:val="000000"/>
        </w:rPr>
        <w:t>d to 202</w:t>
      </w:r>
      <w:r w:rsidR="001072CC">
        <w:rPr>
          <w:rFonts w:eastAsia="Calibri" w:cs="Helvetica-Light"/>
          <w:bCs/>
          <w:color w:val="000000"/>
        </w:rPr>
        <w:t xml:space="preserve">3/24. Details of the specific changes are provided below as each grant is discussed. </w:t>
      </w:r>
    </w:p>
    <w:p w14:paraId="56E054EC" w14:textId="77777777" w:rsidR="00571BE3" w:rsidRDefault="00571BE3" w:rsidP="00410A02">
      <w:pPr>
        <w:autoSpaceDE w:val="0"/>
        <w:autoSpaceDN w:val="0"/>
        <w:adjustRightInd w:val="0"/>
        <w:jc w:val="both"/>
        <w:rPr>
          <w:rFonts w:eastAsia="Calibri" w:cs="Helvetica-Light"/>
          <w:bCs/>
          <w:color w:val="000000"/>
        </w:rPr>
      </w:pPr>
    </w:p>
    <w:p w14:paraId="352F07DE" w14:textId="3A5469CC" w:rsidR="00DF3C54" w:rsidRDefault="004A7A82" w:rsidP="00426DF7">
      <w:pPr>
        <w:autoSpaceDE w:val="0"/>
        <w:autoSpaceDN w:val="0"/>
        <w:adjustRightInd w:val="0"/>
        <w:ind w:left="720" w:hanging="720"/>
        <w:jc w:val="both"/>
        <w:rPr>
          <w:rFonts w:eastAsia="Calibri" w:cs="Helvetica-Light"/>
          <w:bCs/>
          <w:color w:val="000000"/>
        </w:rPr>
      </w:pPr>
      <w:r>
        <w:rPr>
          <w:rFonts w:eastAsia="Calibri" w:cs="Helvetica-Light"/>
          <w:bCs/>
          <w:color w:val="000000"/>
        </w:rPr>
        <w:t>10.</w:t>
      </w:r>
      <w:r w:rsidR="00DF6D2C">
        <w:rPr>
          <w:rFonts w:eastAsia="Calibri" w:cs="Helvetica-Light"/>
          <w:bCs/>
          <w:color w:val="000000"/>
        </w:rPr>
        <w:t>1</w:t>
      </w:r>
      <w:r>
        <w:rPr>
          <w:rFonts w:eastAsia="Calibri" w:cs="Helvetica-Light"/>
          <w:bCs/>
          <w:color w:val="000000"/>
        </w:rPr>
        <w:t>2</w:t>
      </w:r>
      <w:r>
        <w:rPr>
          <w:rFonts w:eastAsia="Calibri" w:cs="Helvetica-Light"/>
          <w:bCs/>
          <w:color w:val="000000"/>
        </w:rPr>
        <w:tab/>
      </w:r>
      <w:r w:rsidR="00F661A9">
        <w:rPr>
          <w:rFonts w:eastAsia="Calibri" w:cs="Helvetica-Light"/>
          <w:bCs/>
          <w:color w:val="000000"/>
        </w:rPr>
        <w:t xml:space="preserve">The level of government grants </w:t>
      </w:r>
      <w:r w:rsidR="00E714B3">
        <w:rPr>
          <w:rFonts w:eastAsia="Calibri" w:cs="Helvetica-Light"/>
          <w:bCs/>
          <w:color w:val="000000"/>
        </w:rPr>
        <w:t xml:space="preserve">reflects the </w:t>
      </w:r>
      <w:r w:rsidR="006B353F">
        <w:rPr>
          <w:rFonts w:eastAsia="Calibri" w:cs="Helvetica-Light"/>
          <w:bCs/>
          <w:color w:val="000000"/>
        </w:rPr>
        <w:t xml:space="preserve">allocations outlined in the final settlement. This includes an additional £11.5m </w:t>
      </w:r>
      <w:r w:rsidR="00B363D6">
        <w:rPr>
          <w:rFonts w:eastAsia="Calibri" w:cs="Helvetica-Light"/>
          <w:bCs/>
          <w:color w:val="000000"/>
        </w:rPr>
        <w:t>social care grant</w:t>
      </w:r>
      <w:r w:rsidR="00F00FD1">
        <w:rPr>
          <w:rFonts w:eastAsia="Calibri" w:cs="Helvetica-Light"/>
          <w:bCs/>
          <w:color w:val="000000"/>
        </w:rPr>
        <w:t xml:space="preserve"> announced between the provisional settlement and final settlement</w:t>
      </w:r>
      <w:r w:rsidR="00B363D6">
        <w:rPr>
          <w:rFonts w:eastAsia="Calibri" w:cs="Helvetica-Light"/>
          <w:bCs/>
          <w:color w:val="000000"/>
        </w:rPr>
        <w:t xml:space="preserve">. </w:t>
      </w:r>
    </w:p>
    <w:p w14:paraId="18B68A91" w14:textId="77777777" w:rsidR="00DF3C54" w:rsidRDefault="00DF3C54" w:rsidP="00426DF7">
      <w:pPr>
        <w:autoSpaceDE w:val="0"/>
        <w:autoSpaceDN w:val="0"/>
        <w:adjustRightInd w:val="0"/>
        <w:jc w:val="both"/>
        <w:rPr>
          <w:rFonts w:eastAsia="Calibri" w:cs="Helvetica-Light"/>
          <w:bCs/>
          <w:color w:val="000000"/>
        </w:rPr>
      </w:pPr>
    </w:p>
    <w:p w14:paraId="11AD84BA" w14:textId="735016C4" w:rsidR="00352305" w:rsidRDefault="004A7A82" w:rsidP="00426DF7">
      <w:pPr>
        <w:autoSpaceDE w:val="0"/>
        <w:autoSpaceDN w:val="0"/>
        <w:adjustRightInd w:val="0"/>
        <w:ind w:left="720" w:hanging="720"/>
        <w:jc w:val="both"/>
        <w:rPr>
          <w:rFonts w:eastAsia="Calibri" w:cs="Helvetica-Light"/>
          <w:bCs/>
          <w:color w:val="000000"/>
        </w:rPr>
      </w:pPr>
      <w:r>
        <w:rPr>
          <w:rFonts w:eastAsia="Calibri" w:cs="Helvetica-Light"/>
          <w:bCs/>
          <w:color w:val="000000"/>
        </w:rPr>
        <w:t>10.</w:t>
      </w:r>
      <w:r w:rsidR="00DF6D2C">
        <w:rPr>
          <w:rFonts w:eastAsia="Calibri" w:cs="Helvetica-Light"/>
          <w:bCs/>
          <w:color w:val="000000"/>
        </w:rPr>
        <w:t>1</w:t>
      </w:r>
      <w:r>
        <w:rPr>
          <w:rFonts w:eastAsia="Calibri" w:cs="Helvetica-Light"/>
          <w:bCs/>
          <w:color w:val="000000"/>
        </w:rPr>
        <w:t>3</w:t>
      </w:r>
      <w:r>
        <w:rPr>
          <w:rFonts w:eastAsia="Calibri" w:cs="Helvetica-Light"/>
          <w:bCs/>
          <w:color w:val="000000"/>
        </w:rPr>
        <w:tab/>
      </w:r>
      <w:r w:rsidR="0081500E">
        <w:rPr>
          <w:rFonts w:eastAsia="Calibri" w:cs="Helvetica-Light"/>
          <w:bCs/>
          <w:color w:val="000000"/>
        </w:rPr>
        <w:t xml:space="preserve">The government provides several specific grants to the county council. </w:t>
      </w:r>
      <w:proofErr w:type="gramStart"/>
      <w:r w:rsidR="0081500E">
        <w:rPr>
          <w:rFonts w:eastAsia="Calibri" w:cs="Helvetica-Light"/>
          <w:bCs/>
          <w:color w:val="000000"/>
        </w:rPr>
        <w:t>The majority of</w:t>
      </w:r>
      <w:proofErr w:type="gramEnd"/>
      <w:r w:rsidR="0081500E">
        <w:rPr>
          <w:rFonts w:eastAsia="Calibri" w:cs="Helvetica-Light"/>
          <w:bCs/>
          <w:color w:val="000000"/>
        </w:rPr>
        <w:t xml:space="preserve"> these grants relate to social care; however, the </w:t>
      </w:r>
      <w:r w:rsidR="00B63671">
        <w:rPr>
          <w:rFonts w:eastAsia="Calibri" w:cs="Helvetica-Light"/>
          <w:bCs/>
          <w:color w:val="000000"/>
        </w:rPr>
        <w:t>C</w:t>
      </w:r>
      <w:r w:rsidR="0081500E">
        <w:rPr>
          <w:rFonts w:eastAsia="Calibri" w:cs="Helvetica-Light"/>
          <w:bCs/>
          <w:color w:val="000000"/>
        </w:rPr>
        <w:t>ouncil also receives the long-</w:t>
      </w:r>
      <w:r w:rsidR="0081500E" w:rsidRPr="005D7A6E">
        <w:rPr>
          <w:rFonts w:eastAsia="Calibri" w:cs="Helvetica-Light"/>
          <w:bCs/>
          <w:color w:val="000000"/>
        </w:rPr>
        <w:t xml:space="preserve">standing revenue support grant and the services grant. The value of these grants </w:t>
      </w:r>
      <w:proofErr w:type="gramStart"/>
      <w:r w:rsidR="0081500E" w:rsidRPr="005D7A6E">
        <w:rPr>
          <w:rFonts w:eastAsia="Calibri" w:cs="Helvetica-Light"/>
          <w:bCs/>
          <w:color w:val="000000"/>
        </w:rPr>
        <w:t>are</w:t>
      </w:r>
      <w:proofErr w:type="gramEnd"/>
      <w:r w:rsidR="0081500E" w:rsidRPr="005D7A6E">
        <w:rPr>
          <w:rFonts w:eastAsia="Calibri" w:cs="Helvetica-Light"/>
          <w:bCs/>
          <w:color w:val="000000"/>
        </w:rPr>
        <w:t xml:space="preserve"> shown in Table </w:t>
      </w:r>
      <w:r w:rsidR="0090219B">
        <w:rPr>
          <w:rFonts w:eastAsia="Calibri" w:cs="Helvetica-Light"/>
          <w:bCs/>
          <w:color w:val="000000"/>
        </w:rPr>
        <w:t>7</w:t>
      </w:r>
      <w:r w:rsidR="0081500E" w:rsidRPr="005D7A6E">
        <w:rPr>
          <w:rFonts w:eastAsia="Calibri" w:cs="Helvetica-Light"/>
          <w:bCs/>
          <w:color w:val="000000"/>
        </w:rPr>
        <w:t>.</w:t>
      </w:r>
      <w:r w:rsidR="0081500E">
        <w:rPr>
          <w:rFonts w:eastAsia="Calibri" w:cs="Helvetica-Light"/>
          <w:bCs/>
          <w:color w:val="000000"/>
        </w:rPr>
        <w:t xml:space="preserve"> </w:t>
      </w:r>
    </w:p>
    <w:p w14:paraId="1A58AEF8" w14:textId="77777777" w:rsidR="0081500E" w:rsidRDefault="0081500E" w:rsidP="00B574FB">
      <w:pPr>
        <w:autoSpaceDE w:val="0"/>
        <w:autoSpaceDN w:val="0"/>
        <w:adjustRightInd w:val="0"/>
        <w:jc w:val="both"/>
        <w:rPr>
          <w:rFonts w:eastAsia="Calibri" w:cs="Helvetica-Light"/>
          <w:bCs/>
          <w:color w:val="000000"/>
        </w:rPr>
      </w:pPr>
    </w:p>
    <w:p w14:paraId="46159A72" w14:textId="3ABDD383" w:rsidR="0081500E" w:rsidRDefault="004A7A82" w:rsidP="0090219B">
      <w:pPr>
        <w:autoSpaceDE w:val="0"/>
        <w:autoSpaceDN w:val="0"/>
        <w:adjustRightInd w:val="0"/>
        <w:ind w:left="720" w:hanging="720"/>
        <w:jc w:val="both"/>
        <w:rPr>
          <w:rFonts w:eastAsia="Calibri" w:cs="Helvetica-Light"/>
          <w:color w:val="000000" w:themeColor="text1"/>
        </w:rPr>
      </w:pPr>
      <w:r w:rsidRPr="2165DDB2">
        <w:rPr>
          <w:rFonts w:eastAsia="Calibri" w:cs="Helvetica-Light"/>
          <w:color w:val="000000" w:themeColor="text1"/>
        </w:rPr>
        <w:t>10.</w:t>
      </w:r>
      <w:r w:rsidR="00DF6D2C">
        <w:rPr>
          <w:rFonts w:eastAsia="Calibri" w:cs="Helvetica-Light"/>
          <w:color w:val="000000" w:themeColor="text1"/>
        </w:rPr>
        <w:t>15</w:t>
      </w:r>
      <w:r>
        <w:tab/>
      </w:r>
      <w:r w:rsidRPr="2165DDB2">
        <w:rPr>
          <w:rFonts w:eastAsia="Calibri" w:cs="Helvetica-Light"/>
          <w:color w:val="000000" w:themeColor="text1"/>
        </w:rPr>
        <w:t xml:space="preserve">With the exception of the services grant, it is assumed that all government grants are recurrent, and that the revenue support grant continues to increase in line with inflation. </w:t>
      </w:r>
      <w:r w:rsidR="383B601F" w:rsidRPr="2165DDB2">
        <w:rPr>
          <w:rFonts w:eastAsia="Calibri" w:cs="Helvetica-Light"/>
          <w:color w:val="000000" w:themeColor="text1"/>
        </w:rPr>
        <w:t>These assumptions have been built into future year budget planning.</w:t>
      </w:r>
    </w:p>
    <w:p w14:paraId="5A6E89F4" w14:textId="77777777" w:rsidR="00C872D7" w:rsidRDefault="00C872D7" w:rsidP="0090219B">
      <w:pPr>
        <w:autoSpaceDE w:val="0"/>
        <w:autoSpaceDN w:val="0"/>
        <w:adjustRightInd w:val="0"/>
        <w:ind w:left="720" w:hanging="720"/>
        <w:jc w:val="both"/>
        <w:rPr>
          <w:rFonts w:eastAsia="Calibri" w:cs="Helvetica-Light"/>
          <w:color w:val="000000" w:themeColor="text1"/>
        </w:rPr>
      </w:pPr>
    </w:p>
    <w:p w14:paraId="248C758E" w14:textId="7138CC77" w:rsidR="00C872D7" w:rsidRDefault="004A7A82" w:rsidP="0090219B">
      <w:pPr>
        <w:autoSpaceDE w:val="0"/>
        <w:autoSpaceDN w:val="0"/>
        <w:adjustRightInd w:val="0"/>
        <w:ind w:left="720" w:hanging="720"/>
        <w:jc w:val="both"/>
        <w:rPr>
          <w:rFonts w:eastAsia="Calibri" w:cs="Helvetica-Light"/>
          <w:color w:val="000000" w:themeColor="text1"/>
        </w:rPr>
      </w:pPr>
      <w:r>
        <w:rPr>
          <w:rFonts w:eastAsia="Calibri" w:cs="Helvetica-Light"/>
          <w:color w:val="000000" w:themeColor="text1"/>
        </w:rPr>
        <w:tab/>
      </w:r>
      <w:r>
        <w:rPr>
          <w:rFonts w:eastAsia="Calibri" w:cs="Helvetica-Light"/>
          <w:bCs/>
          <w:color w:val="000000"/>
        </w:rPr>
        <w:t>Further details of each grant are shown below:</w:t>
      </w:r>
    </w:p>
    <w:p w14:paraId="421FF388" w14:textId="77777777" w:rsidR="00AF6164" w:rsidRDefault="00AF6164" w:rsidP="00B752B3">
      <w:pPr>
        <w:autoSpaceDE w:val="0"/>
        <w:autoSpaceDN w:val="0"/>
        <w:adjustRightInd w:val="0"/>
        <w:jc w:val="both"/>
        <w:rPr>
          <w:rFonts w:eastAsia="Calibri" w:cs="Helvetica-Light"/>
          <w:color w:val="000000" w:themeColor="text1"/>
        </w:rPr>
      </w:pPr>
    </w:p>
    <w:p w14:paraId="30CC9A90" w14:textId="245B2734" w:rsidR="00AF6164" w:rsidRPr="00B752B3" w:rsidRDefault="004A7A82" w:rsidP="0090219B">
      <w:pPr>
        <w:autoSpaceDE w:val="0"/>
        <w:autoSpaceDN w:val="0"/>
        <w:adjustRightInd w:val="0"/>
        <w:ind w:left="720" w:hanging="720"/>
        <w:jc w:val="both"/>
        <w:rPr>
          <w:rFonts w:eastAsia="Calibri" w:cs="Helvetica-Light"/>
          <w:b/>
          <w:bCs/>
          <w:color w:val="000000" w:themeColor="text1"/>
        </w:rPr>
      </w:pPr>
      <w:r>
        <w:rPr>
          <w:rFonts w:eastAsia="Calibri" w:cs="Helvetica-Light"/>
          <w:color w:val="000000" w:themeColor="text1"/>
        </w:rPr>
        <w:tab/>
      </w:r>
      <w:r w:rsidRPr="00B752B3">
        <w:rPr>
          <w:rFonts w:eastAsia="Calibri" w:cs="Helvetica-Light"/>
          <w:b/>
          <w:bCs/>
          <w:color w:val="000000" w:themeColor="text1"/>
        </w:rPr>
        <w:t>Revenue Support Grant</w:t>
      </w:r>
    </w:p>
    <w:p w14:paraId="7ADF999F" w14:textId="77777777" w:rsidR="005E1D43" w:rsidRDefault="004A7A82" w:rsidP="00DF1D77">
      <w:pPr>
        <w:autoSpaceDE w:val="0"/>
        <w:autoSpaceDN w:val="0"/>
        <w:adjustRightInd w:val="0"/>
        <w:ind w:left="720" w:hanging="720"/>
        <w:jc w:val="both"/>
        <w:rPr>
          <w:rFonts w:eastAsia="Calibri" w:cs="Helvetica-Light"/>
          <w:color w:val="000000" w:themeColor="text1"/>
        </w:rPr>
      </w:pPr>
      <w:r>
        <w:rPr>
          <w:rFonts w:eastAsia="Calibri" w:cs="Helvetica-Light"/>
          <w:color w:val="000000" w:themeColor="text1"/>
        </w:rPr>
        <w:tab/>
      </w:r>
    </w:p>
    <w:p w14:paraId="30A08CF9" w14:textId="77777777" w:rsidR="001072CC" w:rsidRDefault="004A7A82" w:rsidP="001072CC">
      <w:pPr>
        <w:autoSpaceDE w:val="0"/>
        <w:autoSpaceDN w:val="0"/>
        <w:adjustRightInd w:val="0"/>
        <w:jc w:val="both"/>
        <w:rPr>
          <w:rFonts w:eastAsia="Calibri" w:cs="Helvetica-Light"/>
          <w:color w:val="000000" w:themeColor="text1"/>
        </w:rPr>
      </w:pPr>
      <w:r w:rsidRPr="001072CC">
        <w:rPr>
          <w:rFonts w:eastAsia="Calibri" w:cs="Helvetica-Light"/>
          <w:color w:val="000000" w:themeColor="text1"/>
        </w:rPr>
        <w:t>10.16</w:t>
      </w:r>
      <w:r w:rsidRPr="001072CC">
        <w:rPr>
          <w:rFonts w:eastAsia="Calibri" w:cs="Helvetica-Light"/>
          <w:color w:val="000000" w:themeColor="text1"/>
        </w:rPr>
        <w:tab/>
      </w:r>
      <w:r w:rsidR="00DF1D77" w:rsidRPr="001072CC">
        <w:rPr>
          <w:rFonts w:eastAsia="Calibri" w:cs="Helvetica-Light"/>
          <w:color w:val="000000" w:themeColor="text1"/>
        </w:rPr>
        <w:t xml:space="preserve">This grant is a </w:t>
      </w:r>
      <w:r w:rsidR="003334D9" w:rsidRPr="001072CC">
        <w:rPr>
          <w:rFonts w:eastAsia="Calibri" w:cs="Helvetica-Light"/>
          <w:color w:val="000000" w:themeColor="text1"/>
        </w:rPr>
        <w:t>long-standing</w:t>
      </w:r>
      <w:r w:rsidR="00DF1D77" w:rsidRPr="001072CC">
        <w:rPr>
          <w:rFonts w:eastAsia="Calibri" w:cs="Helvetica-Light"/>
          <w:color w:val="000000" w:themeColor="text1"/>
        </w:rPr>
        <w:t xml:space="preserve"> grant provided to support the revenue </w:t>
      </w:r>
      <w:r w:rsidR="003334D9" w:rsidRPr="001072CC">
        <w:rPr>
          <w:rFonts w:eastAsia="Calibri" w:cs="Helvetica-Light"/>
          <w:color w:val="000000" w:themeColor="text1"/>
        </w:rPr>
        <w:t>budget and</w:t>
      </w:r>
      <w:r w:rsidR="005E1D43" w:rsidRPr="001072CC">
        <w:rPr>
          <w:rFonts w:eastAsia="Calibri" w:cs="Helvetica-Light"/>
          <w:color w:val="000000" w:themeColor="text1"/>
        </w:rPr>
        <w:t xml:space="preserve"> </w:t>
      </w:r>
    </w:p>
    <w:p w14:paraId="18C9F7A8" w14:textId="6E60B1E6" w:rsidR="00C872D7" w:rsidRPr="001072CC" w:rsidRDefault="004A7A82" w:rsidP="001072CC">
      <w:pPr>
        <w:autoSpaceDE w:val="0"/>
        <w:autoSpaceDN w:val="0"/>
        <w:adjustRightInd w:val="0"/>
        <w:ind w:left="720"/>
        <w:jc w:val="both"/>
        <w:rPr>
          <w:rFonts w:eastAsia="Calibri" w:cs="Helvetica-Light"/>
          <w:bCs/>
          <w:color w:val="000000"/>
        </w:rPr>
      </w:pPr>
      <w:r w:rsidRPr="001072CC">
        <w:rPr>
          <w:rFonts w:eastAsia="Calibri" w:cs="Helvetica-Light"/>
          <w:color w:val="000000" w:themeColor="text1"/>
        </w:rPr>
        <w:t xml:space="preserve">is not ringfenced. This grant has risen by inflation over recent years and as part of the 2024/25 </w:t>
      </w:r>
      <w:r w:rsidR="00AC4674">
        <w:rPr>
          <w:rFonts w:eastAsia="Calibri" w:cs="Helvetica-Light"/>
          <w:color w:val="000000" w:themeColor="text1"/>
        </w:rPr>
        <w:t xml:space="preserve">final </w:t>
      </w:r>
      <w:r w:rsidRPr="001072CC">
        <w:rPr>
          <w:rFonts w:eastAsia="Calibri" w:cs="Helvetica-Light"/>
          <w:color w:val="000000" w:themeColor="text1"/>
        </w:rPr>
        <w:t>settlement the grant received an inflationary uplift</w:t>
      </w:r>
      <w:r w:rsidR="001072CC" w:rsidRPr="001072CC">
        <w:rPr>
          <w:rFonts w:eastAsia="Calibri" w:cs="Helvetica-Light"/>
          <w:color w:val="000000" w:themeColor="text1"/>
        </w:rPr>
        <w:t xml:space="preserve"> (an additional £2.5m compared to 2023/24)</w:t>
      </w:r>
      <w:r w:rsidRPr="001072CC">
        <w:rPr>
          <w:rFonts w:eastAsia="Calibri" w:cs="Helvetica-Light"/>
          <w:color w:val="000000" w:themeColor="text1"/>
        </w:rPr>
        <w:t>, meaning the grant for Lancashire will be £40.7m in 2024/25.</w:t>
      </w:r>
      <w:r w:rsidR="001072CC" w:rsidRPr="001072CC">
        <w:rPr>
          <w:rFonts w:eastAsia="Calibri" w:cs="Helvetica-Light"/>
          <w:color w:val="000000" w:themeColor="text1"/>
        </w:rPr>
        <w:t xml:space="preserve"> </w:t>
      </w:r>
    </w:p>
    <w:p w14:paraId="5E9C5DEE" w14:textId="77777777" w:rsidR="001072CC" w:rsidRPr="001072CC" w:rsidRDefault="001072CC" w:rsidP="001072CC">
      <w:pPr>
        <w:pStyle w:val="ListParagraph"/>
        <w:autoSpaceDE w:val="0"/>
        <w:autoSpaceDN w:val="0"/>
        <w:adjustRightInd w:val="0"/>
        <w:ind w:left="1440"/>
        <w:jc w:val="both"/>
        <w:rPr>
          <w:rFonts w:eastAsia="Calibri" w:cs="Helvetica-Light"/>
          <w:bCs/>
          <w:color w:val="000000"/>
        </w:rPr>
      </w:pPr>
    </w:p>
    <w:p w14:paraId="6D3C62C4" w14:textId="599DE1E0" w:rsidR="002E27CC" w:rsidRDefault="004A7A82" w:rsidP="002E27CC">
      <w:pPr>
        <w:autoSpaceDE w:val="0"/>
        <w:autoSpaceDN w:val="0"/>
        <w:adjustRightInd w:val="0"/>
        <w:jc w:val="both"/>
        <w:rPr>
          <w:rFonts w:eastAsia="Calibri" w:cs="Helvetica-Light"/>
          <w:b/>
          <w:color w:val="000000"/>
        </w:rPr>
      </w:pPr>
      <w:r w:rsidRPr="00D42682">
        <w:rPr>
          <w:rFonts w:eastAsia="Calibri" w:cs="Helvetica-Light"/>
          <w:b/>
          <w:color w:val="000000"/>
        </w:rPr>
        <w:tab/>
        <w:t>New Homes Bonus</w:t>
      </w:r>
    </w:p>
    <w:p w14:paraId="40A5DA89" w14:textId="77777777" w:rsidR="002E27CC" w:rsidRDefault="002E27CC" w:rsidP="002E27CC">
      <w:pPr>
        <w:autoSpaceDE w:val="0"/>
        <w:autoSpaceDN w:val="0"/>
        <w:adjustRightInd w:val="0"/>
        <w:jc w:val="both"/>
        <w:rPr>
          <w:rFonts w:eastAsia="Calibri" w:cs="Helvetica-Light"/>
          <w:b/>
          <w:color w:val="000000"/>
        </w:rPr>
      </w:pPr>
    </w:p>
    <w:p w14:paraId="35BD91D0" w14:textId="0CABCE66" w:rsidR="002E27CC" w:rsidRDefault="004A7A82" w:rsidP="002E27CC">
      <w:pPr>
        <w:autoSpaceDE w:val="0"/>
        <w:autoSpaceDN w:val="0"/>
        <w:adjustRightInd w:val="0"/>
        <w:ind w:left="720" w:hanging="720"/>
        <w:jc w:val="both"/>
        <w:rPr>
          <w:rFonts w:eastAsia="Calibri" w:cs="Helvetica-Light"/>
          <w:bCs/>
          <w:color w:val="000000"/>
        </w:rPr>
      </w:pPr>
      <w:r>
        <w:rPr>
          <w:rFonts w:eastAsia="Calibri" w:cs="Helvetica-Light"/>
          <w:bCs/>
          <w:color w:val="000000"/>
        </w:rPr>
        <w:t>10.</w:t>
      </w:r>
      <w:r w:rsidR="00DF6D2C">
        <w:rPr>
          <w:rFonts w:eastAsia="Calibri" w:cs="Helvetica-Light"/>
          <w:bCs/>
          <w:color w:val="000000"/>
        </w:rPr>
        <w:t>17</w:t>
      </w:r>
      <w:r>
        <w:rPr>
          <w:rFonts w:eastAsia="Calibri" w:cs="Helvetica-Light"/>
          <w:bCs/>
          <w:color w:val="000000"/>
        </w:rPr>
        <w:tab/>
      </w:r>
      <w:r w:rsidRPr="00092963">
        <w:rPr>
          <w:rFonts w:eastAsia="Calibri" w:cs="Helvetica-Light"/>
          <w:bCs/>
          <w:color w:val="000000"/>
        </w:rPr>
        <w:t xml:space="preserve">The New Homes Bonus grant has been under review by the government for several years and consultations have taken place. The grant </w:t>
      </w:r>
      <w:r w:rsidR="00044FC5">
        <w:rPr>
          <w:rFonts w:eastAsia="Calibri" w:cs="Helvetica-Light"/>
          <w:bCs/>
          <w:color w:val="000000"/>
        </w:rPr>
        <w:t>previously</w:t>
      </w:r>
      <w:r w:rsidRPr="00092963">
        <w:rPr>
          <w:rFonts w:eastAsia="Calibri" w:cs="Helvetica-Light"/>
          <w:bCs/>
          <w:color w:val="000000"/>
        </w:rPr>
        <w:t xml:space="preserve"> included legacy payments over 4 years, but these have been removed and the grant has gradually reduced.</w:t>
      </w:r>
    </w:p>
    <w:p w14:paraId="448F9C73" w14:textId="77777777" w:rsidR="002E27CC" w:rsidRDefault="002E27CC" w:rsidP="002E27CC">
      <w:pPr>
        <w:autoSpaceDE w:val="0"/>
        <w:autoSpaceDN w:val="0"/>
        <w:adjustRightInd w:val="0"/>
        <w:ind w:left="720" w:hanging="720"/>
        <w:jc w:val="both"/>
        <w:rPr>
          <w:rFonts w:eastAsia="Calibri" w:cs="Helvetica-Light"/>
          <w:bCs/>
          <w:color w:val="000000"/>
        </w:rPr>
      </w:pPr>
    </w:p>
    <w:p w14:paraId="5471B0FB" w14:textId="11DAD04C" w:rsidR="002E27CC" w:rsidRPr="009E0DEB" w:rsidRDefault="004A7A82" w:rsidP="002E27CC">
      <w:pPr>
        <w:autoSpaceDE w:val="0"/>
        <w:autoSpaceDN w:val="0"/>
        <w:adjustRightInd w:val="0"/>
        <w:ind w:left="720" w:hanging="720"/>
        <w:jc w:val="both"/>
        <w:rPr>
          <w:rFonts w:eastAsia="Calibri" w:cs="Helvetica-Light"/>
          <w:bCs/>
          <w:color w:val="000000"/>
        </w:rPr>
      </w:pPr>
      <w:r>
        <w:rPr>
          <w:rFonts w:eastAsia="Calibri" w:cs="Helvetica-Light"/>
          <w:bCs/>
          <w:color w:val="000000"/>
        </w:rPr>
        <w:t>10.</w:t>
      </w:r>
      <w:r w:rsidR="00DF6D2C">
        <w:rPr>
          <w:rFonts w:eastAsia="Calibri" w:cs="Helvetica-Light"/>
          <w:bCs/>
          <w:color w:val="000000"/>
        </w:rPr>
        <w:t>18</w:t>
      </w:r>
      <w:r>
        <w:rPr>
          <w:rFonts w:eastAsia="Calibri" w:cs="Helvetica-Light"/>
          <w:bCs/>
          <w:color w:val="000000"/>
        </w:rPr>
        <w:tab/>
      </w:r>
      <w:r w:rsidRPr="00AA6020">
        <w:rPr>
          <w:rFonts w:eastAsia="Calibri" w:cs="Helvetica-Light"/>
          <w:bCs/>
          <w:color w:val="000000"/>
        </w:rPr>
        <w:t xml:space="preserve">In the </w:t>
      </w:r>
      <w:r w:rsidR="00CF0F34">
        <w:rPr>
          <w:rFonts w:eastAsia="Calibri" w:cs="Helvetica-Light"/>
          <w:bCs/>
          <w:color w:val="000000"/>
        </w:rPr>
        <w:t>final</w:t>
      </w:r>
      <w:r w:rsidRPr="00AA6020">
        <w:rPr>
          <w:rFonts w:eastAsia="Calibri" w:cs="Helvetica-Light"/>
          <w:bCs/>
          <w:color w:val="000000"/>
        </w:rPr>
        <w:t xml:space="preserve"> </w:t>
      </w:r>
      <w:r w:rsidR="00781944">
        <w:rPr>
          <w:rFonts w:eastAsia="Calibri" w:cs="Helvetica-Light"/>
          <w:bCs/>
          <w:color w:val="000000"/>
        </w:rPr>
        <w:t>s</w:t>
      </w:r>
      <w:r w:rsidRPr="00AA6020">
        <w:rPr>
          <w:rFonts w:eastAsia="Calibri" w:cs="Helvetica-Light"/>
          <w:bCs/>
          <w:color w:val="000000"/>
        </w:rPr>
        <w:t>ettlement, the value of the grant was awarded at a level very similar to 2023/24</w:t>
      </w:r>
      <w:r w:rsidR="005E1D43">
        <w:rPr>
          <w:rFonts w:eastAsia="Calibri" w:cs="Helvetica-Light"/>
          <w:bCs/>
          <w:color w:val="000000"/>
        </w:rPr>
        <w:t xml:space="preserve"> (c£1.5m)</w:t>
      </w:r>
      <w:r w:rsidRPr="00AA6020">
        <w:rPr>
          <w:rFonts w:eastAsia="Calibri" w:cs="Helvetica-Light"/>
          <w:bCs/>
          <w:color w:val="000000"/>
        </w:rPr>
        <w:t xml:space="preserve"> and indications are that there would be a final year of the grant in 2025/26 which </w:t>
      </w:r>
      <w:r w:rsidR="007E467A">
        <w:rPr>
          <w:rFonts w:eastAsia="Calibri" w:cs="Helvetica-Light"/>
          <w:bCs/>
          <w:color w:val="000000"/>
        </w:rPr>
        <w:t>was not previously expected to be the case</w:t>
      </w:r>
      <w:r w:rsidRPr="00AA6020">
        <w:rPr>
          <w:rFonts w:eastAsia="Calibri" w:cs="Helvetica-Light"/>
          <w:bCs/>
          <w:color w:val="000000"/>
        </w:rPr>
        <w:t xml:space="preserve">. </w:t>
      </w:r>
    </w:p>
    <w:p w14:paraId="6FD73C1A" w14:textId="77777777" w:rsidR="001072CC" w:rsidRDefault="001072CC" w:rsidP="002E27CC">
      <w:pPr>
        <w:autoSpaceDE w:val="0"/>
        <w:autoSpaceDN w:val="0"/>
        <w:adjustRightInd w:val="0"/>
        <w:jc w:val="both"/>
        <w:rPr>
          <w:rFonts w:eastAsia="Calibri" w:cs="Helvetica-Light"/>
          <w:b/>
          <w:color w:val="000000"/>
        </w:rPr>
      </w:pPr>
    </w:p>
    <w:p w14:paraId="0141C869" w14:textId="722DD8B9" w:rsidR="00B752B3" w:rsidRDefault="004A7A82" w:rsidP="002E27CC">
      <w:pPr>
        <w:autoSpaceDE w:val="0"/>
        <w:autoSpaceDN w:val="0"/>
        <w:adjustRightInd w:val="0"/>
        <w:jc w:val="both"/>
        <w:rPr>
          <w:rFonts w:eastAsia="Calibri" w:cs="Helvetica-Light"/>
          <w:b/>
          <w:color w:val="000000"/>
        </w:rPr>
      </w:pPr>
      <w:r>
        <w:rPr>
          <w:rFonts w:eastAsia="Calibri" w:cs="Helvetica-Light"/>
          <w:b/>
          <w:color w:val="000000"/>
        </w:rPr>
        <w:tab/>
        <w:t>Improved Better Care Fund</w:t>
      </w:r>
    </w:p>
    <w:p w14:paraId="7144099A" w14:textId="77777777" w:rsidR="005E1D43" w:rsidRDefault="005E1D43" w:rsidP="002E27CC">
      <w:pPr>
        <w:autoSpaceDE w:val="0"/>
        <w:autoSpaceDN w:val="0"/>
        <w:adjustRightInd w:val="0"/>
        <w:jc w:val="both"/>
        <w:rPr>
          <w:rFonts w:eastAsia="Calibri" w:cs="Helvetica-Light"/>
          <w:b/>
          <w:color w:val="000000"/>
        </w:rPr>
      </w:pPr>
    </w:p>
    <w:p w14:paraId="2E6A4444" w14:textId="7A60BD31" w:rsidR="005E1D43" w:rsidRPr="00854784" w:rsidRDefault="004A7A82" w:rsidP="00DF6D2C">
      <w:pPr>
        <w:autoSpaceDE w:val="0"/>
        <w:autoSpaceDN w:val="0"/>
        <w:adjustRightInd w:val="0"/>
        <w:ind w:left="720" w:hanging="720"/>
        <w:jc w:val="both"/>
        <w:rPr>
          <w:rFonts w:eastAsia="Calibri" w:cs="Helvetica-Light"/>
          <w:bCs/>
          <w:color w:val="000000"/>
        </w:rPr>
      </w:pPr>
      <w:r>
        <w:rPr>
          <w:rFonts w:eastAsia="Calibri" w:cs="Helvetica-Light"/>
          <w:bCs/>
          <w:color w:val="000000"/>
        </w:rPr>
        <w:t>10.19</w:t>
      </w:r>
      <w:r>
        <w:rPr>
          <w:rFonts w:eastAsia="Calibri" w:cs="Helvetica-Light"/>
          <w:bCs/>
          <w:color w:val="000000"/>
        </w:rPr>
        <w:tab/>
      </w:r>
      <w:r w:rsidR="003358A0" w:rsidRPr="00A134C2">
        <w:rPr>
          <w:rFonts w:eastAsia="Calibri" w:cs="Helvetica-Light"/>
          <w:bCs/>
          <w:color w:val="000000"/>
        </w:rPr>
        <w:t xml:space="preserve">The improved better care fund </w:t>
      </w:r>
      <w:r w:rsidR="000C20BE" w:rsidRPr="00A134C2">
        <w:rPr>
          <w:rFonts w:eastAsia="Calibri" w:cs="Helvetica-Light"/>
          <w:bCs/>
          <w:color w:val="000000"/>
        </w:rPr>
        <w:t xml:space="preserve">(£47m) </w:t>
      </w:r>
      <w:r w:rsidR="003533E3" w:rsidRPr="00A134C2">
        <w:rPr>
          <w:rFonts w:eastAsia="Calibri" w:cs="Helvetica-Light"/>
          <w:bCs/>
          <w:color w:val="000000"/>
        </w:rPr>
        <w:t>i</w:t>
      </w:r>
      <w:r w:rsidR="00574EB3" w:rsidRPr="00A134C2">
        <w:rPr>
          <w:rFonts w:eastAsia="Calibri" w:cs="Helvetica-Light"/>
          <w:bCs/>
          <w:color w:val="000000"/>
        </w:rPr>
        <w:t>s a grant that provides funding support towards expenditure in adult social care</w:t>
      </w:r>
      <w:r w:rsidR="00886513" w:rsidRPr="00A134C2">
        <w:rPr>
          <w:rFonts w:eastAsia="Calibri" w:cs="Helvetica-Light"/>
          <w:bCs/>
          <w:color w:val="000000"/>
        </w:rPr>
        <w:t xml:space="preserve"> and was introduced from 2017/18. </w:t>
      </w:r>
      <w:r w:rsidR="00854784" w:rsidRPr="00A134C2">
        <w:rPr>
          <w:rFonts w:eastAsia="Calibri" w:cs="Helvetica-Light"/>
          <w:bCs/>
          <w:color w:val="000000"/>
        </w:rPr>
        <w:t xml:space="preserve">The grant must be pooled alongside NHS funding </w:t>
      </w:r>
      <w:r w:rsidR="00EA0910" w:rsidRPr="00A134C2">
        <w:rPr>
          <w:rFonts w:eastAsia="Calibri" w:cs="Helvetica-Light"/>
          <w:bCs/>
          <w:color w:val="000000"/>
        </w:rPr>
        <w:t>and is closely linked to the better care fund</w:t>
      </w:r>
      <w:r w:rsidR="002B0246" w:rsidRPr="00A134C2">
        <w:rPr>
          <w:rFonts w:eastAsia="Calibri" w:cs="Helvetica-Light"/>
          <w:bCs/>
          <w:color w:val="000000"/>
        </w:rPr>
        <w:t xml:space="preserve"> (BCF)</w:t>
      </w:r>
      <w:r w:rsidR="00854784" w:rsidRPr="00A134C2">
        <w:rPr>
          <w:rFonts w:eastAsia="Calibri" w:cs="Helvetica-Light"/>
          <w:bCs/>
          <w:color w:val="000000"/>
        </w:rPr>
        <w:t>.</w:t>
      </w:r>
      <w:r w:rsidR="00C80117" w:rsidRPr="00A134C2">
        <w:rPr>
          <w:rFonts w:eastAsia="Calibri" w:cs="Helvetica-Light"/>
          <w:bCs/>
          <w:color w:val="000000"/>
        </w:rPr>
        <w:t xml:space="preserve"> The </w:t>
      </w:r>
      <w:r w:rsidR="002B0246" w:rsidRPr="00A134C2">
        <w:rPr>
          <w:rFonts w:eastAsia="Calibri" w:cs="Helvetica-Light"/>
          <w:bCs/>
          <w:color w:val="000000"/>
        </w:rPr>
        <w:t>BCF</w:t>
      </w:r>
      <w:r w:rsidR="00C80117" w:rsidRPr="00A134C2">
        <w:rPr>
          <w:rFonts w:eastAsia="Calibri" w:cs="Helvetica-Light"/>
          <w:bCs/>
          <w:color w:val="000000"/>
        </w:rPr>
        <w:t xml:space="preserve"> is contained </w:t>
      </w:r>
      <w:r w:rsidR="00C80117" w:rsidRPr="00B41A4C">
        <w:rPr>
          <w:rFonts w:eastAsia="Calibri" w:cs="Helvetica-Light"/>
          <w:bCs/>
          <w:color w:val="000000"/>
        </w:rPr>
        <w:t xml:space="preserve">within the adult social care </w:t>
      </w:r>
      <w:r w:rsidR="002B0246" w:rsidRPr="00B41A4C">
        <w:rPr>
          <w:rFonts w:eastAsia="Calibri" w:cs="Helvetica-Light"/>
          <w:bCs/>
          <w:color w:val="000000"/>
        </w:rPr>
        <w:t>budget</w:t>
      </w:r>
      <w:r w:rsidR="00C80117" w:rsidRPr="00B41A4C">
        <w:rPr>
          <w:rFonts w:eastAsia="Calibri" w:cs="Helvetica-Light"/>
          <w:bCs/>
          <w:color w:val="000000"/>
        </w:rPr>
        <w:t xml:space="preserve">, as it is specific to that service. </w:t>
      </w:r>
      <w:r w:rsidR="002B0246" w:rsidRPr="00B41A4C">
        <w:rPr>
          <w:rFonts w:eastAsia="Calibri" w:cs="Helvetica-Light"/>
          <w:bCs/>
          <w:color w:val="000000"/>
        </w:rPr>
        <w:t>The total minimum contribution is c£1</w:t>
      </w:r>
      <w:r w:rsidR="00B41A4C" w:rsidRPr="00B41A4C">
        <w:rPr>
          <w:rFonts w:eastAsia="Calibri" w:cs="Helvetica-Light"/>
          <w:bCs/>
          <w:color w:val="000000"/>
        </w:rPr>
        <w:t>2</w:t>
      </w:r>
      <w:r w:rsidR="002B0246" w:rsidRPr="00B41A4C">
        <w:rPr>
          <w:rFonts w:eastAsia="Calibri" w:cs="Helvetica-Light"/>
          <w:bCs/>
          <w:color w:val="000000"/>
        </w:rPr>
        <w:t>4m, with the estimated contribution to social care being £</w:t>
      </w:r>
      <w:r w:rsidR="00B41A4C" w:rsidRPr="00B41A4C">
        <w:rPr>
          <w:rFonts w:eastAsia="Calibri" w:cs="Helvetica-Light"/>
          <w:bCs/>
          <w:color w:val="000000"/>
        </w:rPr>
        <w:t>4</w:t>
      </w:r>
      <w:r w:rsidR="002B0246" w:rsidRPr="00B41A4C">
        <w:rPr>
          <w:rFonts w:eastAsia="Calibri" w:cs="Helvetica-Light"/>
          <w:bCs/>
          <w:color w:val="000000"/>
        </w:rPr>
        <w:t>6m.</w:t>
      </w:r>
      <w:r w:rsidR="002B0246">
        <w:rPr>
          <w:rFonts w:eastAsia="Calibri" w:cs="Helvetica-Light"/>
          <w:bCs/>
          <w:color w:val="000000"/>
        </w:rPr>
        <w:t xml:space="preserve"> </w:t>
      </w:r>
    </w:p>
    <w:p w14:paraId="71C2861F" w14:textId="0C109549" w:rsidR="00B752B3" w:rsidRDefault="004A7A82" w:rsidP="002E27CC">
      <w:pPr>
        <w:autoSpaceDE w:val="0"/>
        <w:autoSpaceDN w:val="0"/>
        <w:adjustRightInd w:val="0"/>
        <w:jc w:val="both"/>
        <w:rPr>
          <w:rFonts w:eastAsia="Calibri" w:cs="Helvetica-Light"/>
          <w:b/>
          <w:color w:val="000000"/>
        </w:rPr>
      </w:pPr>
      <w:r>
        <w:rPr>
          <w:rFonts w:eastAsia="Calibri" w:cs="Helvetica-Light"/>
          <w:b/>
          <w:color w:val="000000"/>
        </w:rPr>
        <w:lastRenderedPageBreak/>
        <w:tab/>
      </w:r>
    </w:p>
    <w:p w14:paraId="77C2ED25" w14:textId="486A5914" w:rsidR="00B752B3" w:rsidRDefault="004A7A82" w:rsidP="002E27CC">
      <w:pPr>
        <w:autoSpaceDE w:val="0"/>
        <w:autoSpaceDN w:val="0"/>
        <w:adjustRightInd w:val="0"/>
        <w:jc w:val="both"/>
        <w:rPr>
          <w:rFonts w:eastAsia="Calibri" w:cs="Helvetica-Light"/>
          <w:b/>
          <w:color w:val="000000"/>
        </w:rPr>
      </w:pPr>
      <w:r>
        <w:rPr>
          <w:rFonts w:eastAsia="Calibri" w:cs="Helvetica-Light"/>
          <w:b/>
          <w:color w:val="000000"/>
        </w:rPr>
        <w:tab/>
        <w:t>Social Care Support Grant</w:t>
      </w:r>
    </w:p>
    <w:p w14:paraId="732017E7" w14:textId="77777777" w:rsidR="007C47BD" w:rsidRDefault="007C47BD" w:rsidP="002E27CC">
      <w:pPr>
        <w:autoSpaceDE w:val="0"/>
        <w:autoSpaceDN w:val="0"/>
        <w:adjustRightInd w:val="0"/>
        <w:jc w:val="both"/>
        <w:rPr>
          <w:rFonts w:eastAsia="Calibri" w:cs="Helvetica-Light"/>
          <w:b/>
          <w:color w:val="000000"/>
        </w:rPr>
      </w:pPr>
    </w:p>
    <w:p w14:paraId="1176E563" w14:textId="0656D4F1" w:rsidR="00740295" w:rsidRDefault="004A7A82" w:rsidP="00DF6D2C">
      <w:pPr>
        <w:ind w:left="720" w:hanging="720"/>
        <w:jc w:val="both"/>
      </w:pPr>
      <w:r>
        <w:t>10.20</w:t>
      </w:r>
      <w:r>
        <w:tab/>
      </w:r>
      <w:r w:rsidR="00E22BAA">
        <w:t xml:space="preserve">The social care grant </w:t>
      </w:r>
      <w:r w:rsidR="002202B9">
        <w:t xml:space="preserve">provides funding for adult and children's social care, without specific distributions outlined for each area. </w:t>
      </w:r>
      <w:r w:rsidR="00102EAA" w:rsidRPr="00CE7961">
        <w:t>In 2023/24 the Social Care Grant was expanded to include funding for the Independent Living Fund, and repurposed social care reforms funding (although the reforms were delayed the funding is still being paid to councils). All aspects of this grant a</w:t>
      </w:r>
      <w:r w:rsidR="000B266D">
        <w:t>re</w:t>
      </w:r>
      <w:r w:rsidR="00102EAA" w:rsidRPr="00CE7961">
        <w:t xml:space="preserve"> assumed to be recurrent. </w:t>
      </w:r>
      <w:r w:rsidR="001072CC">
        <w:rPr>
          <w:rFonts w:eastAsia="Calibri" w:cs="Helvetica-Light"/>
          <w:bCs/>
          <w:color w:val="000000"/>
        </w:rPr>
        <w:t>The total grant in 2024/25 is £1</w:t>
      </w:r>
      <w:r w:rsidR="00B363D6">
        <w:rPr>
          <w:rFonts w:eastAsia="Calibri" w:cs="Helvetica-Light"/>
          <w:bCs/>
          <w:color w:val="000000"/>
        </w:rPr>
        <w:t>23.055</w:t>
      </w:r>
      <w:r w:rsidR="001072CC">
        <w:rPr>
          <w:rFonts w:eastAsia="Calibri" w:cs="Helvetica-Light"/>
          <w:bCs/>
          <w:color w:val="000000"/>
        </w:rPr>
        <w:t>m, which is an additional c£</w:t>
      </w:r>
      <w:r w:rsidR="00713035">
        <w:rPr>
          <w:rFonts w:eastAsia="Calibri" w:cs="Helvetica-Light"/>
          <w:bCs/>
          <w:color w:val="000000"/>
        </w:rPr>
        <w:t>28</w:t>
      </w:r>
      <w:r w:rsidR="001072CC">
        <w:rPr>
          <w:rFonts w:eastAsia="Calibri" w:cs="Helvetica-Light"/>
          <w:bCs/>
          <w:color w:val="000000"/>
        </w:rPr>
        <w:t>m when compared to 2023/24. Additional market sustainability and improvement grant included in the budget to support areas such as workforce pressure and provider fees increases.</w:t>
      </w:r>
    </w:p>
    <w:p w14:paraId="4AB210A4" w14:textId="77777777" w:rsidR="004C7DEE" w:rsidRPr="004C7DEE" w:rsidRDefault="004C7DEE" w:rsidP="004C7DEE">
      <w:pPr>
        <w:ind w:left="720"/>
        <w:jc w:val="both"/>
      </w:pPr>
    </w:p>
    <w:p w14:paraId="647A603A" w14:textId="49ACAF2A" w:rsidR="00740295" w:rsidRDefault="004A7A82" w:rsidP="004C7DEE">
      <w:pPr>
        <w:autoSpaceDE w:val="0"/>
        <w:autoSpaceDN w:val="0"/>
        <w:adjustRightInd w:val="0"/>
        <w:ind w:firstLine="720"/>
        <w:jc w:val="both"/>
        <w:rPr>
          <w:rFonts w:eastAsia="Calibri" w:cs="Helvetica-Light"/>
          <w:b/>
          <w:color w:val="000000"/>
        </w:rPr>
      </w:pPr>
      <w:r>
        <w:rPr>
          <w:rFonts w:eastAsia="Calibri" w:cs="Helvetica-Light"/>
          <w:b/>
          <w:color w:val="000000"/>
        </w:rPr>
        <w:t>Services Grant</w:t>
      </w:r>
    </w:p>
    <w:p w14:paraId="0AEBD039" w14:textId="77777777" w:rsidR="00FD40B9" w:rsidRDefault="00FD40B9" w:rsidP="002E27CC">
      <w:pPr>
        <w:autoSpaceDE w:val="0"/>
        <w:autoSpaceDN w:val="0"/>
        <w:adjustRightInd w:val="0"/>
        <w:jc w:val="both"/>
        <w:rPr>
          <w:rFonts w:eastAsia="Calibri" w:cs="Helvetica-Light"/>
          <w:b/>
          <w:color w:val="000000"/>
        </w:rPr>
      </w:pPr>
    </w:p>
    <w:p w14:paraId="7B019269" w14:textId="5EF21771" w:rsidR="00FD40B9" w:rsidRPr="00CE7961" w:rsidRDefault="004A7A82" w:rsidP="00DF6D2C">
      <w:pPr>
        <w:tabs>
          <w:tab w:val="left" w:pos="567"/>
          <w:tab w:val="left" w:pos="1134"/>
        </w:tabs>
        <w:ind w:left="720" w:hanging="720"/>
        <w:jc w:val="both"/>
        <w:rPr>
          <w:rFonts w:cs="Arial"/>
        </w:rPr>
      </w:pPr>
      <w:r>
        <w:rPr>
          <w:rFonts w:cs="Arial"/>
        </w:rPr>
        <w:t>10.21</w:t>
      </w:r>
      <w:r>
        <w:rPr>
          <w:rFonts w:cs="Arial"/>
        </w:rPr>
        <w:tab/>
      </w:r>
      <w:r w:rsidRPr="00CE7961">
        <w:rPr>
          <w:rFonts w:cs="Arial"/>
        </w:rPr>
        <w:t xml:space="preserve">This grant was an additional grant provided in 2022/23, and was included in the 2023/24 settlement, but reduced to reflect a change in policy relating to national insurance contributions. </w:t>
      </w:r>
      <w:r w:rsidR="001072CC">
        <w:rPr>
          <w:rFonts w:eastAsia="Calibri" w:cs="Helvetica-Light"/>
          <w:bCs/>
          <w:color w:val="000000"/>
        </w:rPr>
        <w:t>The total grant for 2024/25 is £1.</w:t>
      </w:r>
      <w:r w:rsidR="008C4254">
        <w:rPr>
          <w:rFonts w:eastAsia="Calibri" w:cs="Helvetica-Light"/>
          <w:bCs/>
          <w:color w:val="000000"/>
        </w:rPr>
        <w:t>3</w:t>
      </w:r>
      <w:r w:rsidR="001072CC">
        <w:rPr>
          <w:rFonts w:eastAsia="Calibri" w:cs="Helvetica-Light"/>
          <w:bCs/>
          <w:color w:val="000000"/>
        </w:rPr>
        <w:t>m which is a reduction of c£6.</w:t>
      </w:r>
      <w:r w:rsidR="008C4254">
        <w:rPr>
          <w:rFonts w:eastAsia="Calibri" w:cs="Helvetica-Light"/>
          <w:bCs/>
          <w:color w:val="000000"/>
        </w:rPr>
        <w:t>3</w:t>
      </w:r>
      <w:r w:rsidR="001072CC">
        <w:rPr>
          <w:rFonts w:eastAsia="Calibri" w:cs="Helvetica-Light"/>
          <w:bCs/>
          <w:color w:val="000000"/>
        </w:rPr>
        <w:t xml:space="preserve">m compared to 2023/24. </w:t>
      </w:r>
    </w:p>
    <w:p w14:paraId="307E44AB" w14:textId="573DE584" w:rsidR="002D7F31" w:rsidRPr="00B84439" w:rsidRDefault="002D7F31" w:rsidP="00B84439">
      <w:pPr>
        <w:autoSpaceDE w:val="0"/>
        <w:autoSpaceDN w:val="0"/>
        <w:adjustRightInd w:val="0"/>
        <w:jc w:val="both"/>
        <w:rPr>
          <w:rFonts w:eastAsia="Calibri" w:cs="Helvetica-Light"/>
          <w:bCs/>
          <w:color w:val="000000"/>
        </w:rPr>
      </w:pPr>
    </w:p>
    <w:p w14:paraId="5D61A893" w14:textId="2504B245" w:rsidR="00085FA8" w:rsidRDefault="004A7A82" w:rsidP="00320643">
      <w:pPr>
        <w:rPr>
          <w:rFonts w:cs="Arial"/>
          <w:b/>
        </w:rPr>
      </w:pPr>
      <w:r>
        <w:rPr>
          <w:rFonts w:cs="Arial"/>
          <w:b/>
        </w:rPr>
        <w:t>10.</w:t>
      </w:r>
      <w:r w:rsidR="00DF6D2C">
        <w:rPr>
          <w:rFonts w:cs="Arial"/>
          <w:b/>
        </w:rPr>
        <w:t>2</w:t>
      </w:r>
      <w:r>
        <w:rPr>
          <w:rFonts w:cs="Arial"/>
          <w:b/>
        </w:rPr>
        <w:t xml:space="preserve"> </w:t>
      </w:r>
      <w:r>
        <w:rPr>
          <w:rFonts w:cs="Arial"/>
          <w:b/>
        </w:rPr>
        <w:tab/>
        <w:t xml:space="preserve">Locally Generated Income </w:t>
      </w:r>
    </w:p>
    <w:p w14:paraId="6A52195C" w14:textId="1C946260" w:rsidR="00085FA8" w:rsidRPr="00DE3326" w:rsidRDefault="00085FA8" w:rsidP="1296B87A">
      <w:pPr>
        <w:rPr>
          <w:rFonts w:cs="Arial"/>
          <w:b/>
          <w:bCs/>
        </w:rPr>
      </w:pPr>
    </w:p>
    <w:p w14:paraId="190DFFFE" w14:textId="582D9404" w:rsidR="2165DDB2" w:rsidRDefault="004A7A82" w:rsidP="1296B87A">
      <w:pPr>
        <w:ind w:firstLine="705"/>
        <w:rPr>
          <w:rFonts w:cs="Arial"/>
          <w:b/>
          <w:bCs/>
        </w:rPr>
      </w:pPr>
      <w:r w:rsidRPr="1296B87A">
        <w:rPr>
          <w:rFonts w:cs="Arial"/>
          <w:b/>
          <w:bCs/>
        </w:rPr>
        <w:t>Council Tax</w:t>
      </w:r>
    </w:p>
    <w:p w14:paraId="46F08FDA" w14:textId="77497987" w:rsidR="002D7F31" w:rsidRPr="002D7F31" w:rsidRDefault="002D7F31" w:rsidP="1296B87A">
      <w:pPr>
        <w:ind w:firstLine="705"/>
        <w:rPr>
          <w:rFonts w:cs="Arial"/>
          <w:b/>
          <w:bCs/>
        </w:rPr>
      </w:pPr>
    </w:p>
    <w:p w14:paraId="583EA913" w14:textId="5A481AA9" w:rsidR="00A953A4" w:rsidRDefault="004A7A82" w:rsidP="00A953A4">
      <w:pPr>
        <w:tabs>
          <w:tab w:val="left" w:pos="709"/>
          <w:tab w:val="left" w:pos="1134"/>
        </w:tabs>
        <w:autoSpaceDE w:val="0"/>
        <w:autoSpaceDN w:val="0"/>
        <w:adjustRightInd w:val="0"/>
        <w:ind w:left="705" w:hanging="705"/>
        <w:contextualSpacing/>
        <w:jc w:val="both"/>
        <w:rPr>
          <w:rFonts w:cs="Arial"/>
          <w:bCs/>
        </w:rPr>
      </w:pPr>
      <w:r>
        <w:rPr>
          <w:rFonts w:cs="Arial"/>
          <w:bCs/>
        </w:rPr>
        <w:t>10.</w:t>
      </w:r>
      <w:r w:rsidR="00DF6D2C">
        <w:rPr>
          <w:rFonts w:cs="Arial"/>
          <w:bCs/>
        </w:rPr>
        <w:t>22</w:t>
      </w:r>
      <w:r w:rsidR="00DE3326" w:rsidRPr="005F53E9">
        <w:rPr>
          <w:rFonts w:cs="Arial"/>
          <w:bCs/>
        </w:rPr>
        <w:tab/>
      </w:r>
      <w:r w:rsidR="00721DD9" w:rsidRPr="005F53E9">
        <w:rPr>
          <w:rFonts w:cs="Arial"/>
          <w:bCs/>
        </w:rPr>
        <w:t>Since 2016/17, for county councils, increases in council tax have included both a core council tax</w:t>
      </w:r>
      <w:r w:rsidR="00721DD9">
        <w:rPr>
          <w:rFonts w:cs="Arial"/>
          <w:bCs/>
        </w:rPr>
        <w:t xml:space="preserve"> increase and an additional flexibility to increase the level further by applying a social care precept. </w:t>
      </w:r>
      <w:r w:rsidR="005503EF">
        <w:rPr>
          <w:rFonts w:cs="Arial"/>
          <w:bCs/>
        </w:rPr>
        <w:t xml:space="preserve">In 2024/25, </w:t>
      </w:r>
      <w:r w:rsidR="000F4451">
        <w:rPr>
          <w:rFonts w:cs="Arial"/>
          <w:bCs/>
        </w:rPr>
        <w:t>the budget requires £</w:t>
      </w:r>
      <w:r w:rsidR="000F4451" w:rsidRPr="005D7A6E">
        <w:rPr>
          <w:rFonts w:eastAsia="Calibri" w:cs="Arial"/>
          <w:color w:val="000000"/>
          <w:lang w:eastAsia="en-US"/>
        </w:rPr>
        <w:t>64</w:t>
      </w:r>
      <w:r w:rsidR="00011E7E">
        <w:rPr>
          <w:rFonts w:eastAsia="Calibri" w:cs="Arial"/>
          <w:color w:val="000000"/>
          <w:lang w:eastAsia="en-US"/>
        </w:rPr>
        <w:t>2.20</w:t>
      </w:r>
      <w:r w:rsidR="000B3CCA">
        <w:rPr>
          <w:rFonts w:eastAsia="Calibri" w:cs="Arial"/>
          <w:color w:val="000000"/>
          <w:lang w:eastAsia="en-US"/>
        </w:rPr>
        <w:t>8</w:t>
      </w:r>
      <w:r w:rsidR="000F4451">
        <w:rPr>
          <w:rFonts w:eastAsia="Calibri" w:cs="Arial"/>
          <w:color w:val="000000"/>
          <w:lang w:eastAsia="en-US"/>
        </w:rPr>
        <w:t>m to be funded from council tax. This will be collected by district councils</w:t>
      </w:r>
      <w:r w:rsidR="00884272">
        <w:rPr>
          <w:rFonts w:eastAsia="Calibri" w:cs="Arial"/>
          <w:color w:val="000000"/>
          <w:lang w:eastAsia="en-US"/>
        </w:rPr>
        <w:t xml:space="preserve"> with </w:t>
      </w:r>
      <w:r w:rsidR="00751E31">
        <w:rPr>
          <w:rFonts w:eastAsia="Calibri" w:cs="Arial"/>
          <w:color w:val="000000"/>
          <w:lang w:eastAsia="en-US"/>
        </w:rPr>
        <w:t xml:space="preserve">the county council element being </w:t>
      </w:r>
      <w:r w:rsidR="00F40873">
        <w:rPr>
          <w:rFonts w:eastAsia="Calibri" w:cs="Arial"/>
          <w:color w:val="000000"/>
          <w:lang w:eastAsia="en-US"/>
        </w:rPr>
        <w:t>collected</w:t>
      </w:r>
      <w:r w:rsidR="00751E31">
        <w:rPr>
          <w:rFonts w:eastAsia="Calibri" w:cs="Arial"/>
          <w:color w:val="000000"/>
          <w:lang w:eastAsia="en-US"/>
        </w:rPr>
        <w:t xml:space="preserve"> </w:t>
      </w:r>
      <w:r w:rsidR="00F40873">
        <w:rPr>
          <w:rFonts w:eastAsia="Calibri" w:cs="Arial"/>
          <w:color w:val="000000"/>
          <w:lang w:eastAsia="en-US"/>
        </w:rPr>
        <w:t>as a precept</w:t>
      </w:r>
      <w:r w:rsidR="00751E31">
        <w:rPr>
          <w:rFonts w:eastAsia="Calibri" w:cs="Arial"/>
          <w:color w:val="000000"/>
          <w:lang w:eastAsia="en-US"/>
        </w:rPr>
        <w:t xml:space="preserve"> on the bill</w:t>
      </w:r>
      <w:r w:rsidR="00F40873">
        <w:rPr>
          <w:rFonts w:eastAsia="Calibri" w:cs="Arial"/>
          <w:color w:val="000000"/>
          <w:lang w:eastAsia="en-US"/>
        </w:rPr>
        <w:t xml:space="preserve">. </w:t>
      </w:r>
    </w:p>
    <w:p w14:paraId="6610C621" w14:textId="77777777" w:rsidR="00D80773" w:rsidRDefault="00D80773" w:rsidP="00A953A4">
      <w:pPr>
        <w:tabs>
          <w:tab w:val="left" w:pos="709"/>
          <w:tab w:val="left" w:pos="1134"/>
        </w:tabs>
        <w:autoSpaceDE w:val="0"/>
        <w:autoSpaceDN w:val="0"/>
        <w:adjustRightInd w:val="0"/>
        <w:ind w:left="705" w:hanging="705"/>
        <w:contextualSpacing/>
        <w:jc w:val="both"/>
        <w:rPr>
          <w:rFonts w:cs="Arial"/>
          <w:bCs/>
        </w:rPr>
      </w:pPr>
    </w:p>
    <w:p w14:paraId="590F92C8" w14:textId="597D58DD" w:rsidR="00D80773" w:rsidRDefault="004A7A82" w:rsidP="00A953A4">
      <w:pPr>
        <w:tabs>
          <w:tab w:val="left" w:pos="709"/>
          <w:tab w:val="left" w:pos="1134"/>
        </w:tabs>
        <w:autoSpaceDE w:val="0"/>
        <w:autoSpaceDN w:val="0"/>
        <w:adjustRightInd w:val="0"/>
        <w:ind w:left="705" w:hanging="705"/>
        <w:contextualSpacing/>
        <w:jc w:val="both"/>
        <w:rPr>
          <w:rFonts w:cs="Arial"/>
        </w:rPr>
      </w:pPr>
      <w:r>
        <w:rPr>
          <w:rFonts w:cs="Arial"/>
          <w:bCs/>
        </w:rPr>
        <w:t>10.</w:t>
      </w:r>
      <w:r w:rsidR="00DF6D2C">
        <w:rPr>
          <w:rFonts w:cs="Arial"/>
          <w:bCs/>
        </w:rPr>
        <w:t>23</w:t>
      </w:r>
      <w:r>
        <w:rPr>
          <w:rFonts w:cs="Arial"/>
          <w:bCs/>
        </w:rPr>
        <w:tab/>
      </w:r>
      <w:r w:rsidR="00DF614E">
        <w:rPr>
          <w:rFonts w:cs="Arial"/>
          <w:bCs/>
        </w:rPr>
        <w:t xml:space="preserve">The medium-term financial strategy assumes that </w:t>
      </w:r>
      <w:r w:rsidR="000437FA">
        <w:rPr>
          <w:rFonts w:cs="Arial"/>
          <w:bCs/>
        </w:rPr>
        <w:t xml:space="preserve">the </w:t>
      </w:r>
      <w:r w:rsidR="00B63671">
        <w:rPr>
          <w:rFonts w:cs="Arial"/>
          <w:bCs/>
        </w:rPr>
        <w:t>C</w:t>
      </w:r>
      <w:r w:rsidR="006056DD">
        <w:rPr>
          <w:rFonts w:cs="Arial"/>
          <w:bCs/>
        </w:rPr>
        <w:t xml:space="preserve">ouncil will increase council tax in line with government and Office of Budget </w:t>
      </w:r>
      <w:r w:rsidR="005C45D1">
        <w:rPr>
          <w:rFonts w:cs="Arial"/>
          <w:bCs/>
        </w:rPr>
        <w:t>R</w:t>
      </w:r>
      <w:r w:rsidR="00142798">
        <w:rPr>
          <w:rFonts w:cs="Arial"/>
          <w:bCs/>
        </w:rPr>
        <w:t xml:space="preserve">esponsibility </w:t>
      </w:r>
      <w:r w:rsidR="004A70BD">
        <w:rPr>
          <w:rFonts w:cs="Arial"/>
          <w:bCs/>
        </w:rPr>
        <w:t>(</w:t>
      </w:r>
      <w:r w:rsidR="00F40873">
        <w:rPr>
          <w:rFonts w:cs="Arial"/>
          <w:bCs/>
        </w:rPr>
        <w:t>OBR) assumptions</w:t>
      </w:r>
      <w:r w:rsidR="00CB6D6B">
        <w:rPr>
          <w:rFonts w:cs="Arial"/>
          <w:bCs/>
        </w:rPr>
        <w:t xml:space="preserve"> </w:t>
      </w:r>
      <w:r w:rsidR="000437FA">
        <w:rPr>
          <w:rFonts w:cs="Arial"/>
          <w:bCs/>
        </w:rPr>
        <w:t>over the period 2024/25 – 2026/</w:t>
      </w:r>
      <w:r w:rsidR="009E0E61">
        <w:rPr>
          <w:rFonts w:cs="Arial"/>
          <w:bCs/>
        </w:rPr>
        <w:t xml:space="preserve">27, however this is a decision taken by Full Council each year as part of the budget setting process. </w:t>
      </w:r>
      <w:r w:rsidR="008F06B2" w:rsidRPr="0070023B">
        <w:rPr>
          <w:rFonts w:cs="Arial"/>
        </w:rPr>
        <w:t>Any decisions not to increase council tax in line with the assumptions above would increase the financial gap; every 1% in council tax yields circa £6m.</w:t>
      </w:r>
    </w:p>
    <w:p w14:paraId="0B8E1059" w14:textId="77777777" w:rsidR="008F06B2" w:rsidRDefault="008F06B2" w:rsidP="00A953A4">
      <w:pPr>
        <w:tabs>
          <w:tab w:val="left" w:pos="709"/>
          <w:tab w:val="left" w:pos="1134"/>
        </w:tabs>
        <w:autoSpaceDE w:val="0"/>
        <w:autoSpaceDN w:val="0"/>
        <w:adjustRightInd w:val="0"/>
        <w:ind w:left="705" w:hanging="705"/>
        <w:contextualSpacing/>
        <w:jc w:val="both"/>
        <w:rPr>
          <w:rFonts w:cs="Arial"/>
        </w:rPr>
      </w:pPr>
    </w:p>
    <w:p w14:paraId="72BAB269" w14:textId="091E66CF" w:rsidR="008F06B2" w:rsidRDefault="004A7A82" w:rsidP="00A953A4">
      <w:pPr>
        <w:tabs>
          <w:tab w:val="left" w:pos="709"/>
          <w:tab w:val="left" w:pos="1134"/>
        </w:tabs>
        <w:autoSpaceDE w:val="0"/>
        <w:autoSpaceDN w:val="0"/>
        <w:adjustRightInd w:val="0"/>
        <w:ind w:left="705" w:hanging="705"/>
        <w:contextualSpacing/>
        <w:jc w:val="both"/>
        <w:rPr>
          <w:rFonts w:cs="Arial"/>
          <w:color w:val="FF0000"/>
        </w:rPr>
      </w:pPr>
      <w:r>
        <w:rPr>
          <w:rFonts w:cs="Arial"/>
        </w:rPr>
        <w:t>10.</w:t>
      </w:r>
      <w:r w:rsidR="00DF6D2C">
        <w:rPr>
          <w:rFonts w:cs="Arial"/>
        </w:rPr>
        <w:t>24</w:t>
      </w:r>
      <w:r>
        <w:rPr>
          <w:rFonts w:cs="Arial"/>
        </w:rPr>
        <w:t xml:space="preserve"> </w:t>
      </w:r>
      <w:r w:rsidR="00976BF8">
        <w:tab/>
      </w:r>
      <w:r w:rsidR="004B436A" w:rsidRPr="000450B7">
        <w:rPr>
          <w:rFonts w:cs="Arial"/>
        </w:rPr>
        <w:t>The</w:t>
      </w:r>
      <w:r w:rsidR="00F40873" w:rsidRPr="000450B7">
        <w:rPr>
          <w:rFonts w:cs="Arial"/>
        </w:rPr>
        <w:t xml:space="preserve"> 2024/25 budget</w:t>
      </w:r>
      <w:r w:rsidR="00F346AD" w:rsidRPr="000450B7">
        <w:rPr>
          <w:rFonts w:cs="Arial"/>
        </w:rPr>
        <w:t xml:space="preserve"> includes an increase of </w:t>
      </w:r>
      <w:r w:rsidR="1DB7074D" w:rsidRPr="000450B7">
        <w:rPr>
          <w:rFonts w:cs="Arial"/>
        </w:rPr>
        <w:t>2</w:t>
      </w:r>
      <w:r w:rsidR="00F346AD" w:rsidRPr="000450B7">
        <w:rPr>
          <w:rFonts w:cs="Arial"/>
        </w:rPr>
        <w:t>.99% in</w:t>
      </w:r>
      <w:r w:rsidR="61BF2401" w:rsidRPr="000450B7">
        <w:rPr>
          <w:rFonts w:cs="Arial"/>
        </w:rPr>
        <w:t xml:space="preserve"> </w:t>
      </w:r>
      <w:r w:rsidR="304D7AF7" w:rsidRPr="000450B7">
        <w:rPr>
          <w:rFonts w:cs="Arial"/>
        </w:rPr>
        <w:t>basic</w:t>
      </w:r>
      <w:r w:rsidR="00F346AD" w:rsidRPr="000450B7">
        <w:rPr>
          <w:rFonts w:cs="Arial"/>
        </w:rPr>
        <w:t xml:space="preserve"> council tax </w:t>
      </w:r>
      <w:r w:rsidR="68E3D5CA" w:rsidRPr="000450B7">
        <w:rPr>
          <w:rFonts w:cs="Arial"/>
        </w:rPr>
        <w:t>and 2% levied through the social care precept to support expenditure in this specific area</w:t>
      </w:r>
      <w:r w:rsidR="00D81C89" w:rsidRPr="000450B7">
        <w:rPr>
          <w:rFonts w:cs="Arial"/>
        </w:rPr>
        <w:t xml:space="preserve">. </w:t>
      </w:r>
      <w:r w:rsidR="00F40873" w:rsidRPr="000450B7">
        <w:rPr>
          <w:rFonts w:cs="Arial"/>
        </w:rPr>
        <w:t>This is the assumed level of council tax increase in both 2025/26 and 2026/27</w:t>
      </w:r>
      <w:r w:rsidR="000450B7" w:rsidRPr="000450B7">
        <w:rPr>
          <w:rFonts w:cs="Arial"/>
        </w:rPr>
        <w:t xml:space="preserve"> as part of the medium-term financial strategy. </w:t>
      </w:r>
    </w:p>
    <w:p w14:paraId="107A1BEA" w14:textId="77777777" w:rsidR="00976BF8" w:rsidRDefault="00976BF8" w:rsidP="00A953A4">
      <w:pPr>
        <w:tabs>
          <w:tab w:val="left" w:pos="709"/>
          <w:tab w:val="left" w:pos="1134"/>
        </w:tabs>
        <w:autoSpaceDE w:val="0"/>
        <w:autoSpaceDN w:val="0"/>
        <w:adjustRightInd w:val="0"/>
        <w:ind w:left="705" w:hanging="705"/>
        <w:contextualSpacing/>
        <w:jc w:val="both"/>
        <w:rPr>
          <w:rFonts w:cs="Arial"/>
        </w:rPr>
      </w:pPr>
    </w:p>
    <w:p w14:paraId="0A5B8B0F" w14:textId="77CF624C" w:rsidR="00164E7A" w:rsidRDefault="004A7A82" w:rsidP="00164E7A">
      <w:pPr>
        <w:tabs>
          <w:tab w:val="left" w:pos="709"/>
          <w:tab w:val="left" w:pos="1134"/>
        </w:tabs>
        <w:autoSpaceDE w:val="0"/>
        <w:autoSpaceDN w:val="0"/>
        <w:adjustRightInd w:val="0"/>
        <w:ind w:left="705" w:hanging="705"/>
        <w:contextualSpacing/>
        <w:jc w:val="both"/>
        <w:rPr>
          <w:rFonts w:cs="Arial"/>
        </w:rPr>
      </w:pPr>
      <w:r>
        <w:rPr>
          <w:rFonts w:cs="Arial"/>
        </w:rPr>
        <w:t>10.</w:t>
      </w:r>
      <w:r w:rsidR="00DF6D2C">
        <w:rPr>
          <w:rFonts w:cs="Arial"/>
        </w:rPr>
        <w:t>25</w:t>
      </w:r>
      <w:r w:rsidR="00976BF8">
        <w:rPr>
          <w:rFonts w:cs="Arial"/>
        </w:rPr>
        <w:tab/>
      </w:r>
      <w:r w:rsidR="00CB4BF3">
        <w:rPr>
          <w:rFonts w:cs="Arial"/>
        </w:rPr>
        <w:t xml:space="preserve">Each year there is an expectation that the tax base </w:t>
      </w:r>
      <w:r w:rsidR="006D02D4">
        <w:rPr>
          <w:rFonts w:cs="Arial"/>
        </w:rPr>
        <w:t xml:space="preserve">on which </w:t>
      </w:r>
      <w:r w:rsidR="00A87BA2">
        <w:rPr>
          <w:rFonts w:cs="Arial"/>
        </w:rPr>
        <w:t>council tax is levied will increase as more houses are built (although there are other elements included in the tax base calculation)</w:t>
      </w:r>
      <w:r w:rsidR="005A00FE">
        <w:rPr>
          <w:rFonts w:cs="Arial"/>
        </w:rPr>
        <w:t xml:space="preserve">. </w:t>
      </w:r>
      <w:r w:rsidR="00011E7E">
        <w:rPr>
          <w:rFonts w:cs="Arial"/>
        </w:rPr>
        <w:t xml:space="preserve">The </w:t>
      </w:r>
      <w:r w:rsidR="00AF4623">
        <w:rPr>
          <w:rFonts w:cs="Arial"/>
        </w:rPr>
        <w:t xml:space="preserve">2024/25 budget </w:t>
      </w:r>
      <w:r w:rsidR="0023548F">
        <w:rPr>
          <w:rFonts w:cs="Arial"/>
        </w:rPr>
        <w:t xml:space="preserve">did assume that an increase of 1.7% for tax base would be achieved, however, following returns from district councils this has been confirmed at 1.2%, meaning c£3.2m less income will be yielded from council tax. </w:t>
      </w:r>
      <w:r>
        <w:rPr>
          <w:rFonts w:cs="Arial"/>
        </w:rPr>
        <w:t xml:space="preserve">It has been assumed this </w:t>
      </w:r>
      <w:r w:rsidR="000A0A1E">
        <w:rPr>
          <w:rFonts w:cs="Arial"/>
        </w:rPr>
        <w:t>lev</w:t>
      </w:r>
      <w:r w:rsidR="00810A54">
        <w:rPr>
          <w:rFonts w:cs="Arial"/>
        </w:rPr>
        <w:t>el of increase is more likely in future years</w:t>
      </w:r>
      <w:r>
        <w:rPr>
          <w:rFonts w:cs="Arial"/>
        </w:rPr>
        <w:t xml:space="preserve"> and forecasts in 2025/26 and 2026/27 </w:t>
      </w:r>
      <w:r w:rsidR="00FA7C73">
        <w:rPr>
          <w:rFonts w:cs="Arial"/>
        </w:rPr>
        <w:t>also include a forecast tax base of 1.2%.</w:t>
      </w:r>
    </w:p>
    <w:p w14:paraId="7F788187" w14:textId="77777777" w:rsidR="00CD446E" w:rsidRDefault="00CD446E" w:rsidP="00FA7C73">
      <w:pPr>
        <w:tabs>
          <w:tab w:val="left" w:pos="709"/>
          <w:tab w:val="left" w:pos="1134"/>
        </w:tabs>
        <w:autoSpaceDE w:val="0"/>
        <w:autoSpaceDN w:val="0"/>
        <w:adjustRightInd w:val="0"/>
        <w:contextualSpacing/>
        <w:jc w:val="both"/>
        <w:rPr>
          <w:rFonts w:cs="Arial"/>
        </w:rPr>
      </w:pPr>
    </w:p>
    <w:p w14:paraId="1192EB93" w14:textId="56F3EFA9" w:rsidR="00356D05" w:rsidRDefault="004A7A82" w:rsidP="00356D05">
      <w:pPr>
        <w:spacing w:line="276" w:lineRule="auto"/>
        <w:ind w:left="705" w:hanging="705"/>
        <w:jc w:val="both"/>
        <w:rPr>
          <w:rFonts w:cs="Arial"/>
        </w:rPr>
      </w:pPr>
      <w:r w:rsidRPr="1296B87A">
        <w:rPr>
          <w:rFonts w:cs="Arial"/>
        </w:rPr>
        <w:t>10.</w:t>
      </w:r>
      <w:r w:rsidR="00DF6D2C">
        <w:rPr>
          <w:rFonts w:cs="Arial"/>
        </w:rPr>
        <w:t>29</w:t>
      </w:r>
      <w:r>
        <w:tab/>
      </w:r>
      <w:r w:rsidR="00DC10E5">
        <w:rPr>
          <w:rFonts w:cs="Arial"/>
        </w:rPr>
        <w:t>Full Council is asked to approve</w:t>
      </w:r>
      <w:r w:rsidRPr="1296B87A">
        <w:rPr>
          <w:rFonts w:cs="Arial"/>
        </w:rPr>
        <w:t xml:space="preserve">, in pursuance of the provisions of the Local Government Finance Act 1992, and </w:t>
      </w:r>
      <w:proofErr w:type="gramStart"/>
      <w:r w:rsidRPr="1296B87A">
        <w:rPr>
          <w:rFonts w:cs="Arial"/>
        </w:rPr>
        <w:t>in order to</w:t>
      </w:r>
      <w:proofErr w:type="gramEnd"/>
      <w:r w:rsidRPr="1296B87A">
        <w:rPr>
          <w:rFonts w:cs="Arial"/>
        </w:rPr>
        <w:t xml:space="preserve"> meet the general expenses of the county council for the financial year </w:t>
      </w:r>
      <w:r w:rsidRPr="1296B87A">
        <w:rPr>
          <w:rFonts w:cs="Arial"/>
          <w:b/>
          <w:bCs/>
        </w:rPr>
        <w:t>2024/25</w:t>
      </w:r>
      <w:r w:rsidRPr="1296B87A">
        <w:rPr>
          <w:rFonts w:cs="Arial"/>
        </w:rPr>
        <w:t>.</w:t>
      </w:r>
    </w:p>
    <w:p w14:paraId="4DA3D5AB" w14:textId="2C0EC9BE" w:rsidR="00356D05" w:rsidRDefault="00356D05" w:rsidP="00356D05">
      <w:pPr>
        <w:spacing w:line="276" w:lineRule="auto"/>
        <w:ind w:left="705" w:hanging="705"/>
        <w:jc w:val="both"/>
        <w:rPr>
          <w:rFonts w:cs="Arial"/>
        </w:rPr>
      </w:pPr>
    </w:p>
    <w:p w14:paraId="37DCD76D" w14:textId="34CF2E01" w:rsidR="00356D05" w:rsidRPr="00356D05" w:rsidRDefault="004A7A82" w:rsidP="005838A0">
      <w:pPr>
        <w:pStyle w:val="ListParagraph"/>
        <w:numPr>
          <w:ilvl w:val="0"/>
          <w:numId w:val="21"/>
        </w:numPr>
        <w:spacing w:line="276" w:lineRule="auto"/>
        <w:jc w:val="both"/>
        <w:rPr>
          <w:rFonts w:cs="Arial"/>
        </w:rPr>
      </w:pPr>
      <w:r w:rsidRPr="1296B87A">
        <w:rPr>
          <w:rFonts w:cs="Arial"/>
        </w:rPr>
        <w:t xml:space="preserve">Council Tax Requirement and Precept for </w:t>
      </w:r>
      <w:r w:rsidRPr="1296B87A">
        <w:rPr>
          <w:rFonts w:cs="Arial"/>
          <w:b/>
          <w:bCs/>
        </w:rPr>
        <w:t>2024/25</w:t>
      </w:r>
      <w:r w:rsidRPr="1296B87A">
        <w:rPr>
          <w:rFonts w:cs="Arial"/>
        </w:rPr>
        <w:t>:</w:t>
      </w:r>
    </w:p>
    <w:p w14:paraId="6FC8E987" w14:textId="182D0EE4" w:rsidR="00356D05" w:rsidRPr="00356D05" w:rsidRDefault="00356D05" w:rsidP="00356D05">
      <w:pPr>
        <w:spacing w:line="276" w:lineRule="auto"/>
        <w:ind w:left="1080"/>
        <w:jc w:val="both"/>
        <w:rPr>
          <w:rFonts w:cs="Arial"/>
        </w:rPr>
      </w:pPr>
    </w:p>
    <w:p w14:paraId="2E4151A2" w14:textId="3BD246CB" w:rsidR="00356D05" w:rsidRPr="00356D05" w:rsidRDefault="004A7A82" w:rsidP="00356D05">
      <w:pPr>
        <w:spacing w:line="276" w:lineRule="auto"/>
        <w:ind w:left="360" w:firstLine="720"/>
        <w:jc w:val="both"/>
        <w:rPr>
          <w:rFonts w:cs="Arial"/>
        </w:rPr>
      </w:pPr>
      <w:r w:rsidRPr="1296B87A">
        <w:rPr>
          <w:rFonts w:cs="Arial"/>
        </w:rPr>
        <w:t xml:space="preserve">That the band D council tax for </w:t>
      </w:r>
      <w:r w:rsidRPr="1296B87A">
        <w:rPr>
          <w:rFonts w:cs="Arial"/>
          <w:b/>
          <w:bCs/>
        </w:rPr>
        <w:t>2024/25</w:t>
      </w:r>
      <w:r w:rsidRPr="1296B87A">
        <w:rPr>
          <w:rFonts w:cs="Arial"/>
        </w:rPr>
        <w:t xml:space="preserve"> is increased by 4.99% as follows:</w:t>
      </w:r>
    </w:p>
    <w:p w14:paraId="1AE56FF2" w14:textId="58824003" w:rsidR="00356D05" w:rsidRPr="00356D05" w:rsidRDefault="004A7A82" w:rsidP="005838A0">
      <w:pPr>
        <w:pStyle w:val="ListParagraph"/>
        <w:numPr>
          <w:ilvl w:val="0"/>
          <w:numId w:val="10"/>
        </w:numPr>
        <w:spacing w:line="276" w:lineRule="auto"/>
        <w:jc w:val="both"/>
        <w:rPr>
          <w:rFonts w:cs="Arial"/>
        </w:rPr>
      </w:pPr>
      <w:r w:rsidRPr="1296B87A">
        <w:rPr>
          <w:rFonts w:cs="Arial"/>
        </w:rPr>
        <w:t>2.99% for general council tax being an annual increase £47.09 for band D council taxpayers.</w:t>
      </w:r>
    </w:p>
    <w:p w14:paraId="11812B86" w14:textId="5E33BA50" w:rsidR="00356D05" w:rsidRDefault="004A7A82" w:rsidP="005838A0">
      <w:pPr>
        <w:pStyle w:val="ListParagraph"/>
        <w:numPr>
          <w:ilvl w:val="0"/>
          <w:numId w:val="10"/>
        </w:numPr>
        <w:spacing w:line="276" w:lineRule="auto"/>
        <w:jc w:val="both"/>
        <w:rPr>
          <w:rFonts w:cs="Arial"/>
        </w:rPr>
      </w:pPr>
      <w:r w:rsidRPr="1296B87A">
        <w:rPr>
          <w:rFonts w:cs="Arial"/>
        </w:rPr>
        <w:t>2% for the adult social care precept being an annual increase of £31.49 for band D council taxpayers.</w:t>
      </w:r>
    </w:p>
    <w:p w14:paraId="4C263126" w14:textId="77777777" w:rsidR="005C1FBE" w:rsidRDefault="005C1FBE" w:rsidP="00356D05">
      <w:pPr>
        <w:spacing w:line="276" w:lineRule="auto"/>
        <w:ind w:firstLine="720"/>
        <w:jc w:val="both"/>
        <w:rPr>
          <w:rFonts w:cs="Arial"/>
        </w:rPr>
      </w:pPr>
    </w:p>
    <w:p w14:paraId="079D5717" w14:textId="7859FBE6" w:rsidR="00467834" w:rsidRDefault="004A7A82" w:rsidP="00AF5F5D">
      <w:pPr>
        <w:spacing w:line="276" w:lineRule="auto"/>
        <w:ind w:firstLine="720"/>
        <w:jc w:val="both"/>
        <w:rPr>
          <w:rFonts w:cs="Arial"/>
        </w:rPr>
      </w:pPr>
      <w:r w:rsidRPr="1296B87A">
        <w:rPr>
          <w:rFonts w:cs="Arial"/>
        </w:rPr>
        <w:t>This gives an overall position of:</w:t>
      </w:r>
    </w:p>
    <w:p w14:paraId="35302CD7" w14:textId="77777777" w:rsidR="00AF5F5D" w:rsidRPr="00356D05" w:rsidRDefault="00AF5F5D" w:rsidP="00AF5F5D">
      <w:pPr>
        <w:spacing w:line="276" w:lineRule="auto"/>
        <w:ind w:firstLine="720"/>
        <w:jc w:val="both"/>
        <w:rPr>
          <w:rFonts w:cs="Arial"/>
        </w:rPr>
      </w:pPr>
    </w:p>
    <w:p w14:paraId="50F135B6" w14:textId="6767B758" w:rsidR="00356D05" w:rsidRPr="00467834" w:rsidRDefault="004A7A82" w:rsidP="00356D05">
      <w:pPr>
        <w:spacing w:line="276" w:lineRule="auto"/>
        <w:jc w:val="both"/>
        <w:rPr>
          <w:rFonts w:cs="Arial"/>
          <w:b/>
          <w:bCs/>
          <w:i/>
          <w:iCs/>
          <w:u w:val="single"/>
        </w:rPr>
      </w:pPr>
      <w:r w:rsidRPr="00467834">
        <w:rPr>
          <w:rFonts w:cs="Arial"/>
          <w:b/>
          <w:bCs/>
          <w:i/>
          <w:iCs/>
          <w:u w:val="single"/>
        </w:rPr>
        <w:t xml:space="preserve">Table </w:t>
      </w:r>
      <w:r w:rsidR="006A7473">
        <w:rPr>
          <w:rFonts w:cs="Arial"/>
          <w:b/>
          <w:bCs/>
          <w:i/>
          <w:iCs/>
          <w:u w:val="single"/>
        </w:rPr>
        <w:t>8</w:t>
      </w:r>
    </w:p>
    <w:p w14:paraId="1170DC67" w14:textId="77777777" w:rsidR="00467834" w:rsidRPr="00356D05" w:rsidRDefault="00467834" w:rsidP="00356D05">
      <w:pPr>
        <w:spacing w:line="276" w:lineRule="auto"/>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1"/>
        <w:gridCol w:w="2505"/>
      </w:tblGrid>
      <w:tr w:rsidR="00C92CD8" w14:paraId="2FAF4174" w14:textId="77777777">
        <w:trPr>
          <w:trHeight w:val="377"/>
          <w:jc w:val="center"/>
        </w:trPr>
        <w:tc>
          <w:tcPr>
            <w:tcW w:w="5681" w:type="dxa"/>
            <w:shd w:val="clear" w:color="auto" w:fill="BFBFBF"/>
            <w:vAlign w:val="center"/>
          </w:tcPr>
          <w:p w14:paraId="50A65C03" w14:textId="77777777" w:rsidR="00356D05" w:rsidRPr="00356D05" w:rsidRDefault="00356D05">
            <w:pPr>
              <w:autoSpaceDE w:val="0"/>
              <w:autoSpaceDN w:val="0"/>
              <w:adjustRightInd w:val="0"/>
              <w:spacing w:after="200" w:line="276" w:lineRule="auto"/>
              <w:jc w:val="center"/>
              <w:rPr>
                <w:rFonts w:cs="Arial"/>
                <w:b/>
                <w:lang w:eastAsia="en-US"/>
              </w:rPr>
            </w:pPr>
          </w:p>
        </w:tc>
        <w:tc>
          <w:tcPr>
            <w:tcW w:w="2505" w:type="dxa"/>
            <w:shd w:val="clear" w:color="auto" w:fill="BFBFBF"/>
            <w:vAlign w:val="center"/>
          </w:tcPr>
          <w:p w14:paraId="1924B137" w14:textId="77777777" w:rsidR="00356D05" w:rsidRPr="00356D05" w:rsidRDefault="004A7A82">
            <w:pPr>
              <w:autoSpaceDE w:val="0"/>
              <w:autoSpaceDN w:val="0"/>
              <w:adjustRightInd w:val="0"/>
              <w:spacing w:line="276" w:lineRule="auto"/>
              <w:jc w:val="center"/>
              <w:rPr>
                <w:rFonts w:cs="Arial"/>
                <w:b/>
                <w:lang w:eastAsia="en-US"/>
              </w:rPr>
            </w:pPr>
            <w:r w:rsidRPr="00356D05">
              <w:rPr>
                <w:rFonts w:cs="Arial"/>
                <w:b/>
                <w:lang w:eastAsia="en-US"/>
              </w:rPr>
              <w:t>£m</w:t>
            </w:r>
          </w:p>
        </w:tc>
      </w:tr>
      <w:tr w:rsidR="00C92CD8" w14:paraId="27C06413" w14:textId="77777777">
        <w:trPr>
          <w:trHeight w:val="377"/>
          <w:jc w:val="center"/>
        </w:trPr>
        <w:tc>
          <w:tcPr>
            <w:tcW w:w="5681" w:type="dxa"/>
            <w:shd w:val="clear" w:color="auto" w:fill="BFBFBF"/>
            <w:vAlign w:val="center"/>
          </w:tcPr>
          <w:p w14:paraId="716EDB00" w14:textId="7A7623CF" w:rsidR="00356D05" w:rsidRPr="0072541F" w:rsidRDefault="004A7A82">
            <w:pPr>
              <w:autoSpaceDE w:val="0"/>
              <w:autoSpaceDN w:val="0"/>
              <w:adjustRightInd w:val="0"/>
              <w:spacing w:line="276" w:lineRule="auto"/>
              <w:rPr>
                <w:rFonts w:cs="Arial"/>
                <w:b/>
                <w:highlight w:val="yellow"/>
                <w:lang w:eastAsia="en-US"/>
              </w:rPr>
            </w:pPr>
            <w:r w:rsidRPr="00270F48">
              <w:rPr>
                <w:rFonts w:cs="Arial"/>
                <w:b/>
                <w:lang w:eastAsia="en-US"/>
              </w:rPr>
              <w:t>Budget Requirement</w:t>
            </w:r>
            <w:r w:rsidR="00270F48" w:rsidRPr="00270F48">
              <w:rPr>
                <w:rFonts w:cs="Arial"/>
                <w:b/>
                <w:lang w:eastAsia="en-US"/>
              </w:rPr>
              <w:t xml:space="preserve"> (post reserve contribution)</w:t>
            </w:r>
          </w:p>
        </w:tc>
        <w:tc>
          <w:tcPr>
            <w:tcW w:w="2505" w:type="dxa"/>
            <w:shd w:val="clear" w:color="auto" w:fill="BFBFBF"/>
            <w:vAlign w:val="center"/>
          </w:tcPr>
          <w:p w14:paraId="44D4835D" w14:textId="673E4F7C" w:rsidR="00356D05" w:rsidRPr="0072541F" w:rsidRDefault="004A7A82">
            <w:pPr>
              <w:autoSpaceDE w:val="0"/>
              <w:autoSpaceDN w:val="0"/>
              <w:adjustRightInd w:val="0"/>
              <w:spacing w:line="276" w:lineRule="auto"/>
              <w:jc w:val="right"/>
              <w:rPr>
                <w:rFonts w:cs="Arial"/>
                <w:b/>
                <w:highlight w:val="yellow"/>
                <w:lang w:eastAsia="en-US"/>
              </w:rPr>
            </w:pPr>
            <w:r w:rsidRPr="00861C2E">
              <w:rPr>
                <w:rFonts w:cs="Arial"/>
                <w:b/>
                <w:lang w:eastAsia="en-US"/>
              </w:rPr>
              <w:t>1,11</w:t>
            </w:r>
            <w:r w:rsidR="00861C2E" w:rsidRPr="00861C2E">
              <w:rPr>
                <w:rFonts w:cs="Arial"/>
                <w:b/>
                <w:lang w:eastAsia="en-US"/>
              </w:rPr>
              <w:t>1</w:t>
            </w:r>
            <w:r w:rsidRPr="00861C2E">
              <w:rPr>
                <w:rFonts w:cs="Arial"/>
                <w:b/>
                <w:lang w:eastAsia="en-US"/>
              </w:rPr>
              <w:t>.</w:t>
            </w:r>
            <w:r w:rsidR="00861C2E" w:rsidRPr="00861C2E">
              <w:rPr>
                <w:rFonts w:cs="Arial"/>
                <w:b/>
                <w:lang w:eastAsia="en-US"/>
              </w:rPr>
              <w:t>754</w:t>
            </w:r>
          </w:p>
        </w:tc>
      </w:tr>
      <w:tr w:rsidR="00C92CD8" w14:paraId="2402880E" w14:textId="77777777" w:rsidTr="0044620B">
        <w:trPr>
          <w:trHeight w:val="377"/>
          <w:jc w:val="center"/>
        </w:trPr>
        <w:tc>
          <w:tcPr>
            <w:tcW w:w="5681" w:type="dxa"/>
            <w:shd w:val="clear" w:color="auto" w:fill="auto"/>
            <w:vAlign w:val="center"/>
          </w:tcPr>
          <w:p w14:paraId="1ACBE5DA" w14:textId="77777777" w:rsidR="00356D05" w:rsidRPr="00356D05" w:rsidRDefault="004A7A82">
            <w:pPr>
              <w:autoSpaceDE w:val="0"/>
              <w:autoSpaceDN w:val="0"/>
              <w:adjustRightInd w:val="0"/>
              <w:spacing w:line="276" w:lineRule="auto"/>
              <w:rPr>
                <w:rFonts w:cs="Arial"/>
                <w:lang w:eastAsia="en-US"/>
              </w:rPr>
            </w:pPr>
            <w:r w:rsidRPr="00356D05">
              <w:rPr>
                <w:rFonts w:cs="Arial"/>
                <w:lang w:eastAsia="en-US"/>
              </w:rPr>
              <w:t>Less Revenue Support Grant</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1B3D9179" w14:textId="0C1DC97E" w:rsidR="00356D05" w:rsidRPr="00356D05" w:rsidRDefault="004A7A82">
            <w:pPr>
              <w:autoSpaceDE w:val="0"/>
              <w:autoSpaceDN w:val="0"/>
              <w:adjustRightInd w:val="0"/>
              <w:spacing w:line="276" w:lineRule="auto"/>
              <w:jc w:val="right"/>
              <w:rPr>
                <w:rFonts w:cs="Arial"/>
                <w:lang w:eastAsia="en-US"/>
              </w:rPr>
            </w:pPr>
            <w:r>
              <w:rPr>
                <w:rFonts w:cs="Arial"/>
                <w:lang w:eastAsia="en-US"/>
              </w:rPr>
              <w:t>40.737</w:t>
            </w:r>
          </w:p>
        </w:tc>
      </w:tr>
      <w:tr w:rsidR="00C92CD8" w14:paraId="2CF8FEFA" w14:textId="77777777" w:rsidTr="0044620B">
        <w:trPr>
          <w:trHeight w:val="400"/>
          <w:jc w:val="center"/>
        </w:trPr>
        <w:tc>
          <w:tcPr>
            <w:tcW w:w="5681" w:type="dxa"/>
            <w:shd w:val="clear" w:color="auto" w:fill="auto"/>
            <w:vAlign w:val="center"/>
          </w:tcPr>
          <w:p w14:paraId="102A444D" w14:textId="77777777" w:rsidR="00356D05" w:rsidRPr="00356D05" w:rsidRDefault="004A7A82">
            <w:pPr>
              <w:autoSpaceDE w:val="0"/>
              <w:autoSpaceDN w:val="0"/>
              <w:adjustRightInd w:val="0"/>
              <w:spacing w:line="276" w:lineRule="auto"/>
              <w:rPr>
                <w:rFonts w:cs="Arial"/>
                <w:lang w:eastAsia="en-US"/>
              </w:rPr>
            </w:pPr>
            <w:r w:rsidRPr="00356D05">
              <w:rPr>
                <w:rFonts w:cs="Arial"/>
                <w:color w:val="000000"/>
                <w:lang w:eastAsia="en-US"/>
              </w:rPr>
              <w:t>Less Business Rates</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408AEED4" w14:textId="58E67B8D" w:rsidR="00356D05" w:rsidRPr="00356D05" w:rsidRDefault="004A7A82">
            <w:pPr>
              <w:autoSpaceDE w:val="0"/>
              <w:autoSpaceDN w:val="0"/>
              <w:adjustRightInd w:val="0"/>
              <w:spacing w:line="276" w:lineRule="auto"/>
              <w:jc w:val="right"/>
              <w:rPr>
                <w:rFonts w:cs="Arial"/>
                <w:lang w:eastAsia="en-US"/>
              </w:rPr>
            </w:pPr>
            <w:r>
              <w:rPr>
                <w:rFonts w:cs="Arial"/>
                <w:lang w:eastAsia="en-US"/>
              </w:rPr>
              <w:t>252.868</w:t>
            </w:r>
          </w:p>
        </w:tc>
      </w:tr>
      <w:tr w:rsidR="00C92CD8" w14:paraId="00CB40AD" w14:textId="77777777" w:rsidTr="0044620B">
        <w:trPr>
          <w:trHeight w:val="400"/>
          <w:jc w:val="center"/>
        </w:trPr>
        <w:tc>
          <w:tcPr>
            <w:tcW w:w="5681" w:type="dxa"/>
            <w:shd w:val="clear" w:color="auto" w:fill="auto"/>
            <w:vAlign w:val="center"/>
          </w:tcPr>
          <w:p w14:paraId="675A8CFE" w14:textId="77777777" w:rsidR="00356D05" w:rsidRPr="00356D05" w:rsidRDefault="004A7A82">
            <w:pPr>
              <w:autoSpaceDE w:val="0"/>
              <w:autoSpaceDN w:val="0"/>
              <w:adjustRightInd w:val="0"/>
              <w:spacing w:line="276" w:lineRule="auto"/>
              <w:rPr>
                <w:rFonts w:cs="Arial"/>
                <w:lang w:eastAsia="en-US"/>
              </w:rPr>
            </w:pPr>
            <w:r w:rsidRPr="00356D05">
              <w:rPr>
                <w:rFonts w:cs="Arial"/>
                <w:color w:val="000000"/>
                <w:lang w:eastAsia="en-US"/>
              </w:rPr>
              <w:t>Less New Homes Bonus</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17DFD3C1" w14:textId="0BD464CC" w:rsidR="00356D05" w:rsidRPr="00356D05" w:rsidRDefault="004A7A82">
            <w:pPr>
              <w:autoSpaceDE w:val="0"/>
              <w:autoSpaceDN w:val="0"/>
              <w:adjustRightInd w:val="0"/>
              <w:spacing w:line="276" w:lineRule="auto"/>
              <w:jc w:val="right"/>
              <w:rPr>
                <w:rFonts w:cs="Arial"/>
                <w:lang w:eastAsia="en-US"/>
              </w:rPr>
            </w:pPr>
            <w:r>
              <w:rPr>
                <w:rFonts w:cs="Arial"/>
                <w:lang w:eastAsia="en-US"/>
              </w:rPr>
              <w:t>1.497</w:t>
            </w:r>
          </w:p>
        </w:tc>
      </w:tr>
      <w:tr w:rsidR="00C92CD8" w14:paraId="6733E008" w14:textId="77777777" w:rsidTr="0044620B">
        <w:trPr>
          <w:trHeight w:val="400"/>
          <w:jc w:val="center"/>
        </w:trPr>
        <w:tc>
          <w:tcPr>
            <w:tcW w:w="5681" w:type="dxa"/>
            <w:shd w:val="clear" w:color="auto" w:fill="auto"/>
            <w:vAlign w:val="center"/>
          </w:tcPr>
          <w:p w14:paraId="107CCABF" w14:textId="77777777" w:rsidR="00356D05" w:rsidRPr="00356D05" w:rsidRDefault="004A7A82">
            <w:pPr>
              <w:autoSpaceDE w:val="0"/>
              <w:autoSpaceDN w:val="0"/>
              <w:adjustRightInd w:val="0"/>
              <w:spacing w:line="276" w:lineRule="auto"/>
              <w:rPr>
                <w:rFonts w:cs="Arial"/>
                <w:lang w:eastAsia="en-US"/>
              </w:rPr>
            </w:pPr>
            <w:r w:rsidRPr="00356D05">
              <w:rPr>
                <w:rFonts w:cs="Arial"/>
                <w:color w:val="000000"/>
                <w:lang w:eastAsia="en-US"/>
              </w:rPr>
              <w:t>Less Improved Better Care Fund</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1E7AC713" w14:textId="16B0374A" w:rsidR="00356D05" w:rsidRPr="00356D05" w:rsidRDefault="004A7A82">
            <w:pPr>
              <w:autoSpaceDE w:val="0"/>
              <w:autoSpaceDN w:val="0"/>
              <w:adjustRightInd w:val="0"/>
              <w:spacing w:line="276" w:lineRule="auto"/>
              <w:jc w:val="right"/>
              <w:rPr>
                <w:rFonts w:cs="Arial"/>
                <w:lang w:eastAsia="en-US"/>
              </w:rPr>
            </w:pPr>
            <w:r>
              <w:rPr>
                <w:rFonts w:cs="Arial"/>
                <w:lang w:eastAsia="en-US"/>
              </w:rPr>
              <w:t>47.145</w:t>
            </w:r>
          </w:p>
        </w:tc>
      </w:tr>
      <w:tr w:rsidR="00C92CD8" w14:paraId="2853F7FB" w14:textId="77777777" w:rsidTr="0044620B">
        <w:trPr>
          <w:trHeight w:val="400"/>
          <w:jc w:val="center"/>
        </w:trPr>
        <w:tc>
          <w:tcPr>
            <w:tcW w:w="5681" w:type="dxa"/>
            <w:shd w:val="clear" w:color="auto" w:fill="auto"/>
            <w:vAlign w:val="center"/>
          </w:tcPr>
          <w:p w14:paraId="4C2676F9" w14:textId="77777777" w:rsidR="00356D05" w:rsidRPr="00356D05" w:rsidRDefault="004A7A82">
            <w:pPr>
              <w:autoSpaceDE w:val="0"/>
              <w:autoSpaceDN w:val="0"/>
              <w:adjustRightInd w:val="0"/>
              <w:spacing w:line="276" w:lineRule="auto"/>
              <w:rPr>
                <w:rFonts w:cs="Arial"/>
                <w:lang w:eastAsia="en-US"/>
              </w:rPr>
            </w:pPr>
            <w:r w:rsidRPr="00356D05">
              <w:rPr>
                <w:rFonts w:cs="Arial"/>
                <w:color w:val="000000"/>
                <w:lang w:eastAsia="en-US"/>
              </w:rPr>
              <w:t>Less Social Care Grant</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7AAF0B5D" w14:textId="5EDA33F3" w:rsidR="00356D05" w:rsidRPr="00356D05" w:rsidRDefault="004A7A82">
            <w:pPr>
              <w:autoSpaceDE w:val="0"/>
              <w:autoSpaceDN w:val="0"/>
              <w:adjustRightInd w:val="0"/>
              <w:spacing w:line="276" w:lineRule="auto"/>
              <w:jc w:val="right"/>
              <w:rPr>
                <w:rFonts w:cs="Arial"/>
                <w:lang w:eastAsia="en-US"/>
              </w:rPr>
            </w:pPr>
            <w:r>
              <w:rPr>
                <w:rFonts w:cs="Arial"/>
                <w:lang w:eastAsia="en-US"/>
              </w:rPr>
              <w:t>123.055</w:t>
            </w:r>
          </w:p>
        </w:tc>
      </w:tr>
      <w:tr w:rsidR="00C92CD8" w14:paraId="031990C5" w14:textId="77777777" w:rsidTr="0044620B">
        <w:trPr>
          <w:trHeight w:val="400"/>
          <w:jc w:val="center"/>
        </w:trPr>
        <w:tc>
          <w:tcPr>
            <w:tcW w:w="5681" w:type="dxa"/>
            <w:shd w:val="clear" w:color="auto" w:fill="auto"/>
            <w:vAlign w:val="center"/>
          </w:tcPr>
          <w:p w14:paraId="385D2223" w14:textId="77777777" w:rsidR="00356D05" w:rsidRPr="00356D05" w:rsidRDefault="004A7A82">
            <w:pPr>
              <w:autoSpaceDE w:val="0"/>
              <w:autoSpaceDN w:val="0"/>
              <w:adjustRightInd w:val="0"/>
              <w:spacing w:line="276" w:lineRule="auto"/>
              <w:rPr>
                <w:rFonts w:cs="Arial"/>
                <w:lang w:eastAsia="en-US"/>
              </w:rPr>
            </w:pPr>
            <w:r w:rsidRPr="00356D05">
              <w:rPr>
                <w:rFonts w:cs="Arial"/>
                <w:color w:val="000000"/>
                <w:lang w:eastAsia="en-US"/>
              </w:rPr>
              <w:t xml:space="preserve">Less Collection Fund </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67F37D44" w14:textId="354B99B5" w:rsidR="00356D05" w:rsidRPr="00356D05" w:rsidRDefault="004A7A82">
            <w:pPr>
              <w:autoSpaceDE w:val="0"/>
              <w:autoSpaceDN w:val="0"/>
              <w:adjustRightInd w:val="0"/>
              <w:spacing w:line="276" w:lineRule="auto"/>
              <w:jc w:val="right"/>
              <w:rPr>
                <w:rFonts w:cs="Arial"/>
                <w:lang w:eastAsia="en-US"/>
              </w:rPr>
            </w:pPr>
            <w:r>
              <w:rPr>
                <w:rFonts w:cs="Arial"/>
                <w:lang w:eastAsia="en-US"/>
              </w:rPr>
              <w:t>-2.079</w:t>
            </w:r>
          </w:p>
        </w:tc>
      </w:tr>
      <w:tr w:rsidR="00C92CD8" w14:paraId="0DC45B64" w14:textId="77777777">
        <w:trPr>
          <w:trHeight w:val="400"/>
          <w:jc w:val="center"/>
        </w:trPr>
        <w:tc>
          <w:tcPr>
            <w:tcW w:w="5681" w:type="dxa"/>
            <w:shd w:val="clear" w:color="auto" w:fill="auto"/>
            <w:vAlign w:val="center"/>
          </w:tcPr>
          <w:p w14:paraId="06D37ABC" w14:textId="77777777" w:rsidR="00356D05" w:rsidRPr="00356D05" w:rsidRDefault="004A7A82">
            <w:pPr>
              <w:autoSpaceDE w:val="0"/>
              <w:autoSpaceDN w:val="0"/>
              <w:adjustRightInd w:val="0"/>
              <w:spacing w:line="276" w:lineRule="auto"/>
              <w:rPr>
                <w:rFonts w:cs="Arial"/>
                <w:color w:val="000000"/>
                <w:lang w:eastAsia="en-US"/>
              </w:rPr>
            </w:pPr>
            <w:r w:rsidRPr="00356D05">
              <w:rPr>
                <w:rFonts w:cs="Arial"/>
                <w:color w:val="000000"/>
                <w:lang w:eastAsia="en-US"/>
              </w:rPr>
              <w:t>Less Capital Receipts</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7A18355E" w14:textId="3900A129" w:rsidR="00356D05" w:rsidRPr="00356D05" w:rsidRDefault="004A7A82">
            <w:pPr>
              <w:autoSpaceDE w:val="0"/>
              <w:autoSpaceDN w:val="0"/>
              <w:adjustRightInd w:val="0"/>
              <w:spacing w:line="276" w:lineRule="auto"/>
              <w:jc w:val="right"/>
              <w:rPr>
                <w:rFonts w:cs="Arial"/>
                <w:color w:val="000000"/>
                <w:lang w:eastAsia="en-US"/>
              </w:rPr>
            </w:pPr>
            <w:r>
              <w:rPr>
                <w:rFonts w:cs="Arial"/>
                <w:color w:val="000000"/>
                <w:lang w:eastAsia="en-US"/>
              </w:rPr>
              <w:t>5.000</w:t>
            </w:r>
          </w:p>
        </w:tc>
      </w:tr>
      <w:tr w:rsidR="00C92CD8" w14:paraId="5D0AA376" w14:textId="77777777">
        <w:trPr>
          <w:trHeight w:val="400"/>
          <w:jc w:val="center"/>
        </w:trPr>
        <w:tc>
          <w:tcPr>
            <w:tcW w:w="5681" w:type="dxa"/>
            <w:shd w:val="clear" w:color="auto" w:fill="auto"/>
            <w:vAlign w:val="center"/>
          </w:tcPr>
          <w:p w14:paraId="40F2C672" w14:textId="77777777" w:rsidR="00356D05" w:rsidRPr="00356D05" w:rsidRDefault="004A7A82">
            <w:pPr>
              <w:autoSpaceDE w:val="0"/>
              <w:autoSpaceDN w:val="0"/>
              <w:adjustRightInd w:val="0"/>
              <w:spacing w:line="276" w:lineRule="auto"/>
              <w:rPr>
                <w:rFonts w:cs="Arial"/>
                <w:color w:val="000000"/>
                <w:lang w:eastAsia="en-US"/>
              </w:rPr>
            </w:pPr>
            <w:r w:rsidRPr="00356D05">
              <w:rPr>
                <w:rFonts w:cs="Arial"/>
                <w:color w:val="000000"/>
                <w:lang w:eastAsia="en-US"/>
              </w:rPr>
              <w:t>Less Services Grant</w:t>
            </w:r>
          </w:p>
        </w:tc>
        <w:tc>
          <w:tcPr>
            <w:tcW w:w="2505" w:type="dxa"/>
            <w:shd w:val="clear" w:color="auto" w:fill="auto"/>
            <w:vAlign w:val="center"/>
          </w:tcPr>
          <w:p w14:paraId="3CB3E951" w14:textId="1D5C3DC3" w:rsidR="00356D05" w:rsidRPr="00356D05" w:rsidRDefault="004A7A82">
            <w:pPr>
              <w:autoSpaceDE w:val="0"/>
              <w:autoSpaceDN w:val="0"/>
              <w:adjustRightInd w:val="0"/>
              <w:spacing w:line="276" w:lineRule="auto"/>
              <w:jc w:val="right"/>
              <w:rPr>
                <w:rFonts w:cs="Arial"/>
                <w:color w:val="000000"/>
                <w:lang w:eastAsia="en-US"/>
              </w:rPr>
            </w:pPr>
            <w:r>
              <w:rPr>
                <w:rFonts w:cs="Arial"/>
                <w:color w:val="000000"/>
                <w:lang w:eastAsia="en-US"/>
              </w:rPr>
              <w:t>1.323</w:t>
            </w:r>
          </w:p>
        </w:tc>
      </w:tr>
      <w:tr w:rsidR="00C92CD8" w14:paraId="18F88A40" w14:textId="77777777">
        <w:trPr>
          <w:trHeight w:val="400"/>
          <w:jc w:val="center"/>
        </w:trPr>
        <w:tc>
          <w:tcPr>
            <w:tcW w:w="5681" w:type="dxa"/>
            <w:shd w:val="clear" w:color="auto" w:fill="auto"/>
            <w:vAlign w:val="center"/>
          </w:tcPr>
          <w:p w14:paraId="7C2DDA4D" w14:textId="0E680CE6" w:rsidR="00356D05" w:rsidRPr="00356D05" w:rsidRDefault="004A7A82">
            <w:pPr>
              <w:autoSpaceDE w:val="0"/>
              <w:autoSpaceDN w:val="0"/>
              <w:adjustRightInd w:val="0"/>
              <w:spacing w:line="276" w:lineRule="auto"/>
              <w:rPr>
                <w:rFonts w:cs="Arial"/>
                <w:b/>
                <w:lang w:eastAsia="en-US"/>
              </w:rPr>
            </w:pPr>
            <w:r w:rsidRPr="00356D05">
              <w:rPr>
                <w:rFonts w:cs="Arial"/>
                <w:b/>
                <w:lang w:eastAsia="en-US"/>
              </w:rPr>
              <w:t xml:space="preserve">Equals council tax </w:t>
            </w:r>
            <w:r w:rsidR="00B10FF1">
              <w:rPr>
                <w:rFonts w:cs="Arial"/>
                <w:b/>
                <w:lang w:eastAsia="en-US"/>
              </w:rPr>
              <w:t>requirement</w:t>
            </w:r>
          </w:p>
        </w:tc>
        <w:tc>
          <w:tcPr>
            <w:tcW w:w="2505" w:type="dxa"/>
            <w:shd w:val="clear" w:color="auto" w:fill="auto"/>
            <w:vAlign w:val="center"/>
          </w:tcPr>
          <w:p w14:paraId="061CC685" w14:textId="23260703" w:rsidR="00356D05" w:rsidRPr="00356D05" w:rsidRDefault="004A7A82">
            <w:pPr>
              <w:autoSpaceDE w:val="0"/>
              <w:autoSpaceDN w:val="0"/>
              <w:adjustRightInd w:val="0"/>
              <w:spacing w:line="276" w:lineRule="auto"/>
              <w:jc w:val="right"/>
              <w:rPr>
                <w:rFonts w:cs="Arial"/>
                <w:b/>
                <w:lang w:eastAsia="en-US"/>
              </w:rPr>
            </w:pPr>
            <w:r>
              <w:rPr>
                <w:rFonts w:cs="Arial"/>
                <w:b/>
                <w:lang w:eastAsia="en-US"/>
              </w:rPr>
              <w:t>642</w:t>
            </w:r>
            <w:r w:rsidR="004B34C1">
              <w:rPr>
                <w:rFonts w:cs="Arial"/>
                <w:b/>
                <w:lang w:eastAsia="en-US"/>
              </w:rPr>
              <w:t>.208</w:t>
            </w:r>
          </w:p>
        </w:tc>
      </w:tr>
      <w:tr w:rsidR="00C92CD8" w14:paraId="17A07390" w14:textId="77777777">
        <w:trPr>
          <w:trHeight w:val="400"/>
          <w:jc w:val="center"/>
        </w:trPr>
        <w:tc>
          <w:tcPr>
            <w:tcW w:w="5681" w:type="dxa"/>
            <w:shd w:val="clear" w:color="auto" w:fill="BFBFBF"/>
            <w:vAlign w:val="center"/>
          </w:tcPr>
          <w:p w14:paraId="11DC79FE" w14:textId="77777777" w:rsidR="00356D05" w:rsidRPr="00356D05" w:rsidRDefault="00356D05">
            <w:pPr>
              <w:autoSpaceDE w:val="0"/>
              <w:autoSpaceDN w:val="0"/>
              <w:adjustRightInd w:val="0"/>
              <w:spacing w:line="276" w:lineRule="auto"/>
              <w:jc w:val="both"/>
              <w:rPr>
                <w:rFonts w:cs="Arial"/>
                <w:lang w:eastAsia="en-US"/>
              </w:rPr>
            </w:pPr>
          </w:p>
        </w:tc>
        <w:tc>
          <w:tcPr>
            <w:tcW w:w="2505" w:type="dxa"/>
            <w:shd w:val="clear" w:color="auto" w:fill="BFBFBF"/>
            <w:vAlign w:val="center"/>
          </w:tcPr>
          <w:p w14:paraId="5240B65A" w14:textId="77777777" w:rsidR="00356D05" w:rsidRPr="00356D05" w:rsidRDefault="00356D05">
            <w:pPr>
              <w:autoSpaceDE w:val="0"/>
              <w:autoSpaceDN w:val="0"/>
              <w:adjustRightInd w:val="0"/>
              <w:spacing w:line="276" w:lineRule="auto"/>
              <w:jc w:val="right"/>
              <w:rPr>
                <w:rFonts w:cs="Arial"/>
                <w:lang w:eastAsia="en-US"/>
              </w:rPr>
            </w:pPr>
          </w:p>
        </w:tc>
      </w:tr>
      <w:tr w:rsidR="00C92CD8" w14:paraId="756577A3" w14:textId="77777777">
        <w:trPr>
          <w:trHeight w:val="400"/>
          <w:jc w:val="center"/>
        </w:trPr>
        <w:tc>
          <w:tcPr>
            <w:tcW w:w="5681" w:type="dxa"/>
            <w:shd w:val="clear" w:color="auto" w:fill="auto"/>
            <w:vAlign w:val="center"/>
          </w:tcPr>
          <w:p w14:paraId="017E1F20" w14:textId="7D727D4F" w:rsidR="00356D05" w:rsidRPr="00356D05" w:rsidRDefault="004A7A82">
            <w:pPr>
              <w:autoSpaceDE w:val="0"/>
              <w:autoSpaceDN w:val="0"/>
              <w:adjustRightInd w:val="0"/>
              <w:spacing w:line="276" w:lineRule="auto"/>
              <w:jc w:val="both"/>
              <w:rPr>
                <w:rFonts w:cs="Arial"/>
                <w:lang w:eastAsia="en-US"/>
              </w:rPr>
            </w:pPr>
            <w:r w:rsidRPr="00356D05">
              <w:rPr>
                <w:rFonts w:cs="Arial"/>
                <w:lang w:eastAsia="en-US"/>
              </w:rPr>
              <w:t xml:space="preserve">Divided by tax base </w:t>
            </w:r>
          </w:p>
        </w:tc>
        <w:tc>
          <w:tcPr>
            <w:tcW w:w="2505" w:type="dxa"/>
            <w:shd w:val="clear" w:color="auto" w:fill="auto"/>
            <w:vAlign w:val="center"/>
          </w:tcPr>
          <w:p w14:paraId="5E7CD0DC" w14:textId="7E5670B3" w:rsidR="00356D05" w:rsidRPr="00356D05" w:rsidRDefault="004A7A82">
            <w:pPr>
              <w:autoSpaceDE w:val="0"/>
              <w:autoSpaceDN w:val="0"/>
              <w:adjustRightInd w:val="0"/>
              <w:spacing w:line="276" w:lineRule="auto"/>
              <w:jc w:val="right"/>
              <w:rPr>
                <w:rFonts w:cs="Arial"/>
                <w:lang w:eastAsia="en-US"/>
              </w:rPr>
            </w:pPr>
            <w:r>
              <w:rPr>
                <w:rFonts w:cs="Arial"/>
                <w:lang w:eastAsia="en-US"/>
              </w:rPr>
              <w:t>388</w:t>
            </w:r>
            <w:r w:rsidR="0072541F">
              <w:rPr>
                <w:rFonts w:cs="Arial"/>
                <w:lang w:eastAsia="en-US"/>
              </w:rPr>
              <w:t>,</w:t>
            </w:r>
            <w:r>
              <w:rPr>
                <w:rFonts w:cs="Arial"/>
                <w:lang w:eastAsia="en-US"/>
              </w:rPr>
              <w:t>442.24</w:t>
            </w:r>
          </w:p>
        </w:tc>
      </w:tr>
      <w:tr w:rsidR="00C92CD8" w14:paraId="386520C2" w14:textId="77777777">
        <w:trPr>
          <w:trHeight w:val="400"/>
          <w:jc w:val="center"/>
        </w:trPr>
        <w:tc>
          <w:tcPr>
            <w:tcW w:w="5681" w:type="dxa"/>
            <w:shd w:val="clear" w:color="auto" w:fill="auto"/>
            <w:vAlign w:val="center"/>
          </w:tcPr>
          <w:p w14:paraId="50ABAD36" w14:textId="77777777" w:rsidR="00356D05" w:rsidRPr="00356D05" w:rsidRDefault="004A7A82">
            <w:pPr>
              <w:autoSpaceDE w:val="0"/>
              <w:autoSpaceDN w:val="0"/>
              <w:adjustRightInd w:val="0"/>
              <w:spacing w:line="276" w:lineRule="auto"/>
              <w:jc w:val="both"/>
              <w:rPr>
                <w:rFonts w:cs="Arial"/>
                <w:lang w:eastAsia="en-US"/>
              </w:rPr>
            </w:pPr>
            <w:r w:rsidRPr="00356D05">
              <w:rPr>
                <w:rFonts w:cs="Arial"/>
                <w:lang w:eastAsia="en-US"/>
              </w:rPr>
              <w:t xml:space="preserve">Gives LCC Band D council tax for </w:t>
            </w:r>
            <w:r w:rsidRPr="00356D05">
              <w:rPr>
                <w:rFonts w:cs="Arial"/>
                <w:bCs/>
              </w:rPr>
              <w:t>2024/25</w:t>
            </w:r>
          </w:p>
        </w:tc>
        <w:tc>
          <w:tcPr>
            <w:tcW w:w="2505" w:type="dxa"/>
            <w:shd w:val="clear" w:color="auto" w:fill="auto"/>
            <w:vAlign w:val="center"/>
          </w:tcPr>
          <w:p w14:paraId="6520DA57" w14:textId="6843337E" w:rsidR="00356D05" w:rsidRPr="00356D05" w:rsidRDefault="004A7A82">
            <w:pPr>
              <w:autoSpaceDE w:val="0"/>
              <w:autoSpaceDN w:val="0"/>
              <w:adjustRightInd w:val="0"/>
              <w:spacing w:line="276" w:lineRule="auto"/>
              <w:jc w:val="right"/>
              <w:rPr>
                <w:rFonts w:cs="Arial"/>
                <w:lang w:eastAsia="en-US"/>
              </w:rPr>
            </w:pPr>
            <w:r>
              <w:rPr>
                <w:rFonts w:cs="Arial"/>
                <w:lang w:eastAsia="en-US"/>
              </w:rPr>
              <w:t>1</w:t>
            </w:r>
            <w:r w:rsidR="001D4CED">
              <w:rPr>
                <w:rFonts w:cs="Arial"/>
                <w:lang w:eastAsia="en-US"/>
              </w:rPr>
              <w:t>,</w:t>
            </w:r>
            <w:r>
              <w:rPr>
                <w:rFonts w:cs="Arial"/>
                <w:lang w:eastAsia="en-US"/>
              </w:rPr>
              <w:t>653.29</w:t>
            </w:r>
          </w:p>
        </w:tc>
      </w:tr>
      <w:tr w:rsidR="00C92CD8" w14:paraId="5FE10571" w14:textId="77777777">
        <w:trPr>
          <w:trHeight w:val="400"/>
          <w:jc w:val="center"/>
        </w:trPr>
        <w:tc>
          <w:tcPr>
            <w:tcW w:w="5681" w:type="dxa"/>
            <w:shd w:val="clear" w:color="auto" w:fill="auto"/>
            <w:vAlign w:val="center"/>
          </w:tcPr>
          <w:p w14:paraId="1AA6948F" w14:textId="77777777" w:rsidR="00356D05" w:rsidRPr="00356D05" w:rsidRDefault="004A7A82">
            <w:pPr>
              <w:autoSpaceDE w:val="0"/>
              <w:autoSpaceDN w:val="0"/>
              <w:adjustRightInd w:val="0"/>
              <w:spacing w:line="276" w:lineRule="auto"/>
              <w:jc w:val="both"/>
              <w:rPr>
                <w:rFonts w:cs="Arial"/>
                <w:lang w:eastAsia="en-US"/>
              </w:rPr>
            </w:pPr>
            <w:r w:rsidRPr="00356D05">
              <w:rPr>
                <w:rFonts w:cs="Arial"/>
                <w:lang w:eastAsia="en-US"/>
              </w:rPr>
              <w:t>LCC Band D council tax 2023/24</w:t>
            </w:r>
          </w:p>
        </w:tc>
        <w:tc>
          <w:tcPr>
            <w:tcW w:w="2505" w:type="dxa"/>
            <w:shd w:val="clear" w:color="auto" w:fill="auto"/>
            <w:vAlign w:val="center"/>
          </w:tcPr>
          <w:p w14:paraId="039E02E0" w14:textId="47599A85" w:rsidR="00356D05" w:rsidRPr="00356D05" w:rsidRDefault="004A7A82">
            <w:pPr>
              <w:autoSpaceDE w:val="0"/>
              <w:autoSpaceDN w:val="0"/>
              <w:adjustRightInd w:val="0"/>
              <w:spacing w:line="276" w:lineRule="auto"/>
              <w:jc w:val="right"/>
              <w:rPr>
                <w:rFonts w:cs="Arial"/>
                <w:lang w:eastAsia="en-US"/>
              </w:rPr>
            </w:pPr>
            <w:r>
              <w:rPr>
                <w:rFonts w:cs="Arial"/>
                <w:lang w:eastAsia="en-US"/>
              </w:rPr>
              <w:t>1</w:t>
            </w:r>
            <w:r w:rsidR="0072541F">
              <w:rPr>
                <w:rFonts w:cs="Arial"/>
                <w:lang w:eastAsia="en-US"/>
              </w:rPr>
              <w:t>,</w:t>
            </w:r>
            <w:r>
              <w:rPr>
                <w:rFonts w:cs="Arial"/>
                <w:lang w:eastAsia="en-US"/>
              </w:rPr>
              <w:t>574.71</w:t>
            </w:r>
          </w:p>
        </w:tc>
      </w:tr>
      <w:tr w:rsidR="00C92CD8" w14:paraId="649617B3" w14:textId="77777777">
        <w:trPr>
          <w:trHeight w:val="400"/>
          <w:jc w:val="center"/>
        </w:trPr>
        <w:tc>
          <w:tcPr>
            <w:tcW w:w="5681" w:type="dxa"/>
            <w:shd w:val="clear" w:color="auto" w:fill="auto"/>
            <w:vAlign w:val="center"/>
          </w:tcPr>
          <w:p w14:paraId="569AB77C" w14:textId="4CF7E136" w:rsidR="00356D05" w:rsidRPr="00356D05" w:rsidRDefault="004A7A82">
            <w:pPr>
              <w:autoSpaceDE w:val="0"/>
              <w:autoSpaceDN w:val="0"/>
              <w:adjustRightInd w:val="0"/>
              <w:spacing w:line="276" w:lineRule="auto"/>
              <w:jc w:val="both"/>
              <w:rPr>
                <w:rFonts w:cs="Arial"/>
                <w:b/>
                <w:lang w:eastAsia="en-US"/>
              </w:rPr>
            </w:pPr>
            <w:r w:rsidRPr="00356D05">
              <w:rPr>
                <w:rFonts w:cs="Arial"/>
                <w:b/>
                <w:lang w:eastAsia="en-US"/>
              </w:rPr>
              <w:t>Percentage increase</w:t>
            </w:r>
            <w:r w:rsidR="00E44DFC">
              <w:rPr>
                <w:rFonts w:cs="Arial"/>
                <w:b/>
                <w:lang w:eastAsia="en-US"/>
              </w:rPr>
              <w:t xml:space="preserve"> (including ASC precept)</w:t>
            </w:r>
          </w:p>
        </w:tc>
        <w:tc>
          <w:tcPr>
            <w:tcW w:w="2505" w:type="dxa"/>
            <w:shd w:val="clear" w:color="auto" w:fill="auto"/>
            <w:vAlign w:val="center"/>
          </w:tcPr>
          <w:p w14:paraId="087DFE6C" w14:textId="77777777" w:rsidR="00356D05" w:rsidRPr="00356D05" w:rsidRDefault="004A7A82">
            <w:pPr>
              <w:autoSpaceDE w:val="0"/>
              <w:autoSpaceDN w:val="0"/>
              <w:adjustRightInd w:val="0"/>
              <w:spacing w:line="276" w:lineRule="auto"/>
              <w:jc w:val="right"/>
              <w:rPr>
                <w:rFonts w:cs="Arial"/>
                <w:b/>
                <w:lang w:eastAsia="en-US"/>
              </w:rPr>
            </w:pPr>
            <w:r w:rsidRPr="00356D05">
              <w:rPr>
                <w:rFonts w:cs="Arial"/>
                <w:b/>
                <w:lang w:eastAsia="en-US"/>
              </w:rPr>
              <w:t>4.99%</w:t>
            </w:r>
          </w:p>
        </w:tc>
      </w:tr>
    </w:tbl>
    <w:p w14:paraId="52CB0BDA" w14:textId="3FE537DA" w:rsidR="00356D05" w:rsidRPr="00356D05" w:rsidRDefault="00356D05" w:rsidP="00356D05">
      <w:pPr>
        <w:ind w:left="709" w:hanging="425"/>
        <w:jc w:val="both"/>
        <w:rPr>
          <w:rFonts w:cs="Arial"/>
        </w:rPr>
      </w:pPr>
    </w:p>
    <w:p w14:paraId="5C91FFE7" w14:textId="36413543" w:rsidR="00356D05" w:rsidRDefault="00356D05" w:rsidP="00356D05">
      <w:pPr>
        <w:ind w:left="709" w:hanging="425"/>
        <w:jc w:val="both"/>
        <w:rPr>
          <w:rFonts w:cs="Arial"/>
        </w:rPr>
      </w:pPr>
    </w:p>
    <w:p w14:paraId="1898153D" w14:textId="77777777" w:rsidR="00FB74E9" w:rsidRDefault="00FB74E9" w:rsidP="00D300FD">
      <w:pPr>
        <w:jc w:val="both"/>
        <w:rPr>
          <w:rFonts w:cs="Arial"/>
        </w:rPr>
      </w:pPr>
    </w:p>
    <w:p w14:paraId="5A83FE38" w14:textId="77777777" w:rsidR="00D300FD" w:rsidRDefault="00D300FD" w:rsidP="00D300FD">
      <w:pPr>
        <w:jc w:val="both"/>
        <w:rPr>
          <w:rFonts w:cs="Arial"/>
        </w:rPr>
      </w:pPr>
    </w:p>
    <w:p w14:paraId="75D309C0" w14:textId="77777777" w:rsidR="00FB74E9" w:rsidRPr="00356D05" w:rsidRDefault="00FB74E9" w:rsidP="00356D05">
      <w:pPr>
        <w:ind w:left="709" w:hanging="425"/>
        <w:jc w:val="both"/>
        <w:rPr>
          <w:rFonts w:cs="Arial"/>
        </w:rPr>
      </w:pPr>
    </w:p>
    <w:p w14:paraId="5122FC97" w14:textId="08657249" w:rsidR="00356D05" w:rsidRDefault="004A7A82" w:rsidP="005838A0">
      <w:pPr>
        <w:pStyle w:val="ListParagraph"/>
        <w:numPr>
          <w:ilvl w:val="0"/>
          <w:numId w:val="21"/>
        </w:numPr>
        <w:jc w:val="both"/>
        <w:rPr>
          <w:rFonts w:cs="Arial"/>
        </w:rPr>
      </w:pPr>
      <w:r w:rsidRPr="1296B87A">
        <w:rPr>
          <w:rFonts w:cs="Arial"/>
        </w:rPr>
        <w:lastRenderedPageBreak/>
        <w:t xml:space="preserve">The budget proposed in this report will require a </w:t>
      </w:r>
      <w:r w:rsidR="00F863CD">
        <w:rPr>
          <w:rFonts w:cs="Arial"/>
        </w:rPr>
        <w:t>c</w:t>
      </w:r>
      <w:r w:rsidRPr="1296B87A">
        <w:rPr>
          <w:rFonts w:cs="Arial"/>
        </w:rPr>
        <w:t>ouncil tax level of £1,653.29 (Band D equivalent) to be levied. The analysis over each tax band is shown in the table below.</w:t>
      </w:r>
    </w:p>
    <w:p w14:paraId="11415334" w14:textId="77777777" w:rsidR="00467834" w:rsidRPr="00467834" w:rsidRDefault="00467834" w:rsidP="00467834">
      <w:pPr>
        <w:pStyle w:val="ListParagraph"/>
        <w:ind w:left="1080"/>
        <w:jc w:val="both"/>
        <w:rPr>
          <w:rFonts w:cs="Arial"/>
        </w:rPr>
      </w:pPr>
    </w:p>
    <w:p w14:paraId="63241359" w14:textId="2511AAFA" w:rsidR="00467834" w:rsidRPr="00467834" w:rsidRDefault="004A7A82" w:rsidP="00467834">
      <w:pPr>
        <w:pStyle w:val="BodyTextIndent"/>
        <w:spacing w:line="276" w:lineRule="auto"/>
        <w:ind w:left="1080"/>
        <w:jc w:val="both"/>
        <w:rPr>
          <w:rFonts w:cs="Arial"/>
          <w:b/>
          <w:bCs/>
          <w:i/>
          <w:iCs/>
          <w:u w:val="single"/>
        </w:rPr>
      </w:pPr>
      <w:r w:rsidRPr="00467834">
        <w:rPr>
          <w:rFonts w:cs="Arial"/>
          <w:b/>
          <w:bCs/>
          <w:i/>
          <w:iCs/>
          <w:u w:val="single"/>
        </w:rPr>
        <w:t xml:space="preserve">Table </w:t>
      </w:r>
      <w:r w:rsidR="006A7473">
        <w:rPr>
          <w:rFonts w:cs="Arial"/>
          <w:b/>
          <w:bCs/>
          <w:i/>
          <w:iCs/>
          <w:u w:val="single"/>
        </w:rPr>
        <w:t>9</w:t>
      </w:r>
    </w:p>
    <w:tbl>
      <w:tblPr>
        <w:tblW w:w="5091" w:type="dxa"/>
        <w:tblInd w:w="2329" w:type="dxa"/>
        <w:tblLook w:val="04A0" w:firstRow="1" w:lastRow="0" w:firstColumn="1" w:lastColumn="0" w:noHBand="0" w:noVBand="1"/>
      </w:tblPr>
      <w:tblGrid>
        <w:gridCol w:w="2470"/>
        <w:gridCol w:w="2390"/>
        <w:gridCol w:w="231"/>
      </w:tblGrid>
      <w:tr w:rsidR="00C92CD8" w14:paraId="4DD8CD84" w14:textId="77777777" w:rsidTr="001D4CED">
        <w:trPr>
          <w:gridAfter w:val="1"/>
          <w:wAfter w:w="231" w:type="dxa"/>
          <w:trHeight w:val="277"/>
        </w:trPr>
        <w:tc>
          <w:tcPr>
            <w:tcW w:w="2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411947" w14:textId="77777777" w:rsidR="00356D05" w:rsidRPr="00356D05" w:rsidRDefault="004A7A82">
            <w:pPr>
              <w:jc w:val="center"/>
              <w:rPr>
                <w:rFonts w:eastAsia="Arial" w:cs="Arial"/>
                <w:b/>
                <w:color w:val="000000"/>
              </w:rPr>
            </w:pPr>
            <w:r w:rsidRPr="00356D05">
              <w:rPr>
                <w:rFonts w:cs="Arial"/>
                <w:b/>
                <w:color w:val="000000"/>
                <w:sz w:val="22"/>
                <w:szCs w:val="22"/>
              </w:rPr>
              <w:t>Council Tax Band</w:t>
            </w:r>
          </w:p>
        </w:tc>
        <w:tc>
          <w:tcPr>
            <w:tcW w:w="2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738C43" w14:textId="631AC7C9" w:rsidR="00356D05" w:rsidRPr="00356D05" w:rsidRDefault="004A7A82">
            <w:pPr>
              <w:jc w:val="center"/>
              <w:rPr>
                <w:rFonts w:eastAsia="Arial" w:cs="Arial"/>
                <w:b/>
                <w:color w:val="000000"/>
              </w:rPr>
            </w:pPr>
            <w:r w:rsidRPr="76EB60BA">
              <w:rPr>
                <w:rFonts w:cs="Arial"/>
                <w:b/>
                <w:color w:val="000000" w:themeColor="text1"/>
                <w:sz w:val="22"/>
                <w:szCs w:val="22"/>
              </w:rPr>
              <w:t>£</w:t>
            </w:r>
          </w:p>
        </w:tc>
      </w:tr>
      <w:tr w:rsidR="00C92CD8" w14:paraId="0A86B098" w14:textId="77777777" w:rsidTr="00356D05">
        <w:trPr>
          <w:gridAfter w:val="1"/>
          <w:wAfter w:w="231" w:type="dxa"/>
          <w:trHeight w:val="277"/>
        </w:trPr>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511F5E" w14:textId="77777777" w:rsidR="00356D05" w:rsidRPr="001D4CED" w:rsidRDefault="004A7A82">
            <w:pPr>
              <w:rPr>
                <w:rFonts w:eastAsia="Arial" w:cs="Arial"/>
                <w:color w:val="000000"/>
              </w:rPr>
            </w:pPr>
            <w:r w:rsidRPr="001D4CED">
              <w:rPr>
                <w:rFonts w:cs="Arial"/>
                <w:color w:val="000000"/>
              </w:rPr>
              <w:t>Band A</w:t>
            </w:r>
          </w:p>
        </w:tc>
        <w:tc>
          <w:tcPr>
            <w:tcW w:w="2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2D0787" w14:textId="77777777" w:rsidR="00356D05" w:rsidRPr="001D4CED" w:rsidRDefault="004A7A82">
            <w:pPr>
              <w:jc w:val="right"/>
              <w:rPr>
                <w:rFonts w:eastAsia="Arial" w:cs="Arial"/>
                <w:color w:val="000000"/>
              </w:rPr>
            </w:pPr>
            <w:r w:rsidRPr="001D4CED">
              <w:rPr>
                <w:rFonts w:cs="Arial"/>
                <w:color w:val="000000"/>
              </w:rPr>
              <w:t>1,102.19</w:t>
            </w:r>
          </w:p>
        </w:tc>
      </w:tr>
      <w:tr w:rsidR="00C92CD8" w14:paraId="4C8ABFA3" w14:textId="77777777" w:rsidTr="001D4CED">
        <w:trPr>
          <w:trHeight w:val="277"/>
        </w:trPr>
        <w:tc>
          <w:tcPr>
            <w:tcW w:w="2470" w:type="dxa"/>
            <w:vMerge/>
            <w:tcBorders>
              <w:top w:val="single" w:sz="4" w:space="0" w:color="auto"/>
              <w:left w:val="single" w:sz="4" w:space="0" w:color="auto"/>
              <w:bottom w:val="single" w:sz="4" w:space="0" w:color="auto"/>
              <w:right w:val="single" w:sz="4" w:space="0" w:color="auto"/>
            </w:tcBorders>
            <w:vAlign w:val="center"/>
          </w:tcPr>
          <w:p w14:paraId="6C317615" w14:textId="77777777" w:rsidR="00356D05" w:rsidRPr="001D4CED" w:rsidRDefault="00356D05">
            <w:pPr>
              <w:rPr>
                <w:rFonts w:cs="Arial"/>
                <w:color w:val="000000"/>
              </w:rPr>
            </w:pPr>
          </w:p>
        </w:tc>
        <w:tc>
          <w:tcPr>
            <w:tcW w:w="2390" w:type="dxa"/>
            <w:vMerge/>
            <w:tcBorders>
              <w:top w:val="single" w:sz="4" w:space="0" w:color="auto"/>
              <w:left w:val="single" w:sz="4" w:space="0" w:color="auto"/>
              <w:bottom w:val="single" w:sz="4" w:space="0" w:color="auto"/>
            </w:tcBorders>
            <w:vAlign w:val="center"/>
          </w:tcPr>
          <w:p w14:paraId="408BECAE" w14:textId="77777777" w:rsidR="00356D05" w:rsidRPr="001D4CED" w:rsidRDefault="00356D05">
            <w:pPr>
              <w:rPr>
                <w:rFonts w:cs="Arial"/>
                <w:color w:val="000000"/>
              </w:rPr>
            </w:pPr>
          </w:p>
        </w:tc>
        <w:tc>
          <w:tcPr>
            <w:tcW w:w="231" w:type="dxa"/>
            <w:tcBorders>
              <w:top w:val="nil"/>
              <w:left w:val="single" w:sz="4" w:space="0" w:color="auto"/>
              <w:bottom w:val="nil"/>
              <w:right w:val="nil"/>
            </w:tcBorders>
            <w:shd w:val="clear" w:color="auto" w:fill="auto"/>
            <w:noWrap/>
            <w:vAlign w:val="bottom"/>
          </w:tcPr>
          <w:p w14:paraId="53039C29" w14:textId="77777777" w:rsidR="00356D05" w:rsidRPr="00B75D18" w:rsidRDefault="00356D05">
            <w:pPr>
              <w:jc w:val="right"/>
              <w:rPr>
                <w:rFonts w:eastAsia="Arial" w:cs="Arial"/>
                <w:color w:val="000000"/>
                <w:highlight w:val="yellow"/>
              </w:rPr>
            </w:pPr>
          </w:p>
        </w:tc>
      </w:tr>
      <w:tr w:rsidR="00C92CD8" w14:paraId="7706251F" w14:textId="77777777" w:rsidTr="00356D05">
        <w:trPr>
          <w:trHeight w:val="277"/>
        </w:trPr>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E6BBE4" w14:textId="77777777" w:rsidR="00356D05" w:rsidRPr="001D4CED" w:rsidRDefault="004A7A82">
            <w:pPr>
              <w:rPr>
                <w:rFonts w:eastAsia="Arial" w:cs="Arial"/>
                <w:color w:val="000000"/>
              </w:rPr>
            </w:pPr>
            <w:r w:rsidRPr="001D4CED">
              <w:rPr>
                <w:rFonts w:cs="Arial"/>
                <w:color w:val="000000"/>
              </w:rPr>
              <w:t>Band B</w:t>
            </w:r>
          </w:p>
        </w:tc>
        <w:tc>
          <w:tcPr>
            <w:tcW w:w="2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C2CDFB" w14:textId="77777777" w:rsidR="00356D05" w:rsidRPr="001D4CED" w:rsidRDefault="004A7A82">
            <w:pPr>
              <w:jc w:val="right"/>
              <w:rPr>
                <w:rFonts w:eastAsia="Arial" w:cs="Arial"/>
                <w:color w:val="000000"/>
              </w:rPr>
            </w:pPr>
            <w:r w:rsidRPr="001D4CED">
              <w:rPr>
                <w:rFonts w:cs="Arial"/>
                <w:color w:val="000000"/>
              </w:rPr>
              <w:t>1,285.89</w:t>
            </w:r>
          </w:p>
        </w:tc>
        <w:tc>
          <w:tcPr>
            <w:tcW w:w="231" w:type="dxa"/>
            <w:tcBorders>
              <w:left w:val="single" w:sz="4" w:space="0" w:color="auto"/>
            </w:tcBorders>
            <w:vAlign w:val="center"/>
          </w:tcPr>
          <w:p w14:paraId="4B64D9D9" w14:textId="77777777" w:rsidR="00356D05" w:rsidRPr="00B75D18" w:rsidRDefault="00356D05">
            <w:pPr>
              <w:rPr>
                <w:rFonts w:eastAsia="Arial" w:cs="Arial"/>
                <w:highlight w:val="yellow"/>
              </w:rPr>
            </w:pPr>
          </w:p>
        </w:tc>
      </w:tr>
      <w:tr w:rsidR="00C92CD8" w14:paraId="5EBAC389" w14:textId="77777777" w:rsidTr="001D4CED">
        <w:trPr>
          <w:trHeight w:val="277"/>
        </w:trPr>
        <w:tc>
          <w:tcPr>
            <w:tcW w:w="2470" w:type="dxa"/>
            <w:vMerge/>
            <w:tcBorders>
              <w:top w:val="single" w:sz="4" w:space="0" w:color="auto"/>
              <w:left w:val="single" w:sz="4" w:space="0" w:color="auto"/>
              <w:bottom w:val="single" w:sz="4" w:space="0" w:color="auto"/>
              <w:right w:val="single" w:sz="4" w:space="0" w:color="auto"/>
            </w:tcBorders>
            <w:vAlign w:val="center"/>
          </w:tcPr>
          <w:p w14:paraId="41CB1C3C" w14:textId="77777777" w:rsidR="00356D05" w:rsidRPr="001D4CED" w:rsidRDefault="00356D05">
            <w:pPr>
              <w:rPr>
                <w:rFonts w:cs="Arial"/>
                <w:color w:val="000000"/>
              </w:rPr>
            </w:pPr>
          </w:p>
        </w:tc>
        <w:tc>
          <w:tcPr>
            <w:tcW w:w="2390" w:type="dxa"/>
            <w:vMerge/>
            <w:tcBorders>
              <w:top w:val="single" w:sz="4" w:space="0" w:color="auto"/>
              <w:left w:val="single" w:sz="4" w:space="0" w:color="auto"/>
              <w:bottom w:val="single" w:sz="4" w:space="0" w:color="auto"/>
            </w:tcBorders>
            <w:vAlign w:val="center"/>
          </w:tcPr>
          <w:p w14:paraId="2806FAF2" w14:textId="77777777" w:rsidR="00356D05" w:rsidRPr="001D4CED" w:rsidRDefault="00356D05">
            <w:pPr>
              <w:rPr>
                <w:rFonts w:cs="Arial"/>
                <w:color w:val="000000"/>
              </w:rPr>
            </w:pPr>
          </w:p>
        </w:tc>
        <w:tc>
          <w:tcPr>
            <w:tcW w:w="231" w:type="dxa"/>
            <w:tcBorders>
              <w:top w:val="nil"/>
              <w:left w:val="single" w:sz="4" w:space="0" w:color="auto"/>
              <w:bottom w:val="nil"/>
              <w:right w:val="nil"/>
            </w:tcBorders>
            <w:shd w:val="clear" w:color="auto" w:fill="auto"/>
            <w:noWrap/>
            <w:vAlign w:val="bottom"/>
          </w:tcPr>
          <w:p w14:paraId="2ED5E4E4" w14:textId="77777777" w:rsidR="00356D05" w:rsidRPr="00B75D18" w:rsidRDefault="00356D05">
            <w:pPr>
              <w:jc w:val="right"/>
              <w:rPr>
                <w:rFonts w:eastAsia="Arial" w:cs="Arial"/>
                <w:color w:val="000000"/>
                <w:highlight w:val="yellow"/>
              </w:rPr>
            </w:pPr>
          </w:p>
        </w:tc>
      </w:tr>
      <w:tr w:rsidR="00C92CD8" w14:paraId="49BEC13F" w14:textId="77777777" w:rsidTr="00356D05">
        <w:trPr>
          <w:trHeight w:val="277"/>
        </w:trPr>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EC4E43" w14:textId="77777777" w:rsidR="00356D05" w:rsidRPr="001D4CED" w:rsidRDefault="004A7A82">
            <w:pPr>
              <w:rPr>
                <w:rFonts w:eastAsia="Arial" w:cs="Arial"/>
                <w:color w:val="000000"/>
              </w:rPr>
            </w:pPr>
            <w:r w:rsidRPr="001D4CED">
              <w:rPr>
                <w:rFonts w:cs="Arial"/>
                <w:color w:val="000000"/>
              </w:rPr>
              <w:t>Band C</w:t>
            </w:r>
          </w:p>
        </w:tc>
        <w:tc>
          <w:tcPr>
            <w:tcW w:w="2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8344F8" w14:textId="77777777" w:rsidR="00356D05" w:rsidRPr="001D4CED" w:rsidRDefault="004A7A82">
            <w:pPr>
              <w:jc w:val="right"/>
              <w:rPr>
                <w:rFonts w:eastAsia="Arial" w:cs="Arial"/>
                <w:color w:val="000000"/>
              </w:rPr>
            </w:pPr>
            <w:r w:rsidRPr="001D4CED">
              <w:rPr>
                <w:rFonts w:cs="Arial"/>
                <w:color w:val="000000"/>
              </w:rPr>
              <w:t>1,469.59</w:t>
            </w:r>
          </w:p>
        </w:tc>
        <w:tc>
          <w:tcPr>
            <w:tcW w:w="231" w:type="dxa"/>
            <w:tcBorders>
              <w:left w:val="single" w:sz="4" w:space="0" w:color="auto"/>
            </w:tcBorders>
            <w:vAlign w:val="center"/>
          </w:tcPr>
          <w:p w14:paraId="1FF9B5C3" w14:textId="77777777" w:rsidR="00356D05" w:rsidRPr="00B75D18" w:rsidRDefault="00356D05">
            <w:pPr>
              <w:rPr>
                <w:rFonts w:eastAsia="Arial" w:cs="Arial"/>
                <w:highlight w:val="yellow"/>
              </w:rPr>
            </w:pPr>
          </w:p>
        </w:tc>
      </w:tr>
      <w:tr w:rsidR="00C92CD8" w14:paraId="5A7B2D21" w14:textId="77777777" w:rsidTr="001D4CED">
        <w:trPr>
          <w:trHeight w:val="277"/>
        </w:trPr>
        <w:tc>
          <w:tcPr>
            <w:tcW w:w="2470" w:type="dxa"/>
            <w:vMerge/>
            <w:tcBorders>
              <w:top w:val="single" w:sz="4" w:space="0" w:color="auto"/>
              <w:left w:val="single" w:sz="4" w:space="0" w:color="auto"/>
              <w:bottom w:val="single" w:sz="4" w:space="0" w:color="auto"/>
              <w:right w:val="single" w:sz="4" w:space="0" w:color="auto"/>
            </w:tcBorders>
            <w:vAlign w:val="center"/>
          </w:tcPr>
          <w:p w14:paraId="36086BB3" w14:textId="77777777" w:rsidR="00356D05" w:rsidRPr="001D4CED" w:rsidRDefault="00356D05">
            <w:pPr>
              <w:rPr>
                <w:rFonts w:cs="Arial"/>
                <w:color w:val="000000"/>
              </w:rPr>
            </w:pPr>
          </w:p>
        </w:tc>
        <w:tc>
          <w:tcPr>
            <w:tcW w:w="2390" w:type="dxa"/>
            <w:vMerge/>
            <w:tcBorders>
              <w:top w:val="single" w:sz="4" w:space="0" w:color="auto"/>
              <w:left w:val="single" w:sz="4" w:space="0" w:color="auto"/>
              <w:bottom w:val="single" w:sz="4" w:space="0" w:color="auto"/>
            </w:tcBorders>
            <w:vAlign w:val="center"/>
          </w:tcPr>
          <w:p w14:paraId="7C187562" w14:textId="77777777" w:rsidR="00356D05" w:rsidRPr="001D4CED" w:rsidRDefault="00356D05">
            <w:pPr>
              <w:rPr>
                <w:rFonts w:cs="Arial"/>
                <w:color w:val="000000"/>
              </w:rPr>
            </w:pPr>
          </w:p>
        </w:tc>
        <w:tc>
          <w:tcPr>
            <w:tcW w:w="231" w:type="dxa"/>
            <w:tcBorders>
              <w:top w:val="nil"/>
              <w:left w:val="single" w:sz="4" w:space="0" w:color="auto"/>
              <w:bottom w:val="nil"/>
              <w:right w:val="nil"/>
            </w:tcBorders>
            <w:shd w:val="clear" w:color="auto" w:fill="auto"/>
            <w:noWrap/>
            <w:vAlign w:val="bottom"/>
          </w:tcPr>
          <w:p w14:paraId="515C3C1E" w14:textId="77777777" w:rsidR="00356D05" w:rsidRPr="00B75D18" w:rsidRDefault="00356D05">
            <w:pPr>
              <w:jc w:val="right"/>
              <w:rPr>
                <w:rFonts w:eastAsia="Arial" w:cs="Arial"/>
                <w:color w:val="000000"/>
                <w:highlight w:val="yellow"/>
              </w:rPr>
            </w:pPr>
          </w:p>
        </w:tc>
      </w:tr>
      <w:tr w:rsidR="00C92CD8" w14:paraId="1F239154" w14:textId="77777777" w:rsidTr="00356D05">
        <w:trPr>
          <w:trHeight w:val="277"/>
        </w:trPr>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7F29D9" w14:textId="77777777" w:rsidR="00356D05" w:rsidRPr="001D4CED" w:rsidRDefault="004A7A82">
            <w:pPr>
              <w:rPr>
                <w:rFonts w:eastAsia="Arial" w:cs="Arial"/>
                <w:color w:val="000000"/>
              </w:rPr>
            </w:pPr>
            <w:r w:rsidRPr="001D4CED">
              <w:rPr>
                <w:rFonts w:cs="Arial"/>
                <w:color w:val="000000"/>
              </w:rPr>
              <w:t>Band D (basic)</w:t>
            </w:r>
          </w:p>
        </w:tc>
        <w:tc>
          <w:tcPr>
            <w:tcW w:w="2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754206" w14:textId="77777777" w:rsidR="00356D05" w:rsidRPr="001D4CED" w:rsidRDefault="004A7A82">
            <w:pPr>
              <w:jc w:val="right"/>
              <w:rPr>
                <w:rFonts w:eastAsia="Arial" w:cs="Arial"/>
                <w:color w:val="000000"/>
              </w:rPr>
            </w:pPr>
            <w:r w:rsidRPr="001D4CED">
              <w:rPr>
                <w:rFonts w:cs="Arial"/>
                <w:color w:val="000000"/>
              </w:rPr>
              <w:t>1,653.29</w:t>
            </w:r>
          </w:p>
        </w:tc>
        <w:tc>
          <w:tcPr>
            <w:tcW w:w="231" w:type="dxa"/>
            <w:tcBorders>
              <w:left w:val="single" w:sz="4" w:space="0" w:color="auto"/>
            </w:tcBorders>
            <w:vAlign w:val="center"/>
          </w:tcPr>
          <w:p w14:paraId="6472B200" w14:textId="77777777" w:rsidR="00356D05" w:rsidRPr="00B75D18" w:rsidRDefault="00356D05">
            <w:pPr>
              <w:rPr>
                <w:rFonts w:eastAsia="Arial" w:cs="Arial"/>
                <w:highlight w:val="yellow"/>
              </w:rPr>
            </w:pPr>
          </w:p>
        </w:tc>
      </w:tr>
      <w:tr w:rsidR="00C92CD8" w14:paraId="0DD5E0A6" w14:textId="77777777" w:rsidTr="001D4CED">
        <w:trPr>
          <w:trHeight w:val="277"/>
        </w:trPr>
        <w:tc>
          <w:tcPr>
            <w:tcW w:w="2470" w:type="dxa"/>
            <w:vMerge/>
            <w:tcBorders>
              <w:top w:val="single" w:sz="4" w:space="0" w:color="auto"/>
              <w:left w:val="single" w:sz="4" w:space="0" w:color="auto"/>
              <w:bottom w:val="single" w:sz="4" w:space="0" w:color="auto"/>
              <w:right w:val="single" w:sz="4" w:space="0" w:color="auto"/>
            </w:tcBorders>
            <w:vAlign w:val="center"/>
          </w:tcPr>
          <w:p w14:paraId="328B0980" w14:textId="77777777" w:rsidR="00356D05" w:rsidRPr="001D4CED" w:rsidRDefault="00356D05">
            <w:pPr>
              <w:rPr>
                <w:rFonts w:cs="Arial"/>
                <w:color w:val="000000"/>
              </w:rPr>
            </w:pPr>
          </w:p>
        </w:tc>
        <w:tc>
          <w:tcPr>
            <w:tcW w:w="2390" w:type="dxa"/>
            <w:vMerge/>
            <w:tcBorders>
              <w:top w:val="single" w:sz="4" w:space="0" w:color="auto"/>
              <w:left w:val="single" w:sz="4" w:space="0" w:color="auto"/>
              <w:bottom w:val="single" w:sz="4" w:space="0" w:color="auto"/>
            </w:tcBorders>
            <w:vAlign w:val="center"/>
          </w:tcPr>
          <w:p w14:paraId="1AF84001" w14:textId="77777777" w:rsidR="00356D05" w:rsidRPr="001D4CED" w:rsidRDefault="00356D05">
            <w:pPr>
              <w:rPr>
                <w:rFonts w:cs="Arial"/>
                <w:color w:val="000000"/>
              </w:rPr>
            </w:pPr>
          </w:p>
        </w:tc>
        <w:tc>
          <w:tcPr>
            <w:tcW w:w="231" w:type="dxa"/>
            <w:tcBorders>
              <w:top w:val="nil"/>
              <w:left w:val="single" w:sz="4" w:space="0" w:color="auto"/>
              <w:bottom w:val="nil"/>
              <w:right w:val="nil"/>
            </w:tcBorders>
            <w:shd w:val="clear" w:color="auto" w:fill="auto"/>
            <w:noWrap/>
            <w:vAlign w:val="bottom"/>
          </w:tcPr>
          <w:p w14:paraId="40BC2B4C" w14:textId="77777777" w:rsidR="00356D05" w:rsidRPr="00B75D18" w:rsidRDefault="00356D05">
            <w:pPr>
              <w:jc w:val="right"/>
              <w:rPr>
                <w:rFonts w:eastAsia="Arial" w:cs="Arial"/>
                <w:color w:val="000000"/>
                <w:highlight w:val="yellow"/>
              </w:rPr>
            </w:pPr>
          </w:p>
        </w:tc>
      </w:tr>
      <w:tr w:rsidR="00C92CD8" w14:paraId="7AAEAA3F" w14:textId="77777777" w:rsidTr="00356D05">
        <w:trPr>
          <w:trHeight w:val="277"/>
        </w:trPr>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17F235" w14:textId="77777777" w:rsidR="00356D05" w:rsidRPr="001D4CED" w:rsidRDefault="004A7A82">
            <w:pPr>
              <w:rPr>
                <w:rFonts w:eastAsia="Arial" w:cs="Arial"/>
                <w:color w:val="000000"/>
              </w:rPr>
            </w:pPr>
            <w:r w:rsidRPr="001D4CED">
              <w:rPr>
                <w:rFonts w:cs="Arial"/>
                <w:color w:val="000000"/>
              </w:rPr>
              <w:t>Band E</w:t>
            </w:r>
          </w:p>
        </w:tc>
        <w:tc>
          <w:tcPr>
            <w:tcW w:w="2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B3B40B" w14:textId="77777777" w:rsidR="00356D05" w:rsidRPr="001D4CED" w:rsidRDefault="004A7A82">
            <w:pPr>
              <w:jc w:val="right"/>
              <w:rPr>
                <w:rFonts w:eastAsia="Arial" w:cs="Arial"/>
                <w:color w:val="000000"/>
              </w:rPr>
            </w:pPr>
            <w:r w:rsidRPr="001D4CED">
              <w:rPr>
                <w:rFonts w:cs="Arial"/>
                <w:color w:val="000000"/>
              </w:rPr>
              <w:t>2,020.69</w:t>
            </w:r>
          </w:p>
        </w:tc>
        <w:tc>
          <w:tcPr>
            <w:tcW w:w="231" w:type="dxa"/>
            <w:tcBorders>
              <w:left w:val="single" w:sz="4" w:space="0" w:color="auto"/>
            </w:tcBorders>
            <w:vAlign w:val="center"/>
          </w:tcPr>
          <w:p w14:paraId="7F0EED33" w14:textId="77777777" w:rsidR="00356D05" w:rsidRPr="00B75D18" w:rsidRDefault="00356D05">
            <w:pPr>
              <w:rPr>
                <w:rFonts w:eastAsia="Arial" w:cs="Arial"/>
                <w:highlight w:val="yellow"/>
              </w:rPr>
            </w:pPr>
          </w:p>
        </w:tc>
      </w:tr>
      <w:tr w:rsidR="00C92CD8" w14:paraId="6A6B6F85" w14:textId="77777777" w:rsidTr="001D4CED">
        <w:trPr>
          <w:trHeight w:val="277"/>
        </w:trPr>
        <w:tc>
          <w:tcPr>
            <w:tcW w:w="2470" w:type="dxa"/>
            <w:vMerge/>
            <w:tcBorders>
              <w:top w:val="single" w:sz="4" w:space="0" w:color="auto"/>
              <w:left w:val="single" w:sz="4" w:space="0" w:color="auto"/>
              <w:bottom w:val="single" w:sz="4" w:space="0" w:color="auto"/>
              <w:right w:val="single" w:sz="4" w:space="0" w:color="auto"/>
            </w:tcBorders>
            <w:vAlign w:val="center"/>
          </w:tcPr>
          <w:p w14:paraId="19C6224F" w14:textId="77777777" w:rsidR="00356D05" w:rsidRPr="001D4CED" w:rsidRDefault="00356D05">
            <w:pPr>
              <w:rPr>
                <w:rFonts w:cs="Arial"/>
                <w:color w:val="000000"/>
              </w:rPr>
            </w:pPr>
          </w:p>
        </w:tc>
        <w:tc>
          <w:tcPr>
            <w:tcW w:w="2390" w:type="dxa"/>
            <w:vMerge/>
            <w:tcBorders>
              <w:top w:val="single" w:sz="4" w:space="0" w:color="auto"/>
              <w:left w:val="single" w:sz="4" w:space="0" w:color="auto"/>
              <w:bottom w:val="single" w:sz="4" w:space="0" w:color="auto"/>
            </w:tcBorders>
            <w:vAlign w:val="center"/>
          </w:tcPr>
          <w:p w14:paraId="611EE812" w14:textId="77777777" w:rsidR="00356D05" w:rsidRPr="001D4CED" w:rsidRDefault="00356D05">
            <w:pPr>
              <w:rPr>
                <w:rFonts w:cs="Arial"/>
                <w:color w:val="000000"/>
              </w:rPr>
            </w:pPr>
          </w:p>
        </w:tc>
        <w:tc>
          <w:tcPr>
            <w:tcW w:w="231" w:type="dxa"/>
            <w:tcBorders>
              <w:top w:val="nil"/>
              <w:left w:val="single" w:sz="4" w:space="0" w:color="auto"/>
              <w:bottom w:val="nil"/>
              <w:right w:val="nil"/>
            </w:tcBorders>
            <w:shd w:val="clear" w:color="auto" w:fill="auto"/>
            <w:noWrap/>
            <w:vAlign w:val="bottom"/>
          </w:tcPr>
          <w:p w14:paraId="79B9DD4B" w14:textId="77777777" w:rsidR="00356D05" w:rsidRPr="00B75D18" w:rsidRDefault="00356D05">
            <w:pPr>
              <w:jc w:val="right"/>
              <w:rPr>
                <w:rFonts w:eastAsia="Arial" w:cs="Arial"/>
                <w:color w:val="000000"/>
                <w:highlight w:val="yellow"/>
              </w:rPr>
            </w:pPr>
          </w:p>
        </w:tc>
      </w:tr>
      <w:tr w:rsidR="00C92CD8" w14:paraId="2C2038E0" w14:textId="77777777" w:rsidTr="00356D05">
        <w:trPr>
          <w:trHeight w:val="277"/>
        </w:trPr>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A22319" w14:textId="77777777" w:rsidR="00356D05" w:rsidRPr="001D4CED" w:rsidRDefault="004A7A82">
            <w:pPr>
              <w:rPr>
                <w:rFonts w:eastAsia="Arial" w:cs="Arial"/>
                <w:color w:val="000000"/>
              </w:rPr>
            </w:pPr>
            <w:r w:rsidRPr="001D4CED">
              <w:rPr>
                <w:rFonts w:cs="Arial"/>
                <w:color w:val="000000"/>
              </w:rPr>
              <w:t>Band F</w:t>
            </w:r>
          </w:p>
        </w:tc>
        <w:tc>
          <w:tcPr>
            <w:tcW w:w="2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295180" w14:textId="77777777" w:rsidR="00356D05" w:rsidRPr="001D4CED" w:rsidRDefault="004A7A82">
            <w:pPr>
              <w:jc w:val="right"/>
              <w:rPr>
                <w:rFonts w:eastAsia="Arial" w:cs="Arial"/>
                <w:color w:val="000000"/>
              </w:rPr>
            </w:pPr>
            <w:r w:rsidRPr="001D4CED">
              <w:rPr>
                <w:rFonts w:cs="Arial"/>
                <w:color w:val="000000"/>
              </w:rPr>
              <w:t>2,388.09</w:t>
            </w:r>
          </w:p>
        </w:tc>
        <w:tc>
          <w:tcPr>
            <w:tcW w:w="231" w:type="dxa"/>
            <w:tcBorders>
              <w:left w:val="single" w:sz="4" w:space="0" w:color="auto"/>
            </w:tcBorders>
            <w:vAlign w:val="center"/>
          </w:tcPr>
          <w:p w14:paraId="1D283FB1" w14:textId="77777777" w:rsidR="00356D05" w:rsidRPr="00B75D18" w:rsidRDefault="00356D05">
            <w:pPr>
              <w:rPr>
                <w:rFonts w:eastAsia="Arial" w:cs="Arial"/>
                <w:highlight w:val="yellow"/>
              </w:rPr>
            </w:pPr>
          </w:p>
        </w:tc>
      </w:tr>
      <w:tr w:rsidR="00C92CD8" w14:paraId="6C1B5989" w14:textId="77777777" w:rsidTr="001D4CED">
        <w:trPr>
          <w:trHeight w:val="277"/>
        </w:trPr>
        <w:tc>
          <w:tcPr>
            <w:tcW w:w="2470" w:type="dxa"/>
            <w:vMerge/>
            <w:tcBorders>
              <w:top w:val="single" w:sz="4" w:space="0" w:color="auto"/>
              <w:left w:val="single" w:sz="4" w:space="0" w:color="auto"/>
              <w:bottom w:val="single" w:sz="4" w:space="0" w:color="auto"/>
              <w:right w:val="single" w:sz="4" w:space="0" w:color="auto"/>
            </w:tcBorders>
            <w:vAlign w:val="center"/>
          </w:tcPr>
          <w:p w14:paraId="6B32BF77" w14:textId="77777777" w:rsidR="00356D05" w:rsidRPr="001D4CED" w:rsidRDefault="00356D05">
            <w:pPr>
              <w:rPr>
                <w:rFonts w:cs="Arial"/>
                <w:color w:val="000000"/>
              </w:rPr>
            </w:pPr>
          </w:p>
        </w:tc>
        <w:tc>
          <w:tcPr>
            <w:tcW w:w="2390" w:type="dxa"/>
            <w:vMerge/>
            <w:tcBorders>
              <w:top w:val="single" w:sz="4" w:space="0" w:color="auto"/>
              <w:left w:val="single" w:sz="4" w:space="0" w:color="auto"/>
              <w:bottom w:val="single" w:sz="4" w:space="0" w:color="auto"/>
            </w:tcBorders>
            <w:vAlign w:val="center"/>
          </w:tcPr>
          <w:p w14:paraId="14E82D1F" w14:textId="77777777" w:rsidR="00356D05" w:rsidRPr="001D4CED" w:rsidRDefault="00356D05">
            <w:pPr>
              <w:rPr>
                <w:rFonts w:cs="Arial"/>
                <w:color w:val="000000"/>
              </w:rPr>
            </w:pPr>
          </w:p>
        </w:tc>
        <w:tc>
          <w:tcPr>
            <w:tcW w:w="231" w:type="dxa"/>
            <w:tcBorders>
              <w:top w:val="nil"/>
              <w:left w:val="single" w:sz="4" w:space="0" w:color="auto"/>
              <w:bottom w:val="nil"/>
              <w:right w:val="nil"/>
            </w:tcBorders>
            <w:shd w:val="clear" w:color="auto" w:fill="auto"/>
            <w:noWrap/>
            <w:vAlign w:val="bottom"/>
          </w:tcPr>
          <w:p w14:paraId="2A17BF87" w14:textId="77777777" w:rsidR="00356D05" w:rsidRPr="00B75D18" w:rsidRDefault="00356D05">
            <w:pPr>
              <w:jc w:val="right"/>
              <w:rPr>
                <w:rFonts w:eastAsia="Arial" w:cs="Arial"/>
                <w:color w:val="000000"/>
                <w:highlight w:val="yellow"/>
              </w:rPr>
            </w:pPr>
          </w:p>
        </w:tc>
      </w:tr>
      <w:tr w:rsidR="00C92CD8" w14:paraId="7F11AD85" w14:textId="77777777" w:rsidTr="00356D05">
        <w:trPr>
          <w:trHeight w:val="277"/>
        </w:trPr>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46BF26" w14:textId="77777777" w:rsidR="00356D05" w:rsidRPr="001D4CED" w:rsidRDefault="004A7A82">
            <w:pPr>
              <w:rPr>
                <w:rFonts w:eastAsia="Arial" w:cs="Arial"/>
                <w:color w:val="000000"/>
              </w:rPr>
            </w:pPr>
            <w:r w:rsidRPr="001D4CED">
              <w:rPr>
                <w:rFonts w:cs="Arial"/>
                <w:color w:val="000000"/>
              </w:rPr>
              <w:t>Band G</w:t>
            </w:r>
          </w:p>
        </w:tc>
        <w:tc>
          <w:tcPr>
            <w:tcW w:w="2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2001AC" w14:textId="77777777" w:rsidR="00356D05" w:rsidRPr="001D4CED" w:rsidRDefault="004A7A82">
            <w:pPr>
              <w:jc w:val="right"/>
              <w:rPr>
                <w:rFonts w:eastAsia="Arial" w:cs="Arial"/>
                <w:color w:val="000000"/>
              </w:rPr>
            </w:pPr>
            <w:r w:rsidRPr="001D4CED">
              <w:rPr>
                <w:rFonts w:cs="Arial"/>
                <w:color w:val="000000"/>
              </w:rPr>
              <w:t>2,755.48</w:t>
            </w:r>
          </w:p>
        </w:tc>
        <w:tc>
          <w:tcPr>
            <w:tcW w:w="231" w:type="dxa"/>
            <w:tcBorders>
              <w:left w:val="single" w:sz="4" w:space="0" w:color="auto"/>
            </w:tcBorders>
            <w:vAlign w:val="center"/>
          </w:tcPr>
          <w:p w14:paraId="17ED20D8" w14:textId="77777777" w:rsidR="00356D05" w:rsidRPr="00B75D18" w:rsidRDefault="00356D05">
            <w:pPr>
              <w:rPr>
                <w:rFonts w:eastAsia="Arial" w:cs="Arial"/>
                <w:highlight w:val="yellow"/>
              </w:rPr>
            </w:pPr>
          </w:p>
        </w:tc>
      </w:tr>
      <w:tr w:rsidR="00C92CD8" w14:paraId="4AD3BA63" w14:textId="77777777" w:rsidTr="001D4CED">
        <w:trPr>
          <w:trHeight w:val="277"/>
        </w:trPr>
        <w:tc>
          <w:tcPr>
            <w:tcW w:w="2470" w:type="dxa"/>
            <w:vMerge/>
            <w:tcBorders>
              <w:top w:val="single" w:sz="4" w:space="0" w:color="auto"/>
              <w:left w:val="single" w:sz="4" w:space="0" w:color="auto"/>
              <w:bottom w:val="single" w:sz="4" w:space="0" w:color="auto"/>
              <w:right w:val="single" w:sz="4" w:space="0" w:color="auto"/>
            </w:tcBorders>
            <w:vAlign w:val="center"/>
          </w:tcPr>
          <w:p w14:paraId="643ACA37" w14:textId="77777777" w:rsidR="00356D05" w:rsidRPr="001D4CED" w:rsidRDefault="00356D05">
            <w:pPr>
              <w:rPr>
                <w:rFonts w:cs="Arial"/>
                <w:color w:val="000000"/>
              </w:rPr>
            </w:pPr>
          </w:p>
        </w:tc>
        <w:tc>
          <w:tcPr>
            <w:tcW w:w="2390" w:type="dxa"/>
            <w:vMerge/>
            <w:tcBorders>
              <w:top w:val="single" w:sz="4" w:space="0" w:color="auto"/>
              <w:left w:val="single" w:sz="4" w:space="0" w:color="auto"/>
              <w:bottom w:val="single" w:sz="4" w:space="0" w:color="auto"/>
            </w:tcBorders>
            <w:vAlign w:val="center"/>
          </w:tcPr>
          <w:p w14:paraId="3E6C8668" w14:textId="77777777" w:rsidR="00356D05" w:rsidRPr="001D4CED" w:rsidRDefault="00356D05">
            <w:pPr>
              <w:rPr>
                <w:rFonts w:cs="Arial"/>
                <w:color w:val="000000"/>
              </w:rPr>
            </w:pPr>
          </w:p>
        </w:tc>
        <w:tc>
          <w:tcPr>
            <w:tcW w:w="231" w:type="dxa"/>
            <w:tcBorders>
              <w:top w:val="nil"/>
              <w:left w:val="single" w:sz="4" w:space="0" w:color="auto"/>
              <w:bottom w:val="nil"/>
              <w:right w:val="nil"/>
            </w:tcBorders>
            <w:shd w:val="clear" w:color="auto" w:fill="auto"/>
            <w:noWrap/>
            <w:vAlign w:val="bottom"/>
          </w:tcPr>
          <w:p w14:paraId="646D293B" w14:textId="77777777" w:rsidR="00356D05" w:rsidRPr="00B75D18" w:rsidRDefault="00356D05">
            <w:pPr>
              <w:jc w:val="right"/>
              <w:rPr>
                <w:rFonts w:eastAsia="Arial" w:cs="Arial"/>
                <w:color w:val="000000"/>
                <w:highlight w:val="yellow"/>
              </w:rPr>
            </w:pPr>
          </w:p>
        </w:tc>
      </w:tr>
      <w:tr w:rsidR="00C92CD8" w14:paraId="4F1DA7B4" w14:textId="77777777" w:rsidTr="00356D05">
        <w:trPr>
          <w:trHeight w:val="277"/>
        </w:trPr>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A24EC4" w14:textId="77777777" w:rsidR="00356D05" w:rsidRPr="001D4CED" w:rsidRDefault="004A7A82">
            <w:pPr>
              <w:rPr>
                <w:rFonts w:eastAsia="Arial" w:cs="Arial"/>
                <w:color w:val="000000"/>
              </w:rPr>
            </w:pPr>
            <w:r w:rsidRPr="001D4CED">
              <w:rPr>
                <w:rFonts w:cs="Arial"/>
                <w:color w:val="000000"/>
              </w:rPr>
              <w:t>Band H</w:t>
            </w:r>
          </w:p>
        </w:tc>
        <w:tc>
          <w:tcPr>
            <w:tcW w:w="2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B49722" w14:textId="77777777" w:rsidR="00356D05" w:rsidRPr="001D4CED" w:rsidRDefault="004A7A82">
            <w:pPr>
              <w:jc w:val="right"/>
              <w:rPr>
                <w:rFonts w:eastAsia="Arial" w:cs="Arial"/>
                <w:color w:val="000000"/>
              </w:rPr>
            </w:pPr>
            <w:r w:rsidRPr="001D4CED">
              <w:rPr>
                <w:rFonts w:cs="Arial"/>
                <w:color w:val="000000"/>
              </w:rPr>
              <w:t>3,306.58</w:t>
            </w:r>
          </w:p>
        </w:tc>
        <w:tc>
          <w:tcPr>
            <w:tcW w:w="231" w:type="dxa"/>
            <w:tcBorders>
              <w:left w:val="single" w:sz="4" w:space="0" w:color="auto"/>
            </w:tcBorders>
            <w:vAlign w:val="center"/>
          </w:tcPr>
          <w:p w14:paraId="7316DCB3" w14:textId="77777777" w:rsidR="00356D05" w:rsidRPr="00B75D18" w:rsidRDefault="00356D05">
            <w:pPr>
              <w:rPr>
                <w:rFonts w:eastAsia="Arial" w:cs="Arial"/>
                <w:highlight w:val="yellow"/>
              </w:rPr>
            </w:pPr>
          </w:p>
        </w:tc>
      </w:tr>
      <w:tr w:rsidR="00C92CD8" w14:paraId="1E725148" w14:textId="77777777" w:rsidTr="001D4CED">
        <w:trPr>
          <w:trHeight w:val="277"/>
        </w:trPr>
        <w:tc>
          <w:tcPr>
            <w:tcW w:w="2470" w:type="dxa"/>
            <w:vMerge/>
            <w:tcBorders>
              <w:top w:val="single" w:sz="4" w:space="0" w:color="auto"/>
              <w:left w:val="single" w:sz="4" w:space="0" w:color="auto"/>
              <w:bottom w:val="single" w:sz="4" w:space="0" w:color="auto"/>
              <w:right w:val="single" w:sz="4" w:space="0" w:color="auto"/>
            </w:tcBorders>
            <w:vAlign w:val="center"/>
          </w:tcPr>
          <w:p w14:paraId="3FB774CA" w14:textId="77777777" w:rsidR="00356D05" w:rsidRPr="00B75D18" w:rsidRDefault="00356D05">
            <w:pPr>
              <w:rPr>
                <w:rFonts w:cs="Arial"/>
                <w:color w:val="000000"/>
                <w:sz w:val="22"/>
                <w:szCs w:val="22"/>
                <w:highlight w:val="yellow"/>
              </w:rPr>
            </w:pPr>
          </w:p>
        </w:tc>
        <w:tc>
          <w:tcPr>
            <w:tcW w:w="2390" w:type="dxa"/>
            <w:vMerge/>
            <w:tcBorders>
              <w:top w:val="single" w:sz="4" w:space="0" w:color="auto"/>
              <w:left w:val="single" w:sz="4" w:space="0" w:color="auto"/>
              <w:bottom w:val="single" w:sz="4" w:space="0" w:color="auto"/>
            </w:tcBorders>
            <w:vAlign w:val="center"/>
          </w:tcPr>
          <w:p w14:paraId="7C083F66" w14:textId="77777777" w:rsidR="00356D05" w:rsidRPr="00B75D18" w:rsidRDefault="00356D05">
            <w:pPr>
              <w:rPr>
                <w:rFonts w:ascii="Calibri" w:hAnsi="Calibri"/>
                <w:color w:val="000000"/>
                <w:sz w:val="22"/>
                <w:szCs w:val="22"/>
                <w:highlight w:val="yellow"/>
              </w:rPr>
            </w:pPr>
          </w:p>
        </w:tc>
        <w:tc>
          <w:tcPr>
            <w:tcW w:w="231" w:type="dxa"/>
            <w:tcBorders>
              <w:top w:val="nil"/>
              <w:left w:val="single" w:sz="4" w:space="0" w:color="auto"/>
              <w:bottom w:val="nil"/>
              <w:right w:val="nil"/>
            </w:tcBorders>
            <w:shd w:val="clear" w:color="auto" w:fill="auto"/>
            <w:noWrap/>
            <w:vAlign w:val="bottom"/>
          </w:tcPr>
          <w:p w14:paraId="637519F9" w14:textId="77777777" w:rsidR="00356D05" w:rsidRPr="00B75D18" w:rsidRDefault="00356D05">
            <w:pPr>
              <w:jc w:val="right"/>
              <w:rPr>
                <w:rFonts w:eastAsia="Arial" w:cs="Arial"/>
                <w:color w:val="000000"/>
                <w:highlight w:val="yellow"/>
              </w:rPr>
            </w:pPr>
          </w:p>
        </w:tc>
      </w:tr>
    </w:tbl>
    <w:p w14:paraId="0E473A62" w14:textId="570A3CFA" w:rsidR="00DC10E5" w:rsidRPr="00D300FD" w:rsidRDefault="00DC10E5" w:rsidP="00D300FD">
      <w:pPr>
        <w:jc w:val="both"/>
        <w:rPr>
          <w:rFonts w:cs="Arial"/>
          <w:highlight w:val="yellow"/>
        </w:rPr>
      </w:pPr>
    </w:p>
    <w:p w14:paraId="5009B7B8" w14:textId="6BB7BA05" w:rsidR="00DC10E5" w:rsidRDefault="00DC10E5" w:rsidP="00D300FD">
      <w:pPr>
        <w:jc w:val="both"/>
        <w:rPr>
          <w:rFonts w:cs="Arial"/>
          <w:highlight w:val="yellow"/>
        </w:rPr>
      </w:pPr>
    </w:p>
    <w:p w14:paraId="49576AD7" w14:textId="69783DFE" w:rsidR="002F0048" w:rsidRPr="00033179" w:rsidRDefault="004A7A82" w:rsidP="002F0048">
      <w:pPr>
        <w:pStyle w:val="BodyText"/>
        <w:numPr>
          <w:ilvl w:val="0"/>
          <w:numId w:val="50"/>
        </w:numPr>
        <w:rPr>
          <w:rFonts w:eastAsia="Arial" w:cs="Arial"/>
        </w:rPr>
      </w:pPr>
      <w:r w:rsidRPr="00033179">
        <w:rPr>
          <w:rFonts w:eastAsia="Arial" w:cs="Arial"/>
        </w:rPr>
        <w:t xml:space="preserve">The contribution from each district council </w:t>
      </w:r>
      <w:r w:rsidR="00766130" w:rsidRPr="00033179">
        <w:rPr>
          <w:rFonts w:eastAsia="Arial" w:cs="Arial"/>
        </w:rPr>
        <w:t>is shown in</w:t>
      </w:r>
      <w:r w:rsidRPr="00033179">
        <w:rPr>
          <w:rFonts w:eastAsia="Arial" w:cs="Arial"/>
        </w:rPr>
        <w:t xml:space="preserve"> the </w:t>
      </w:r>
      <w:r w:rsidR="00766130" w:rsidRPr="00033179">
        <w:rPr>
          <w:rFonts w:eastAsia="Arial" w:cs="Arial"/>
        </w:rPr>
        <w:t>table below using</w:t>
      </w:r>
      <w:r w:rsidRPr="00033179">
        <w:rPr>
          <w:rFonts w:eastAsia="Arial" w:cs="Arial"/>
        </w:rPr>
        <w:t xml:space="preserve"> the tax </w:t>
      </w:r>
      <w:r w:rsidR="00766130" w:rsidRPr="00033179">
        <w:rPr>
          <w:rFonts w:eastAsia="Arial" w:cs="Arial"/>
        </w:rPr>
        <w:t>base calculations provided.</w:t>
      </w:r>
    </w:p>
    <w:p w14:paraId="52D404E0" w14:textId="1AC0DD8D" w:rsidR="00D300FD" w:rsidRDefault="00D300FD" w:rsidP="00D300FD">
      <w:pPr>
        <w:jc w:val="both"/>
        <w:rPr>
          <w:rFonts w:cs="Arial"/>
          <w:highlight w:val="yellow"/>
        </w:rPr>
      </w:pPr>
    </w:p>
    <w:p w14:paraId="62664D5A" w14:textId="4B6FE46F" w:rsidR="00D300FD" w:rsidRPr="00D300FD" w:rsidRDefault="004A7A82" w:rsidP="00D300FD">
      <w:pPr>
        <w:pStyle w:val="BodyTextIndent"/>
        <w:spacing w:line="276" w:lineRule="auto"/>
        <w:ind w:left="1080"/>
        <w:jc w:val="both"/>
        <w:rPr>
          <w:rFonts w:cs="Arial"/>
          <w:b/>
          <w:bCs/>
          <w:i/>
          <w:iCs/>
          <w:u w:val="single"/>
        </w:rPr>
      </w:pPr>
      <w:r w:rsidRPr="00467834">
        <w:rPr>
          <w:rFonts w:cs="Arial"/>
          <w:b/>
          <w:bCs/>
          <w:i/>
          <w:iCs/>
          <w:u w:val="single"/>
        </w:rPr>
        <w:t xml:space="preserve">Table </w:t>
      </w:r>
      <w:r>
        <w:rPr>
          <w:rFonts w:cs="Arial"/>
          <w:b/>
          <w:bCs/>
          <w:i/>
          <w:iCs/>
          <w:u w:val="single"/>
        </w:rPr>
        <w:t>10</w:t>
      </w:r>
    </w:p>
    <w:tbl>
      <w:tblPr>
        <w:tblW w:w="6612" w:type="dxa"/>
        <w:jc w:val="center"/>
        <w:tblLook w:val="04A0" w:firstRow="1" w:lastRow="0" w:firstColumn="1" w:lastColumn="0" w:noHBand="0" w:noVBand="1"/>
      </w:tblPr>
      <w:tblGrid>
        <w:gridCol w:w="4072"/>
        <w:gridCol w:w="2540"/>
      </w:tblGrid>
      <w:tr w:rsidR="00C92CD8" w14:paraId="0A0DB51B" w14:textId="77777777" w:rsidTr="00AF5F5D">
        <w:trPr>
          <w:trHeight w:val="527"/>
          <w:jc w:val="center"/>
        </w:trPr>
        <w:tc>
          <w:tcPr>
            <w:tcW w:w="407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DC3715E" w14:textId="190D168E" w:rsidR="00D300FD" w:rsidRPr="001D4CED" w:rsidRDefault="004A7A82" w:rsidP="00AF5F5D">
            <w:pPr>
              <w:jc w:val="center"/>
              <w:rPr>
                <w:rFonts w:eastAsia="Times New Roman" w:cs="Arial"/>
                <w:b/>
                <w:bCs/>
                <w:color w:val="000000"/>
                <w:sz w:val="22"/>
                <w:szCs w:val="22"/>
              </w:rPr>
            </w:pPr>
            <w:r w:rsidRPr="001D4CED">
              <w:rPr>
                <w:rFonts w:eastAsia="Times New Roman" w:cs="Arial"/>
                <w:b/>
                <w:bCs/>
                <w:color w:val="000000"/>
                <w:sz w:val="22"/>
                <w:szCs w:val="22"/>
              </w:rPr>
              <w:t>District</w:t>
            </w:r>
          </w:p>
        </w:tc>
        <w:tc>
          <w:tcPr>
            <w:tcW w:w="2540" w:type="dxa"/>
            <w:tcBorders>
              <w:top w:val="single" w:sz="4" w:space="0" w:color="auto"/>
              <w:left w:val="nil"/>
              <w:bottom w:val="single" w:sz="4" w:space="0" w:color="auto"/>
              <w:right w:val="single" w:sz="4" w:space="0" w:color="auto"/>
            </w:tcBorders>
            <w:shd w:val="clear" w:color="000000" w:fill="BFBFBF"/>
            <w:noWrap/>
            <w:vAlign w:val="center"/>
            <w:hideMark/>
          </w:tcPr>
          <w:p w14:paraId="67FDAE1E" w14:textId="18EEB3E1" w:rsidR="00D300FD" w:rsidRPr="001D4CED" w:rsidRDefault="004A7A82" w:rsidP="00AF5F5D">
            <w:pPr>
              <w:jc w:val="center"/>
              <w:rPr>
                <w:rFonts w:eastAsia="Times New Roman" w:cs="Arial"/>
                <w:b/>
                <w:bCs/>
                <w:color w:val="000000"/>
                <w:sz w:val="22"/>
                <w:szCs w:val="22"/>
              </w:rPr>
            </w:pPr>
            <w:r>
              <w:rPr>
                <w:rFonts w:eastAsia="Times New Roman" w:cs="Arial"/>
                <w:b/>
                <w:bCs/>
                <w:color w:val="000000"/>
                <w:sz w:val="22"/>
                <w:szCs w:val="22"/>
              </w:rPr>
              <w:t>£</w:t>
            </w:r>
          </w:p>
        </w:tc>
      </w:tr>
      <w:tr w:rsidR="00C92CD8" w14:paraId="79A29EEC" w14:textId="77777777" w:rsidTr="00AF5F5D">
        <w:trPr>
          <w:trHeight w:val="293"/>
          <w:jc w:val="center"/>
        </w:trPr>
        <w:tc>
          <w:tcPr>
            <w:tcW w:w="4072" w:type="dxa"/>
            <w:tcBorders>
              <w:top w:val="nil"/>
              <w:left w:val="single" w:sz="4" w:space="0" w:color="auto"/>
              <w:bottom w:val="single" w:sz="4" w:space="0" w:color="auto"/>
              <w:right w:val="single" w:sz="4" w:space="0" w:color="auto"/>
            </w:tcBorders>
            <w:shd w:val="clear" w:color="auto" w:fill="auto"/>
            <w:noWrap/>
            <w:vAlign w:val="center"/>
            <w:hideMark/>
          </w:tcPr>
          <w:p w14:paraId="4AE9781E" w14:textId="77777777" w:rsidR="0032770F" w:rsidRPr="00D4496D" w:rsidRDefault="004A7A82" w:rsidP="00D300FD">
            <w:pPr>
              <w:rPr>
                <w:rFonts w:eastAsia="Times New Roman" w:cs="Arial"/>
                <w:color w:val="000000"/>
              </w:rPr>
            </w:pPr>
            <w:r w:rsidRPr="00D4496D">
              <w:rPr>
                <w:rFonts w:eastAsia="Times New Roman" w:cs="Arial"/>
                <w:color w:val="000000"/>
              </w:rPr>
              <w:t>Burnley</w:t>
            </w:r>
          </w:p>
        </w:tc>
        <w:tc>
          <w:tcPr>
            <w:tcW w:w="2540" w:type="dxa"/>
            <w:tcBorders>
              <w:top w:val="nil"/>
              <w:left w:val="nil"/>
              <w:bottom w:val="single" w:sz="4" w:space="0" w:color="auto"/>
              <w:right w:val="single" w:sz="4" w:space="0" w:color="auto"/>
            </w:tcBorders>
            <w:shd w:val="clear" w:color="auto" w:fill="auto"/>
            <w:noWrap/>
            <w:vAlign w:val="center"/>
            <w:hideMark/>
          </w:tcPr>
          <w:p w14:paraId="3A5C151C" w14:textId="4ADF81AC" w:rsidR="0032770F" w:rsidRPr="00D4496D" w:rsidRDefault="004A7A82" w:rsidP="00AF5F5D">
            <w:pPr>
              <w:jc w:val="right"/>
              <w:rPr>
                <w:rFonts w:eastAsia="Times New Roman" w:cs="Arial"/>
                <w:color w:val="000000"/>
              </w:rPr>
            </w:pPr>
            <w:r w:rsidRPr="00D4496D">
              <w:rPr>
                <w:rFonts w:eastAsia="Times New Roman" w:cs="Arial"/>
                <w:color w:val="000000"/>
              </w:rPr>
              <w:t>39,421,047</w:t>
            </w:r>
          </w:p>
        </w:tc>
      </w:tr>
      <w:tr w:rsidR="00C92CD8" w14:paraId="4A114D6D" w14:textId="77777777" w:rsidTr="00AF5F5D">
        <w:trPr>
          <w:trHeight w:val="250"/>
          <w:jc w:val="center"/>
        </w:trPr>
        <w:tc>
          <w:tcPr>
            <w:tcW w:w="4072" w:type="dxa"/>
            <w:tcBorders>
              <w:top w:val="nil"/>
              <w:left w:val="single" w:sz="4" w:space="0" w:color="auto"/>
              <w:bottom w:val="single" w:sz="4" w:space="0" w:color="auto"/>
              <w:right w:val="single" w:sz="4" w:space="0" w:color="auto"/>
            </w:tcBorders>
            <w:shd w:val="clear" w:color="auto" w:fill="auto"/>
            <w:noWrap/>
            <w:vAlign w:val="center"/>
            <w:hideMark/>
          </w:tcPr>
          <w:p w14:paraId="6EB7B613" w14:textId="77777777" w:rsidR="0032770F" w:rsidRPr="00D4496D" w:rsidRDefault="004A7A82" w:rsidP="00D300FD">
            <w:pPr>
              <w:rPr>
                <w:rFonts w:eastAsia="Times New Roman" w:cs="Arial"/>
                <w:color w:val="000000"/>
              </w:rPr>
            </w:pPr>
            <w:r w:rsidRPr="00D4496D">
              <w:rPr>
                <w:rFonts w:eastAsia="Times New Roman" w:cs="Arial"/>
                <w:color w:val="000000"/>
              </w:rPr>
              <w:t>Chorley</w:t>
            </w:r>
          </w:p>
        </w:tc>
        <w:tc>
          <w:tcPr>
            <w:tcW w:w="2540" w:type="dxa"/>
            <w:tcBorders>
              <w:top w:val="nil"/>
              <w:left w:val="nil"/>
              <w:bottom w:val="single" w:sz="4" w:space="0" w:color="auto"/>
              <w:right w:val="single" w:sz="4" w:space="0" w:color="auto"/>
            </w:tcBorders>
            <w:shd w:val="clear" w:color="auto" w:fill="auto"/>
            <w:noWrap/>
            <w:vAlign w:val="center"/>
            <w:hideMark/>
          </w:tcPr>
          <w:p w14:paraId="1EF8CE5B" w14:textId="1BE17074" w:rsidR="0032770F" w:rsidRPr="00D4496D" w:rsidRDefault="004A7A82" w:rsidP="00AF5F5D">
            <w:pPr>
              <w:jc w:val="right"/>
              <w:rPr>
                <w:rFonts w:eastAsia="Times New Roman" w:cs="Arial"/>
                <w:color w:val="000000"/>
              </w:rPr>
            </w:pPr>
            <w:r w:rsidRPr="00D4496D">
              <w:rPr>
                <w:rFonts w:eastAsia="Times New Roman" w:cs="Arial"/>
                <w:color w:val="000000"/>
              </w:rPr>
              <w:t>63,884,448</w:t>
            </w:r>
          </w:p>
        </w:tc>
      </w:tr>
      <w:tr w:rsidR="00C92CD8" w14:paraId="0CB61C8A" w14:textId="77777777" w:rsidTr="00AF5F5D">
        <w:trPr>
          <w:trHeight w:val="250"/>
          <w:jc w:val="center"/>
        </w:trPr>
        <w:tc>
          <w:tcPr>
            <w:tcW w:w="4072" w:type="dxa"/>
            <w:tcBorders>
              <w:top w:val="nil"/>
              <w:left w:val="single" w:sz="4" w:space="0" w:color="auto"/>
              <w:bottom w:val="single" w:sz="4" w:space="0" w:color="auto"/>
              <w:right w:val="single" w:sz="4" w:space="0" w:color="auto"/>
            </w:tcBorders>
            <w:shd w:val="clear" w:color="auto" w:fill="auto"/>
            <w:noWrap/>
            <w:vAlign w:val="center"/>
            <w:hideMark/>
          </w:tcPr>
          <w:p w14:paraId="14D43CAC" w14:textId="77777777" w:rsidR="0032770F" w:rsidRPr="00D4496D" w:rsidRDefault="004A7A82" w:rsidP="00D300FD">
            <w:pPr>
              <w:rPr>
                <w:rFonts w:eastAsia="Times New Roman" w:cs="Arial"/>
                <w:color w:val="000000"/>
              </w:rPr>
            </w:pPr>
            <w:r w:rsidRPr="00D4496D">
              <w:rPr>
                <w:rFonts w:eastAsia="Times New Roman" w:cs="Arial"/>
                <w:color w:val="000000"/>
              </w:rPr>
              <w:t>Fylde</w:t>
            </w:r>
          </w:p>
        </w:tc>
        <w:tc>
          <w:tcPr>
            <w:tcW w:w="2540" w:type="dxa"/>
            <w:tcBorders>
              <w:top w:val="nil"/>
              <w:left w:val="nil"/>
              <w:bottom w:val="single" w:sz="4" w:space="0" w:color="auto"/>
              <w:right w:val="single" w:sz="4" w:space="0" w:color="auto"/>
            </w:tcBorders>
            <w:shd w:val="clear" w:color="auto" w:fill="auto"/>
            <w:noWrap/>
            <w:vAlign w:val="center"/>
            <w:hideMark/>
          </w:tcPr>
          <w:p w14:paraId="7C16AB49" w14:textId="22BD953E" w:rsidR="0032770F" w:rsidRPr="00D4496D" w:rsidRDefault="004A7A82" w:rsidP="00AF5F5D">
            <w:pPr>
              <w:jc w:val="right"/>
              <w:rPr>
                <w:rFonts w:eastAsia="Times New Roman" w:cs="Arial"/>
                <w:color w:val="000000"/>
              </w:rPr>
            </w:pPr>
            <w:r w:rsidRPr="00D4496D">
              <w:rPr>
                <w:rFonts w:eastAsia="Times New Roman" w:cs="Arial"/>
                <w:color w:val="000000"/>
              </w:rPr>
              <w:t>53,249,164</w:t>
            </w:r>
          </w:p>
        </w:tc>
      </w:tr>
      <w:tr w:rsidR="00C92CD8" w14:paraId="60F3103C" w14:textId="77777777" w:rsidTr="00AF5F5D">
        <w:trPr>
          <w:trHeight w:val="250"/>
          <w:jc w:val="center"/>
        </w:trPr>
        <w:tc>
          <w:tcPr>
            <w:tcW w:w="4072" w:type="dxa"/>
            <w:tcBorders>
              <w:top w:val="nil"/>
              <w:left w:val="single" w:sz="4" w:space="0" w:color="auto"/>
              <w:bottom w:val="single" w:sz="4" w:space="0" w:color="auto"/>
              <w:right w:val="single" w:sz="4" w:space="0" w:color="auto"/>
            </w:tcBorders>
            <w:shd w:val="clear" w:color="auto" w:fill="auto"/>
            <w:noWrap/>
            <w:vAlign w:val="center"/>
            <w:hideMark/>
          </w:tcPr>
          <w:p w14:paraId="417187EA" w14:textId="77777777" w:rsidR="0032770F" w:rsidRPr="00D4496D" w:rsidRDefault="004A7A82" w:rsidP="00D300FD">
            <w:pPr>
              <w:rPr>
                <w:rFonts w:eastAsia="Times New Roman" w:cs="Arial"/>
                <w:color w:val="000000"/>
              </w:rPr>
            </w:pPr>
            <w:r w:rsidRPr="00D4496D">
              <w:rPr>
                <w:rFonts w:eastAsia="Times New Roman" w:cs="Arial"/>
                <w:color w:val="000000"/>
              </w:rPr>
              <w:t>Hyndburn</w:t>
            </w:r>
          </w:p>
        </w:tc>
        <w:tc>
          <w:tcPr>
            <w:tcW w:w="2540" w:type="dxa"/>
            <w:tcBorders>
              <w:top w:val="nil"/>
              <w:left w:val="nil"/>
              <w:bottom w:val="single" w:sz="4" w:space="0" w:color="auto"/>
              <w:right w:val="single" w:sz="4" w:space="0" w:color="auto"/>
            </w:tcBorders>
            <w:shd w:val="clear" w:color="auto" w:fill="auto"/>
            <w:noWrap/>
            <w:vAlign w:val="center"/>
            <w:hideMark/>
          </w:tcPr>
          <w:p w14:paraId="040578AC" w14:textId="075391EC" w:rsidR="0032770F" w:rsidRPr="00D4496D" w:rsidRDefault="004A7A82" w:rsidP="00AF5F5D">
            <w:pPr>
              <w:jc w:val="right"/>
              <w:rPr>
                <w:rFonts w:eastAsia="Times New Roman" w:cs="Arial"/>
                <w:color w:val="000000"/>
              </w:rPr>
            </w:pPr>
            <w:r w:rsidRPr="00D4496D">
              <w:rPr>
                <w:rFonts w:eastAsia="Times New Roman" w:cs="Arial"/>
                <w:color w:val="000000"/>
              </w:rPr>
              <w:t>36,529,443</w:t>
            </w:r>
          </w:p>
        </w:tc>
      </w:tr>
      <w:tr w:rsidR="00C92CD8" w14:paraId="444C990C" w14:textId="77777777" w:rsidTr="00AF5F5D">
        <w:trPr>
          <w:trHeight w:val="240"/>
          <w:jc w:val="center"/>
        </w:trPr>
        <w:tc>
          <w:tcPr>
            <w:tcW w:w="4072" w:type="dxa"/>
            <w:tcBorders>
              <w:top w:val="nil"/>
              <w:left w:val="single" w:sz="4" w:space="0" w:color="auto"/>
              <w:bottom w:val="single" w:sz="4" w:space="0" w:color="auto"/>
              <w:right w:val="single" w:sz="4" w:space="0" w:color="auto"/>
            </w:tcBorders>
            <w:shd w:val="clear" w:color="auto" w:fill="auto"/>
            <w:noWrap/>
            <w:vAlign w:val="center"/>
            <w:hideMark/>
          </w:tcPr>
          <w:p w14:paraId="67C2BF03" w14:textId="77777777" w:rsidR="0032770F" w:rsidRPr="00D4496D" w:rsidRDefault="004A7A82" w:rsidP="00D300FD">
            <w:pPr>
              <w:rPr>
                <w:rFonts w:eastAsia="Times New Roman" w:cs="Arial"/>
                <w:color w:val="000000"/>
              </w:rPr>
            </w:pPr>
            <w:r w:rsidRPr="00D4496D">
              <w:rPr>
                <w:rFonts w:eastAsia="Times New Roman" w:cs="Arial"/>
                <w:color w:val="000000"/>
              </w:rPr>
              <w:t>Lancaster</w:t>
            </w:r>
          </w:p>
        </w:tc>
        <w:tc>
          <w:tcPr>
            <w:tcW w:w="2540" w:type="dxa"/>
            <w:tcBorders>
              <w:top w:val="nil"/>
              <w:left w:val="nil"/>
              <w:bottom w:val="single" w:sz="4" w:space="0" w:color="auto"/>
              <w:right w:val="single" w:sz="4" w:space="0" w:color="auto"/>
            </w:tcBorders>
            <w:shd w:val="clear" w:color="auto" w:fill="auto"/>
            <w:noWrap/>
            <w:vAlign w:val="center"/>
            <w:hideMark/>
          </w:tcPr>
          <w:p w14:paraId="2ADB90BE" w14:textId="2CEC20DF" w:rsidR="0032770F" w:rsidRPr="00D4496D" w:rsidRDefault="004A7A82" w:rsidP="00AF5F5D">
            <w:pPr>
              <w:jc w:val="right"/>
              <w:rPr>
                <w:rFonts w:eastAsia="Times New Roman" w:cs="Arial"/>
                <w:color w:val="000000"/>
              </w:rPr>
            </w:pPr>
            <w:r w:rsidRPr="00D4496D">
              <w:rPr>
                <w:rFonts w:eastAsia="Times New Roman" w:cs="Arial"/>
                <w:color w:val="000000"/>
              </w:rPr>
              <w:t>70,402,048</w:t>
            </w:r>
          </w:p>
        </w:tc>
      </w:tr>
      <w:tr w:rsidR="00C92CD8" w14:paraId="563DFADC" w14:textId="77777777" w:rsidTr="00AF5F5D">
        <w:trPr>
          <w:trHeight w:val="240"/>
          <w:jc w:val="center"/>
        </w:trPr>
        <w:tc>
          <w:tcPr>
            <w:tcW w:w="4072" w:type="dxa"/>
            <w:tcBorders>
              <w:top w:val="nil"/>
              <w:left w:val="single" w:sz="4" w:space="0" w:color="auto"/>
              <w:bottom w:val="single" w:sz="4" w:space="0" w:color="auto"/>
              <w:right w:val="single" w:sz="4" w:space="0" w:color="auto"/>
            </w:tcBorders>
            <w:shd w:val="clear" w:color="auto" w:fill="auto"/>
            <w:noWrap/>
            <w:vAlign w:val="center"/>
            <w:hideMark/>
          </w:tcPr>
          <w:p w14:paraId="49983AE6" w14:textId="77777777" w:rsidR="0032770F" w:rsidRPr="00D4496D" w:rsidRDefault="004A7A82" w:rsidP="00D300FD">
            <w:pPr>
              <w:rPr>
                <w:rFonts w:eastAsia="Times New Roman" w:cs="Arial"/>
                <w:color w:val="000000"/>
              </w:rPr>
            </w:pPr>
            <w:r w:rsidRPr="00D4496D">
              <w:rPr>
                <w:rFonts w:eastAsia="Times New Roman" w:cs="Arial"/>
                <w:color w:val="000000"/>
              </w:rPr>
              <w:t>Pendle</w:t>
            </w:r>
          </w:p>
        </w:tc>
        <w:tc>
          <w:tcPr>
            <w:tcW w:w="2540" w:type="dxa"/>
            <w:tcBorders>
              <w:top w:val="nil"/>
              <w:left w:val="nil"/>
              <w:bottom w:val="single" w:sz="4" w:space="0" w:color="auto"/>
              <w:right w:val="single" w:sz="4" w:space="0" w:color="auto"/>
            </w:tcBorders>
            <w:shd w:val="clear" w:color="auto" w:fill="auto"/>
            <w:noWrap/>
            <w:vAlign w:val="center"/>
            <w:hideMark/>
          </w:tcPr>
          <w:p w14:paraId="7303075A" w14:textId="179FADCD" w:rsidR="0032770F" w:rsidRPr="00D4496D" w:rsidRDefault="004A7A82" w:rsidP="00AF5F5D">
            <w:pPr>
              <w:jc w:val="right"/>
              <w:rPr>
                <w:rFonts w:eastAsia="Times New Roman" w:cs="Arial"/>
                <w:color w:val="000000"/>
              </w:rPr>
            </w:pPr>
            <w:r w:rsidRPr="00D4496D">
              <w:rPr>
                <w:rFonts w:eastAsia="Times New Roman" w:cs="Arial"/>
                <w:color w:val="000000"/>
              </w:rPr>
              <w:t>41,260,828</w:t>
            </w:r>
          </w:p>
        </w:tc>
      </w:tr>
      <w:tr w:rsidR="00C92CD8" w14:paraId="7FE03977" w14:textId="77777777" w:rsidTr="00AF5F5D">
        <w:trPr>
          <w:trHeight w:val="240"/>
          <w:jc w:val="center"/>
        </w:trPr>
        <w:tc>
          <w:tcPr>
            <w:tcW w:w="4072" w:type="dxa"/>
            <w:tcBorders>
              <w:top w:val="nil"/>
              <w:left w:val="single" w:sz="4" w:space="0" w:color="auto"/>
              <w:bottom w:val="single" w:sz="4" w:space="0" w:color="auto"/>
              <w:right w:val="single" w:sz="4" w:space="0" w:color="auto"/>
            </w:tcBorders>
            <w:shd w:val="clear" w:color="auto" w:fill="auto"/>
            <w:noWrap/>
            <w:vAlign w:val="center"/>
            <w:hideMark/>
          </w:tcPr>
          <w:p w14:paraId="22CDAACE" w14:textId="77777777" w:rsidR="0032770F" w:rsidRPr="00D4496D" w:rsidRDefault="004A7A82" w:rsidP="00D300FD">
            <w:pPr>
              <w:rPr>
                <w:rFonts w:eastAsia="Times New Roman" w:cs="Arial"/>
                <w:color w:val="000000"/>
              </w:rPr>
            </w:pPr>
            <w:r w:rsidRPr="00D4496D">
              <w:rPr>
                <w:rFonts w:eastAsia="Times New Roman" w:cs="Arial"/>
                <w:color w:val="000000"/>
              </w:rPr>
              <w:t>Preston</w:t>
            </w:r>
          </w:p>
        </w:tc>
        <w:tc>
          <w:tcPr>
            <w:tcW w:w="2540" w:type="dxa"/>
            <w:tcBorders>
              <w:top w:val="nil"/>
              <w:left w:val="nil"/>
              <w:bottom w:val="single" w:sz="4" w:space="0" w:color="auto"/>
              <w:right w:val="single" w:sz="4" w:space="0" w:color="auto"/>
            </w:tcBorders>
            <w:shd w:val="clear" w:color="auto" w:fill="auto"/>
            <w:noWrap/>
            <w:vAlign w:val="center"/>
            <w:hideMark/>
          </w:tcPr>
          <w:p w14:paraId="7688F9B3" w14:textId="6D47BB4E" w:rsidR="0032770F" w:rsidRPr="00D4496D" w:rsidRDefault="004A7A82" w:rsidP="00AF5F5D">
            <w:pPr>
              <w:jc w:val="right"/>
              <w:rPr>
                <w:rFonts w:eastAsia="Times New Roman" w:cs="Arial"/>
                <w:color w:val="000000"/>
              </w:rPr>
            </w:pPr>
            <w:r w:rsidRPr="00D4496D">
              <w:rPr>
                <w:rFonts w:eastAsia="Times New Roman" w:cs="Arial"/>
                <w:color w:val="000000"/>
              </w:rPr>
              <w:t>70,512,653</w:t>
            </w:r>
          </w:p>
        </w:tc>
      </w:tr>
      <w:tr w:rsidR="00C92CD8" w14:paraId="4B785278" w14:textId="77777777" w:rsidTr="00AF5F5D">
        <w:trPr>
          <w:trHeight w:val="240"/>
          <w:jc w:val="center"/>
        </w:trPr>
        <w:tc>
          <w:tcPr>
            <w:tcW w:w="4072" w:type="dxa"/>
            <w:tcBorders>
              <w:top w:val="nil"/>
              <w:left w:val="single" w:sz="4" w:space="0" w:color="auto"/>
              <w:bottom w:val="single" w:sz="4" w:space="0" w:color="auto"/>
              <w:right w:val="single" w:sz="4" w:space="0" w:color="auto"/>
            </w:tcBorders>
            <w:shd w:val="clear" w:color="auto" w:fill="auto"/>
            <w:noWrap/>
            <w:vAlign w:val="center"/>
            <w:hideMark/>
          </w:tcPr>
          <w:p w14:paraId="58098ABB" w14:textId="77777777" w:rsidR="0032770F" w:rsidRPr="00D4496D" w:rsidRDefault="004A7A82" w:rsidP="00D300FD">
            <w:pPr>
              <w:rPr>
                <w:rFonts w:eastAsia="Times New Roman" w:cs="Arial"/>
                <w:color w:val="000000"/>
              </w:rPr>
            </w:pPr>
            <w:r w:rsidRPr="00D4496D">
              <w:rPr>
                <w:rFonts w:eastAsia="Times New Roman" w:cs="Arial"/>
                <w:color w:val="000000"/>
              </w:rPr>
              <w:t>Ribble Valley</w:t>
            </w:r>
          </w:p>
        </w:tc>
        <w:tc>
          <w:tcPr>
            <w:tcW w:w="2540" w:type="dxa"/>
            <w:tcBorders>
              <w:top w:val="nil"/>
              <w:left w:val="nil"/>
              <w:bottom w:val="single" w:sz="4" w:space="0" w:color="auto"/>
              <w:right w:val="single" w:sz="4" w:space="0" w:color="auto"/>
            </w:tcBorders>
            <w:shd w:val="clear" w:color="auto" w:fill="auto"/>
            <w:noWrap/>
            <w:vAlign w:val="center"/>
            <w:hideMark/>
          </w:tcPr>
          <w:p w14:paraId="2D73B876" w14:textId="53642E85" w:rsidR="0032770F" w:rsidRPr="00D4496D" w:rsidRDefault="004A7A82" w:rsidP="00AF5F5D">
            <w:pPr>
              <w:jc w:val="right"/>
              <w:rPr>
                <w:rFonts w:eastAsia="Times New Roman" w:cs="Arial"/>
                <w:color w:val="000000"/>
              </w:rPr>
            </w:pPr>
            <w:r w:rsidRPr="00D4496D">
              <w:rPr>
                <w:rFonts w:eastAsia="Times New Roman" w:cs="Arial"/>
                <w:color w:val="000000"/>
              </w:rPr>
              <w:t>41,862,956</w:t>
            </w:r>
          </w:p>
        </w:tc>
      </w:tr>
      <w:tr w:rsidR="00C92CD8" w14:paraId="2D631F8A" w14:textId="77777777" w:rsidTr="00AF5F5D">
        <w:trPr>
          <w:trHeight w:val="240"/>
          <w:jc w:val="center"/>
        </w:trPr>
        <w:tc>
          <w:tcPr>
            <w:tcW w:w="4072" w:type="dxa"/>
            <w:tcBorders>
              <w:top w:val="nil"/>
              <w:left w:val="single" w:sz="4" w:space="0" w:color="auto"/>
              <w:bottom w:val="single" w:sz="4" w:space="0" w:color="auto"/>
              <w:right w:val="single" w:sz="4" w:space="0" w:color="auto"/>
            </w:tcBorders>
            <w:shd w:val="clear" w:color="auto" w:fill="auto"/>
            <w:noWrap/>
            <w:vAlign w:val="center"/>
            <w:hideMark/>
          </w:tcPr>
          <w:p w14:paraId="6200B57F" w14:textId="77777777" w:rsidR="0032770F" w:rsidRPr="00D4496D" w:rsidRDefault="004A7A82" w:rsidP="00D300FD">
            <w:pPr>
              <w:rPr>
                <w:rFonts w:eastAsia="Times New Roman" w:cs="Arial"/>
                <w:color w:val="000000"/>
              </w:rPr>
            </w:pPr>
            <w:r w:rsidRPr="00D4496D">
              <w:rPr>
                <w:rFonts w:eastAsia="Times New Roman" w:cs="Arial"/>
                <w:color w:val="000000"/>
              </w:rPr>
              <w:t>Rossendale</w:t>
            </w:r>
          </w:p>
        </w:tc>
        <w:tc>
          <w:tcPr>
            <w:tcW w:w="2540" w:type="dxa"/>
            <w:tcBorders>
              <w:top w:val="nil"/>
              <w:left w:val="nil"/>
              <w:bottom w:val="single" w:sz="4" w:space="0" w:color="auto"/>
              <w:right w:val="single" w:sz="4" w:space="0" w:color="auto"/>
            </w:tcBorders>
            <w:shd w:val="clear" w:color="auto" w:fill="auto"/>
            <w:noWrap/>
            <w:vAlign w:val="center"/>
            <w:hideMark/>
          </w:tcPr>
          <w:p w14:paraId="38D70EE4" w14:textId="30C13C47" w:rsidR="0032770F" w:rsidRPr="00D4496D" w:rsidRDefault="004A7A82" w:rsidP="00AF5F5D">
            <w:pPr>
              <w:jc w:val="right"/>
              <w:rPr>
                <w:rFonts w:eastAsia="Times New Roman" w:cs="Arial"/>
                <w:color w:val="000000"/>
              </w:rPr>
            </w:pPr>
            <w:r w:rsidRPr="00D4496D">
              <w:rPr>
                <w:rFonts w:eastAsia="Times New Roman" w:cs="Arial"/>
                <w:color w:val="000000"/>
              </w:rPr>
              <w:t>34,538,881</w:t>
            </w:r>
          </w:p>
        </w:tc>
      </w:tr>
      <w:tr w:rsidR="00C92CD8" w14:paraId="6FAE9049" w14:textId="77777777" w:rsidTr="00AF5F5D">
        <w:trPr>
          <w:trHeight w:val="240"/>
          <w:jc w:val="center"/>
        </w:trPr>
        <w:tc>
          <w:tcPr>
            <w:tcW w:w="4072" w:type="dxa"/>
            <w:tcBorders>
              <w:top w:val="nil"/>
              <w:left w:val="single" w:sz="4" w:space="0" w:color="auto"/>
              <w:bottom w:val="single" w:sz="4" w:space="0" w:color="auto"/>
              <w:right w:val="single" w:sz="4" w:space="0" w:color="auto"/>
            </w:tcBorders>
            <w:shd w:val="clear" w:color="auto" w:fill="auto"/>
            <w:noWrap/>
            <w:vAlign w:val="center"/>
            <w:hideMark/>
          </w:tcPr>
          <w:p w14:paraId="4EBDBB63" w14:textId="77777777" w:rsidR="0032770F" w:rsidRPr="00D4496D" w:rsidRDefault="004A7A82" w:rsidP="00D300FD">
            <w:pPr>
              <w:rPr>
                <w:rFonts w:eastAsia="Times New Roman" w:cs="Arial"/>
                <w:color w:val="000000"/>
              </w:rPr>
            </w:pPr>
            <w:r w:rsidRPr="00D4496D">
              <w:rPr>
                <w:rFonts w:eastAsia="Times New Roman" w:cs="Arial"/>
                <w:color w:val="000000"/>
              </w:rPr>
              <w:t>South Ribble</w:t>
            </w:r>
          </w:p>
        </w:tc>
        <w:tc>
          <w:tcPr>
            <w:tcW w:w="2540" w:type="dxa"/>
            <w:tcBorders>
              <w:top w:val="nil"/>
              <w:left w:val="nil"/>
              <w:bottom w:val="single" w:sz="4" w:space="0" w:color="auto"/>
              <w:right w:val="single" w:sz="4" w:space="0" w:color="auto"/>
            </w:tcBorders>
            <w:shd w:val="clear" w:color="auto" w:fill="auto"/>
            <w:noWrap/>
            <w:vAlign w:val="center"/>
            <w:hideMark/>
          </w:tcPr>
          <w:p w14:paraId="7B43B61E" w14:textId="484F5254" w:rsidR="0032770F" w:rsidRPr="00D4496D" w:rsidRDefault="004A7A82" w:rsidP="00AF5F5D">
            <w:pPr>
              <w:jc w:val="right"/>
              <w:rPr>
                <w:rFonts w:eastAsia="Times New Roman" w:cs="Arial"/>
                <w:color w:val="000000"/>
              </w:rPr>
            </w:pPr>
            <w:r w:rsidRPr="00D4496D">
              <w:rPr>
                <w:rFonts w:eastAsia="Times New Roman" w:cs="Arial"/>
                <w:color w:val="000000"/>
              </w:rPr>
              <w:t>62,424,444</w:t>
            </w:r>
          </w:p>
        </w:tc>
      </w:tr>
      <w:tr w:rsidR="00C92CD8" w14:paraId="302E94DE" w14:textId="77777777" w:rsidTr="00AF5F5D">
        <w:trPr>
          <w:trHeight w:val="240"/>
          <w:jc w:val="center"/>
        </w:trPr>
        <w:tc>
          <w:tcPr>
            <w:tcW w:w="4072" w:type="dxa"/>
            <w:tcBorders>
              <w:top w:val="nil"/>
              <w:left w:val="single" w:sz="4" w:space="0" w:color="auto"/>
              <w:bottom w:val="single" w:sz="4" w:space="0" w:color="auto"/>
              <w:right w:val="single" w:sz="4" w:space="0" w:color="auto"/>
            </w:tcBorders>
            <w:shd w:val="clear" w:color="auto" w:fill="auto"/>
            <w:noWrap/>
            <w:vAlign w:val="center"/>
            <w:hideMark/>
          </w:tcPr>
          <w:p w14:paraId="16E2363C" w14:textId="77777777" w:rsidR="0032770F" w:rsidRPr="00D4496D" w:rsidRDefault="004A7A82" w:rsidP="00D300FD">
            <w:pPr>
              <w:rPr>
                <w:rFonts w:eastAsia="Times New Roman" w:cs="Arial"/>
                <w:color w:val="000000"/>
              </w:rPr>
            </w:pPr>
            <w:r w:rsidRPr="00D4496D">
              <w:rPr>
                <w:rFonts w:eastAsia="Times New Roman" w:cs="Arial"/>
                <w:color w:val="000000"/>
              </w:rPr>
              <w:t>West Lancashire</w:t>
            </w:r>
          </w:p>
        </w:tc>
        <w:tc>
          <w:tcPr>
            <w:tcW w:w="2540" w:type="dxa"/>
            <w:tcBorders>
              <w:top w:val="nil"/>
              <w:left w:val="nil"/>
              <w:bottom w:val="single" w:sz="4" w:space="0" w:color="auto"/>
              <w:right w:val="single" w:sz="4" w:space="0" w:color="auto"/>
            </w:tcBorders>
            <w:shd w:val="clear" w:color="auto" w:fill="auto"/>
            <w:noWrap/>
            <w:vAlign w:val="center"/>
            <w:hideMark/>
          </w:tcPr>
          <w:p w14:paraId="6FC9EA4E" w14:textId="31FE60DD" w:rsidR="0032770F" w:rsidRPr="00D4496D" w:rsidRDefault="004A7A82" w:rsidP="00AF5F5D">
            <w:pPr>
              <w:jc w:val="right"/>
              <w:rPr>
                <w:rFonts w:eastAsia="Times New Roman" w:cs="Arial"/>
                <w:color w:val="000000"/>
              </w:rPr>
            </w:pPr>
            <w:r w:rsidRPr="00D4496D">
              <w:rPr>
                <w:rFonts w:eastAsia="Times New Roman" w:cs="Arial"/>
                <w:color w:val="000000"/>
              </w:rPr>
              <w:t>63,414,501</w:t>
            </w:r>
          </w:p>
        </w:tc>
      </w:tr>
      <w:tr w:rsidR="00C92CD8" w14:paraId="0908C185" w14:textId="77777777" w:rsidTr="00BB3A12">
        <w:trPr>
          <w:trHeight w:val="240"/>
          <w:jc w:val="center"/>
        </w:trPr>
        <w:tc>
          <w:tcPr>
            <w:tcW w:w="4072" w:type="dxa"/>
            <w:tcBorders>
              <w:top w:val="nil"/>
              <w:left w:val="single" w:sz="4" w:space="0" w:color="auto"/>
              <w:bottom w:val="single" w:sz="4" w:space="0" w:color="auto"/>
              <w:right w:val="single" w:sz="4" w:space="0" w:color="auto"/>
            </w:tcBorders>
            <w:shd w:val="clear" w:color="auto" w:fill="auto"/>
            <w:noWrap/>
            <w:vAlign w:val="center"/>
            <w:hideMark/>
          </w:tcPr>
          <w:p w14:paraId="0611DD19" w14:textId="77777777" w:rsidR="0032770F" w:rsidRPr="00D4496D" w:rsidRDefault="004A7A82" w:rsidP="00D300FD">
            <w:pPr>
              <w:rPr>
                <w:rFonts w:eastAsia="Times New Roman" w:cs="Arial"/>
                <w:color w:val="000000"/>
              </w:rPr>
            </w:pPr>
            <w:r w:rsidRPr="00D4496D">
              <w:rPr>
                <w:rFonts w:eastAsia="Times New Roman" w:cs="Arial"/>
                <w:color w:val="000000"/>
              </w:rPr>
              <w:t>Wyre</w:t>
            </w:r>
          </w:p>
        </w:tc>
        <w:tc>
          <w:tcPr>
            <w:tcW w:w="2540" w:type="dxa"/>
            <w:tcBorders>
              <w:top w:val="nil"/>
              <w:left w:val="nil"/>
              <w:bottom w:val="single" w:sz="4" w:space="0" w:color="auto"/>
              <w:right w:val="single" w:sz="4" w:space="0" w:color="auto"/>
            </w:tcBorders>
            <w:shd w:val="clear" w:color="auto" w:fill="auto"/>
            <w:noWrap/>
            <w:vAlign w:val="center"/>
            <w:hideMark/>
          </w:tcPr>
          <w:p w14:paraId="368AE1E4" w14:textId="69BB5195" w:rsidR="0032770F" w:rsidRPr="00D4496D" w:rsidRDefault="004A7A82" w:rsidP="00AF5F5D">
            <w:pPr>
              <w:jc w:val="right"/>
              <w:rPr>
                <w:rFonts w:eastAsia="Times New Roman" w:cs="Arial"/>
                <w:color w:val="000000"/>
              </w:rPr>
            </w:pPr>
            <w:r w:rsidRPr="00D4496D">
              <w:rPr>
                <w:rFonts w:eastAsia="Times New Roman" w:cs="Arial"/>
                <w:color w:val="000000"/>
              </w:rPr>
              <w:t>64,707,258</w:t>
            </w:r>
          </w:p>
        </w:tc>
      </w:tr>
      <w:tr w:rsidR="00C92CD8" w14:paraId="5EF08285" w14:textId="77777777" w:rsidTr="00BB3A12">
        <w:trPr>
          <w:trHeight w:val="240"/>
          <w:jc w:val="center"/>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E4F37" w14:textId="2782F945" w:rsidR="00BB3A12" w:rsidRPr="00D4496D" w:rsidRDefault="004A7A82" w:rsidP="00D300FD">
            <w:pPr>
              <w:rPr>
                <w:rFonts w:eastAsia="Times New Roman" w:cs="Arial"/>
                <w:b/>
                <w:bCs/>
                <w:color w:val="000000"/>
              </w:rPr>
            </w:pPr>
            <w:r w:rsidRPr="00D4496D">
              <w:rPr>
                <w:rFonts w:eastAsia="Times New Roman" w:cs="Arial"/>
                <w:b/>
                <w:bCs/>
                <w:color w:val="000000"/>
              </w:rPr>
              <w:t>Total</w:t>
            </w: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7291D049" w14:textId="46A971DF" w:rsidR="00BB3A12" w:rsidRPr="00D4496D" w:rsidRDefault="004A7A82" w:rsidP="00AF5F5D">
            <w:pPr>
              <w:jc w:val="right"/>
              <w:rPr>
                <w:rFonts w:eastAsia="Times New Roman" w:cs="Arial"/>
                <w:b/>
                <w:bCs/>
                <w:color w:val="000000"/>
              </w:rPr>
            </w:pPr>
            <w:r w:rsidRPr="00D4496D">
              <w:rPr>
                <w:rFonts w:eastAsia="Times New Roman" w:cs="Arial"/>
                <w:b/>
                <w:bCs/>
                <w:color w:val="000000"/>
              </w:rPr>
              <w:t>642,207</w:t>
            </w:r>
            <w:r w:rsidR="00D06267" w:rsidRPr="00D4496D">
              <w:rPr>
                <w:rFonts w:eastAsia="Times New Roman" w:cs="Arial"/>
                <w:b/>
                <w:bCs/>
                <w:color w:val="000000"/>
              </w:rPr>
              <w:t>,671</w:t>
            </w:r>
          </w:p>
        </w:tc>
      </w:tr>
    </w:tbl>
    <w:p w14:paraId="67E8AA10" w14:textId="77777777" w:rsidR="00320643" w:rsidRDefault="00320643" w:rsidP="00320643">
      <w:pPr>
        <w:autoSpaceDE w:val="0"/>
        <w:autoSpaceDN w:val="0"/>
        <w:adjustRightInd w:val="0"/>
        <w:jc w:val="both"/>
        <w:rPr>
          <w:rFonts w:cs="Arial"/>
          <w:bCs/>
        </w:rPr>
      </w:pPr>
    </w:p>
    <w:p w14:paraId="2D476267" w14:textId="77777777" w:rsidR="00033179" w:rsidRDefault="00033179" w:rsidP="00320643">
      <w:pPr>
        <w:autoSpaceDE w:val="0"/>
        <w:autoSpaceDN w:val="0"/>
        <w:adjustRightInd w:val="0"/>
        <w:jc w:val="both"/>
        <w:rPr>
          <w:rFonts w:cs="Arial"/>
          <w:bCs/>
        </w:rPr>
      </w:pPr>
    </w:p>
    <w:p w14:paraId="011E4041" w14:textId="77777777" w:rsidR="00033179" w:rsidRDefault="00033179" w:rsidP="00320643">
      <w:pPr>
        <w:autoSpaceDE w:val="0"/>
        <w:autoSpaceDN w:val="0"/>
        <w:adjustRightInd w:val="0"/>
        <w:jc w:val="both"/>
        <w:rPr>
          <w:rFonts w:cs="Arial"/>
          <w:bCs/>
        </w:rPr>
      </w:pPr>
    </w:p>
    <w:p w14:paraId="3C203AFD" w14:textId="77777777" w:rsidR="00033179" w:rsidRDefault="00033179" w:rsidP="00320643">
      <w:pPr>
        <w:autoSpaceDE w:val="0"/>
        <w:autoSpaceDN w:val="0"/>
        <w:adjustRightInd w:val="0"/>
        <w:jc w:val="both"/>
        <w:rPr>
          <w:rFonts w:cs="Arial"/>
          <w:bCs/>
        </w:rPr>
      </w:pPr>
    </w:p>
    <w:p w14:paraId="18BBC90D" w14:textId="77777777" w:rsidR="00D4496D" w:rsidRDefault="00D4496D" w:rsidP="1296B87A">
      <w:pPr>
        <w:autoSpaceDE w:val="0"/>
        <w:autoSpaceDN w:val="0"/>
        <w:adjustRightInd w:val="0"/>
        <w:jc w:val="both"/>
        <w:rPr>
          <w:rFonts w:cs="Arial"/>
          <w:bCs/>
        </w:rPr>
      </w:pPr>
    </w:p>
    <w:p w14:paraId="436C5EC1" w14:textId="773DCBAE" w:rsidR="00C92256" w:rsidRDefault="004A7A82" w:rsidP="00D4496D">
      <w:pPr>
        <w:autoSpaceDE w:val="0"/>
        <w:autoSpaceDN w:val="0"/>
        <w:adjustRightInd w:val="0"/>
        <w:ind w:firstLine="720"/>
        <w:jc w:val="both"/>
        <w:rPr>
          <w:rFonts w:cs="Arial"/>
          <w:b/>
          <w:bCs/>
        </w:rPr>
      </w:pPr>
      <w:r w:rsidRPr="1296B87A">
        <w:rPr>
          <w:rFonts w:cs="Arial"/>
          <w:b/>
          <w:bCs/>
        </w:rPr>
        <w:lastRenderedPageBreak/>
        <w:t>Business Rates</w:t>
      </w:r>
    </w:p>
    <w:p w14:paraId="48E16399" w14:textId="1E97E946" w:rsidR="2165DDB2" w:rsidRDefault="2165DDB2" w:rsidP="2165DDB2">
      <w:pPr>
        <w:jc w:val="both"/>
        <w:rPr>
          <w:rFonts w:cs="Arial"/>
          <w:b/>
          <w:bCs/>
        </w:rPr>
      </w:pPr>
    </w:p>
    <w:p w14:paraId="12BC3272" w14:textId="24833CC7" w:rsidR="003003D8" w:rsidRDefault="004A7A82" w:rsidP="00EC4CD5">
      <w:pPr>
        <w:ind w:left="720" w:hanging="720"/>
        <w:jc w:val="both"/>
        <w:rPr>
          <w:rFonts w:cs="Arial"/>
        </w:rPr>
      </w:pPr>
      <w:r>
        <w:rPr>
          <w:rFonts w:cs="Arial"/>
          <w:bCs/>
        </w:rPr>
        <w:t>10.3</w:t>
      </w:r>
      <w:r w:rsidR="00033179">
        <w:rPr>
          <w:rFonts w:cs="Arial"/>
          <w:bCs/>
        </w:rPr>
        <w:t>0</w:t>
      </w:r>
      <w:r w:rsidR="00C92256" w:rsidRPr="00C92256">
        <w:rPr>
          <w:rFonts w:cs="Arial"/>
          <w:bCs/>
        </w:rPr>
        <w:tab/>
      </w:r>
      <w:r w:rsidR="00BD535C" w:rsidRPr="00CE7961">
        <w:rPr>
          <w:rFonts w:cs="Arial"/>
        </w:rPr>
        <w:t xml:space="preserve">Business rates income is a significant portion of funding to local authorities. The baseline is an assessment of the business rate income required to meet service needs. For the county council, the amount it is anticipated will be received from the business rates collected in the area is less than the assessed need and therefore a top up grant is received. </w:t>
      </w:r>
      <w:r w:rsidR="00356D05">
        <w:rPr>
          <w:rFonts w:cs="Arial"/>
        </w:rPr>
        <w:t xml:space="preserve">The total value of business rates </w:t>
      </w:r>
      <w:r w:rsidR="00B958AD">
        <w:rPr>
          <w:rFonts w:cs="Arial"/>
        </w:rPr>
        <w:t xml:space="preserve">that fund the </w:t>
      </w:r>
      <w:r w:rsidR="00B63671">
        <w:rPr>
          <w:rFonts w:cs="Arial"/>
        </w:rPr>
        <w:t>C</w:t>
      </w:r>
      <w:r w:rsidR="00B958AD">
        <w:rPr>
          <w:rFonts w:cs="Arial"/>
        </w:rPr>
        <w:t>ouncil's budget is £25</w:t>
      </w:r>
      <w:r w:rsidR="00AF5F5D">
        <w:rPr>
          <w:rFonts w:cs="Arial"/>
        </w:rPr>
        <w:t>2.868</w:t>
      </w:r>
      <w:r w:rsidR="00B958AD">
        <w:rPr>
          <w:rFonts w:cs="Arial"/>
        </w:rPr>
        <w:t>m.</w:t>
      </w:r>
    </w:p>
    <w:p w14:paraId="450D7429" w14:textId="77777777" w:rsidR="00EC4CD5" w:rsidRDefault="00EC4CD5" w:rsidP="00AF5F5D">
      <w:pPr>
        <w:jc w:val="both"/>
        <w:rPr>
          <w:rFonts w:cs="Arial"/>
        </w:rPr>
      </w:pPr>
    </w:p>
    <w:p w14:paraId="302E12C6" w14:textId="0A088EE4" w:rsidR="00BD535C" w:rsidRPr="00CE7961" w:rsidRDefault="004A7A82" w:rsidP="00EC4CD5">
      <w:pPr>
        <w:ind w:left="720" w:hanging="720"/>
        <w:jc w:val="both"/>
        <w:rPr>
          <w:rFonts w:cs="Arial"/>
        </w:rPr>
      </w:pPr>
      <w:r>
        <w:rPr>
          <w:rFonts w:cs="Arial"/>
        </w:rPr>
        <w:t>10.</w:t>
      </w:r>
      <w:r w:rsidR="00DF6D2C">
        <w:rPr>
          <w:rFonts w:cs="Arial"/>
        </w:rPr>
        <w:t>3</w:t>
      </w:r>
      <w:r w:rsidR="00033179">
        <w:rPr>
          <w:rFonts w:cs="Arial"/>
        </w:rPr>
        <w:t>1</w:t>
      </w:r>
      <w:r w:rsidR="00EC4CD5">
        <w:rPr>
          <w:rFonts w:cs="Arial"/>
        </w:rPr>
        <w:tab/>
      </w:r>
      <w:r w:rsidR="00465B61">
        <w:rPr>
          <w:rFonts w:cs="Arial"/>
        </w:rPr>
        <w:t>T</w:t>
      </w:r>
      <w:r w:rsidRPr="3D540BB8">
        <w:rPr>
          <w:rFonts w:cs="Arial"/>
        </w:rPr>
        <w:t>he national review of business rates has been delayed</w:t>
      </w:r>
      <w:r w:rsidR="003739A4">
        <w:rPr>
          <w:rFonts w:cs="Arial"/>
        </w:rPr>
        <w:t xml:space="preserve"> on several occasions, </w:t>
      </w:r>
      <w:r w:rsidR="00081FA8">
        <w:rPr>
          <w:rFonts w:cs="Arial"/>
        </w:rPr>
        <w:t xml:space="preserve">and </w:t>
      </w:r>
      <w:proofErr w:type="gramStart"/>
      <w:r w:rsidR="00081FA8">
        <w:rPr>
          <w:rFonts w:cs="Arial"/>
        </w:rPr>
        <w:t>at the moment</w:t>
      </w:r>
      <w:proofErr w:type="gramEnd"/>
      <w:r w:rsidR="00081FA8">
        <w:rPr>
          <w:rFonts w:cs="Arial"/>
        </w:rPr>
        <w:t xml:space="preserve"> the existing scheme continues in its current form</w:t>
      </w:r>
      <w:r w:rsidR="002A0333">
        <w:rPr>
          <w:rFonts w:cs="Arial"/>
        </w:rPr>
        <w:t xml:space="preserve">, with the 75% scheme </w:t>
      </w:r>
      <w:r w:rsidR="00E26570">
        <w:rPr>
          <w:rFonts w:cs="Arial"/>
        </w:rPr>
        <w:t>unlikely to be in place before 2025/26</w:t>
      </w:r>
      <w:r w:rsidRPr="3D540BB8">
        <w:rPr>
          <w:rFonts w:cs="Arial"/>
        </w:rPr>
        <w:t xml:space="preserve">. </w:t>
      </w:r>
      <w:r w:rsidRPr="3D540BB8">
        <w:rPr>
          <w:rFonts w:eastAsia="Arial" w:cs="Arial"/>
        </w:rPr>
        <w:t>The county council is part of the Lancashire Business Rates Pool, with additional income of £</w:t>
      </w:r>
      <w:r w:rsidR="0042043F">
        <w:rPr>
          <w:rFonts w:eastAsia="Arial" w:cs="Arial"/>
        </w:rPr>
        <w:t>1.1</w:t>
      </w:r>
      <w:r w:rsidR="0032247F">
        <w:rPr>
          <w:rFonts w:eastAsia="Arial" w:cs="Arial"/>
        </w:rPr>
        <w:t>5</w:t>
      </w:r>
      <w:r w:rsidR="0042043F">
        <w:rPr>
          <w:rFonts w:eastAsia="Arial" w:cs="Arial"/>
        </w:rPr>
        <w:t>5</w:t>
      </w:r>
      <w:r w:rsidRPr="3D540BB8">
        <w:rPr>
          <w:rFonts w:eastAsia="Arial" w:cs="Arial"/>
        </w:rPr>
        <w:t>m anticipated in 2024/25.</w:t>
      </w:r>
    </w:p>
    <w:p w14:paraId="40F54B44" w14:textId="77777777" w:rsidR="00B84439" w:rsidRDefault="00B84439" w:rsidP="00B84439">
      <w:pPr>
        <w:autoSpaceDE w:val="0"/>
        <w:autoSpaceDN w:val="0"/>
        <w:adjustRightInd w:val="0"/>
        <w:jc w:val="both"/>
        <w:rPr>
          <w:rFonts w:eastAsia="Calibri" w:cs="Helvetica-Light"/>
          <w:b/>
          <w:color w:val="000000"/>
        </w:rPr>
      </w:pPr>
    </w:p>
    <w:p w14:paraId="1D553D42" w14:textId="4A8D3E12" w:rsidR="00B84439" w:rsidRDefault="004A7A82" w:rsidP="00B84439">
      <w:pPr>
        <w:autoSpaceDE w:val="0"/>
        <w:autoSpaceDN w:val="0"/>
        <w:adjustRightInd w:val="0"/>
        <w:ind w:left="720" w:hanging="720"/>
        <w:jc w:val="both"/>
        <w:rPr>
          <w:rFonts w:eastAsia="Calibri" w:cs="Helvetica-Light"/>
          <w:bCs/>
          <w:color w:val="000000"/>
        </w:rPr>
      </w:pPr>
      <w:r>
        <w:rPr>
          <w:rFonts w:eastAsia="Calibri" w:cs="Helvetica-Light"/>
          <w:bCs/>
          <w:color w:val="000000"/>
        </w:rPr>
        <w:t>10.</w:t>
      </w:r>
      <w:r w:rsidR="00DF6D2C">
        <w:rPr>
          <w:rFonts w:eastAsia="Calibri" w:cs="Helvetica-Light"/>
          <w:bCs/>
          <w:color w:val="000000"/>
        </w:rPr>
        <w:t>3</w:t>
      </w:r>
      <w:r w:rsidR="00033179">
        <w:rPr>
          <w:rFonts w:eastAsia="Calibri" w:cs="Helvetica-Light"/>
          <w:bCs/>
          <w:color w:val="000000"/>
        </w:rPr>
        <w:t>2</w:t>
      </w:r>
      <w:r w:rsidRPr="00866F49">
        <w:rPr>
          <w:rFonts w:eastAsia="Calibri" w:cs="Helvetica-Light"/>
          <w:bCs/>
          <w:color w:val="000000"/>
        </w:rPr>
        <w:tab/>
      </w:r>
      <w:r w:rsidR="00BD591B">
        <w:rPr>
          <w:rFonts w:eastAsia="Calibri" w:cs="Helvetica-Light"/>
          <w:bCs/>
          <w:color w:val="000000"/>
        </w:rPr>
        <w:t>A</w:t>
      </w:r>
      <w:r w:rsidRPr="00CA1602">
        <w:rPr>
          <w:rFonts w:eastAsia="Calibri" w:cs="Helvetica-Light"/>
          <w:bCs/>
          <w:color w:val="000000"/>
        </w:rPr>
        <w:t xml:space="preserve">n account held by the government </w:t>
      </w:r>
      <w:r w:rsidR="0042630D">
        <w:rPr>
          <w:rFonts w:eastAsia="Calibri" w:cs="Helvetica-Light"/>
          <w:bCs/>
          <w:color w:val="000000"/>
        </w:rPr>
        <w:t xml:space="preserve">funded </w:t>
      </w:r>
      <w:r w:rsidRPr="00CA1602">
        <w:rPr>
          <w:rFonts w:eastAsia="Calibri" w:cs="Helvetica-Light"/>
          <w:bCs/>
          <w:color w:val="000000"/>
        </w:rPr>
        <w:t xml:space="preserve">from the business rates levy is generally used to fund safety net payments. In the past, the government has released funds from this account to local authorities. </w:t>
      </w:r>
      <w:r w:rsidR="00AF5F5D">
        <w:rPr>
          <w:rFonts w:eastAsia="Calibri" w:cs="Helvetica-Light"/>
          <w:bCs/>
          <w:color w:val="000000"/>
        </w:rPr>
        <w:t xml:space="preserve">As part of the final settlement, it was announced that </w:t>
      </w:r>
      <w:r w:rsidR="0079367A">
        <w:rPr>
          <w:rFonts w:eastAsia="Calibri" w:cs="Helvetica-Light"/>
          <w:bCs/>
          <w:color w:val="000000"/>
        </w:rPr>
        <w:t xml:space="preserve">£100m of funding would be provided with the county council expected to receive £1.589m. In the budget report </w:t>
      </w:r>
      <w:r w:rsidR="00E10C54">
        <w:rPr>
          <w:rFonts w:eastAsia="Calibri" w:cs="Helvetica-Light"/>
          <w:bCs/>
          <w:color w:val="000000"/>
        </w:rPr>
        <w:t xml:space="preserve">that was presented to Cabinet on 8 February 2024, it was assumed that £2m would be received in 2024/25 and £1m in each subsequent year. The 2024/25 </w:t>
      </w:r>
      <w:r w:rsidR="007A22C9">
        <w:rPr>
          <w:rFonts w:eastAsia="Calibri" w:cs="Helvetica-Light"/>
          <w:bCs/>
          <w:color w:val="000000"/>
        </w:rPr>
        <w:t xml:space="preserve">value has been updated and it has been assumed that no levy will be received in future years. </w:t>
      </w:r>
    </w:p>
    <w:p w14:paraId="1DCD6D05" w14:textId="08980720" w:rsidR="0015700A" w:rsidRPr="00D42682" w:rsidRDefault="0015700A" w:rsidP="00E26570">
      <w:pPr>
        <w:autoSpaceDE w:val="0"/>
        <w:autoSpaceDN w:val="0"/>
        <w:adjustRightInd w:val="0"/>
        <w:jc w:val="both"/>
        <w:rPr>
          <w:rFonts w:eastAsia="Calibri" w:cs="Helvetica-Light"/>
          <w:bCs/>
          <w:color w:val="000000"/>
        </w:rPr>
      </w:pPr>
    </w:p>
    <w:p w14:paraId="4E720E10" w14:textId="37881324" w:rsidR="00D42682" w:rsidRDefault="004A7A82" w:rsidP="00E26570">
      <w:pPr>
        <w:autoSpaceDE w:val="0"/>
        <w:autoSpaceDN w:val="0"/>
        <w:adjustRightInd w:val="0"/>
        <w:jc w:val="both"/>
        <w:rPr>
          <w:rFonts w:eastAsia="Calibri" w:cs="Helvetica-Light"/>
          <w:b/>
          <w:color w:val="000000"/>
        </w:rPr>
      </w:pPr>
      <w:r>
        <w:rPr>
          <w:rFonts w:eastAsia="Calibri" w:cs="Helvetica-Light"/>
          <w:b/>
          <w:color w:val="000000"/>
        </w:rPr>
        <w:tab/>
        <w:t>Collection Fund</w:t>
      </w:r>
    </w:p>
    <w:p w14:paraId="03764B0B" w14:textId="77777777" w:rsidR="00D3253F" w:rsidRDefault="00D3253F" w:rsidP="00E26570">
      <w:pPr>
        <w:autoSpaceDE w:val="0"/>
        <w:autoSpaceDN w:val="0"/>
        <w:adjustRightInd w:val="0"/>
        <w:jc w:val="both"/>
        <w:rPr>
          <w:rFonts w:eastAsia="Calibri" w:cs="Helvetica-Light"/>
          <w:b/>
          <w:color w:val="000000"/>
        </w:rPr>
      </w:pPr>
    </w:p>
    <w:p w14:paraId="0A671949" w14:textId="14537270" w:rsidR="00D3253F" w:rsidRPr="00D3253F" w:rsidRDefault="004A7A82" w:rsidP="00071A1A">
      <w:pPr>
        <w:autoSpaceDE w:val="0"/>
        <w:autoSpaceDN w:val="0"/>
        <w:adjustRightInd w:val="0"/>
        <w:ind w:left="720" w:hanging="720"/>
        <w:jc w:val="both"/>
        <w:rPr>
          <w:rFonts w:eastAsia="Calibri" w:cs="Helvetica-Light"/>
          <w:bCs/>
          <w:color w:val="000000"/>
        </w:rPr>
      </w:pPr>
      <w:r w:rsidRPr="001C446E">
        <w:rPr>
          <w:rFonts w:eastAsia="Calibri" w:cs="Helvetica-Light"/>
          <w:color w:val="000000" w:themeColor="text1"/>
        </w:rPr>
        <w:t>10</w:t>
      </w:r>
      <w:r w:rsidRPr="001C446E">
        <w:rPr>
          <w:rFonts w:eastAsia="Calibri" w:cs="Helvetica-Light"/>
        </w:rPr>
        <w:t>.</w:t>
      </w:r>
      <w:r w:rsidR="00DF6D2C" w:rsidRPr="001C446E">
        <w:rPr>
          <w:rFonts w:eastAsia="Calibri" w:cs="Helvetica-Light"/>
        </w:rPr>
        <w:t>3</w:t>
      </w:r>
      <w:r w:rsidR="00033179" w:rsidRPr="001C446E">
        <w:rPr>
          <w:rFonts w:eastAsia="Calibri" w:cs="Helvetica-Light"/>
        </w:rPr>
        <w:t>3</w:t>
      </w:r>
      <w:r w:rsidR="000D08BE" w:rsidRPr="001C446E">
        <w:tab/>
      </w:r>
      <w:r w:rsidR="007A22C9" w:rsidRPr="001C446E">
        <w:rPr>
          <w:rFonts w:eastAsia="Calibri" w:cs="Helvetica-Light"/>
          <w:color w:val="000000" w:themeColor="text1"/>
        </w:rPr>
        <w:t xml:space="preserve">The final position </w:t>
      </w:r>
      <w:r w:rsidR="00033179" w:rsidRPr="001C446E">
        <w:rPr>
          <w:rFonts w:eastAsia="Calibri" w:cs="Helvetica-Light"/>
          <w:color w:val="000000" w:themeColor="text1"/>
        </w:rPr>
        <w:t xml:space="preserve">from district councils has </w:t>
      </w:r>
      <w:r w:rsidR="007A22C9" w:rsidRPr="001C446E">
        <w:rPr>
          <w:rFonts w:eastAsia="Calibri" w:cs="Helvetica-Light"/>
          <w:color w:val="000000" w:themeColor="text1"/>
        </w:rPr>
        <w:t>now been received</w:t>
      </w:r>
      <w:r w:rsidR="00033179" w:rsidRPr="001C446E">
        <w:rPr>
          <w:rFonts w:eastAsia="Calibri" w:cs="Helvetica-Light"/>
          <w:color w:val="000000" w:themeColor="text1"/>
        </w:rPr>
        <w:t xml:space="preserve"> in relation to their respective council tax and business rates collection fund, with t</w:t>
      </w:r>
      <w:r w:rsidR="007A22C9" w:rsidRPr="001C446E">
        <w:rPr>
          <w:rFonts w:eastAsia="Calibri" w:cs="Helvetica-Light"/>
          <w:color w:val="000000" w:themeColor="text1"/>
        </w:rPr>
        <w:t xml:space="preserve">he collection fund reporting a deficit position </w:t>
      </w:r>
      <w:r w:rsidR="00F01E81" w:rsidRPr="001C446E">
        <w:rPr>
          <w:rFonts w:eastAsia="Calibri" w:cs="Helvetica-Light"/>
          <w:color w:val="000000" w:themeColor="text1"/>
        </w:rPr>
        <w:t>of £2.079m. This position, when combined with the budgeted target of a £5m surplus results in a pressure of £7.079m in the 2024/25 budget. In future years it has been assumed that there is no surplus from the collection fund.</w:t>
      </w:r>
      <w:r w:rsidR="00F01E81">
        <w:rPr>
          <w:rFonts w:eastAsia="Calibri" w:cs="Helvetica-Light"/>
          <w:color w:val="000000" w:themeColor="text1"/>
        </w:rPr>
        <w:t xml:space="preserve"> </w:t>
      </w:r>
    </w:p>
    <w:p w14:paraId="17834972" w14:textId="22A55469" w:rsidR="00FB6E99" w:rsidRDefault="00FB6E99" w:rsidP="00CA1602">
      <w:pPr>
        <w:autoSpaceDE w:val="0"/>
        <w:autoSpaceDN w:val="0"/>
        <w:adjustRightInd w:val="0"/>
        <w:ind w:left="720" w:hanging="720"/>
        <w:jc w:val="both"/>
        <w:rPr>
          <w:rFonts w:eastAsia="Calibri" w:cs="Helvetica-Light"/>
          <w:bCs/>
          <w:color w:val="000000"/>
        </w:rPr>
      </w:pPr>
    </w:p>
    <w:p w14:paraId="3BA40A40" w14:textId="139A4DCE" w:rsidR="00FB6E99" w:rsidRPr="002E27CC" w:rsidRDefault="004A7A82" w:rsidP="00CA1602">
      <w:pPr>
        <w:autoSpaceDE w:val="0"/>
        <w:autoSpaceDN w:val="0"/>
        <w:adjustRightInd w:val="0"/>
        <w:ind w:left="720" w:hanging="720"/>
        <w:jc w:val="both"/>
        <w:rPr>
          <w:rFonts w:eastAsia="Calibri" w:cs="Helvetica-Light"/>
          <w:b/>
          <w:color w:val="000000"/>
        </w:rPr>
      </w:pPr>
      <w:r>
        <w:rPr>
          <w:rFonts w:eastAsia="Calibri" w:cs="Helvetica-Light"/>
          <w:b/>
          <w:color w:val="000000"/>
        </w:rPr>
        <w:t>10.</w:t>
      </w:r>
      <w:r w:rsidR="00DF6D2C">
        <w:rPr>
          <w:rFonts w:eastAsia="Calibri" w:cs="Helvetica-Light"/>
          <w:b/>
          <w:color w:val="000000"/>
        </w:rPr>
        <w:t>4</w:t>
      </w:r>
      <w:r>
        <w:rPr>
          <w:rFonts w:eastAsia="Calibri" w:cs="Helvetica-Light"/>
          <w:b/>
          <w:color w:val="000000"/>
        </w:rPr>
        <w:tab/>
      </w:r>
      <w:r w:rsidR="002E27CC" w:rsidRPr="002E27CC">
        <w:rPr>
          <w:rFonts w:eastAsia="Calibri" w:cs="Helvetica-Light"/>
          <w:b/>
          <w:color w:val="000000"/>
        </w:rPr>
        <w:t>Other Income sources</w:t>
      </w:r>
    </w:p>
    <w:p w14:paraId="4BF45021" w14:textId="77777777" w:rsidR="00866F49" w:rsidRDefault="00866F49" w:rsidP="00E26570">
      <w:pPr>
        <w:autoSpaceDE w:val="0"/>
        <w:autoSpaceDN w:val="0"/>
        <w:adjustRightInd w:val="0"/>
        <w:jc w:val="both"/>
        <w:rPr>
          <w:rFonts w:eastAsia="Calibri" w:cs="Helvetica-Light"/>
          <w:b/>
          <w:color w:val="000000"/>
        </w:rPr>
      </w:pPr>
    </w:p>
    <w:p w14:paraId="671B3E48" w14:textId="7120B50B" w:rsidR="00D42682" w:rsidRDefault="004A7A82" w:rsidP="00FB74E9">
      <w:pPr>
        <w:autoSpaceDE w:val="0"/>
        <w:autoSpaceDN w:val="0"/>
        <w:adjustRightInd w:val="0"/>
        <w:ind w:firstLine="720"/>
        <w:jc w:val="both"/>
        <w:rPr>
          <w:rFonts w:eastAsia="Calibri" w:cs="Helvetica-Light"/>
          <w:b/>
          <w:color w:val="000000"/>
        </w:rPr>
      </w:pPr>
      <w:r>
        <w:rPr>
          <w:rFonts w:eastAsia="Calibri" w:cs="Helvetica-Light"/>
          <w:b/>
          <w:color w:val="000000"/>
        </w:rPr>
        <w:t>Capital Receipts</w:t>
      </w:r>
    </w:p>
    <w:p w14:paraId="7FA27D97" w14:textId="77777777" w:rsidR="00D42682" w:rsidRDefault="00D42682" w:rsidP="00E26570">
      <w:pPr>
        <w:autoSpaceDE w:val="0"/>
        <w:autoSpaceDN w:val="0"/>
        <w:adjustRightInd w:val="0"/>
        <w:jc w:val="both"/>
        <w:rPr>
          <w:rFonts w:eastAsia="Calibri" w:cs="Helvetica-Light"/>
          <w:b/>
          <w:color w:val="000000"/>
        </w:rPr>
      </w:pPr>
    </w:p>
    <w:p w14:paraId="4E18F8B8" w14:textId="2A60A330" w:rsidR="00071A1A" w:rsidRPr="00071A1A" w:rsidRDefault="004A7A82" w:rsidP="00EF7E38">
      <w:pPr>
        <w:tabs>
          <w:tab w:val="left" w:pos="567"/>
          <w:tab w:val="left" w:pos="1134"/>
        </w:tabs>
        <w:ind w:left="720" w:hanging="720"/>
        <w:jc w:val="both"/>
        <w:rPr>
          <w:rFonts w:cs="Arial"/>
        </w:rPr>
      </w:pPr>
      <w:r>
        <w:rPr>
          <w:rFonts w:cs="Arial"/>
        </w:rPr>
        <w:t>10.</w:t>
      </w:r>
      <w:r w:rsidR="00DF6D2C">
        <w:rPr>
          <w:rFonts w:cs="Arial"/>
        </w:rPr>
        <w:t>4</w:t>
      </w:r>
      <w:r>
        <w:rPr>
          <w:rFonts w:cs="Arial"/>
        </w:rPr>
        <w:t>1</w:t>
      </w:r>
      <w:r w:rsidR="00EF7E38">
        <w:rPr>
          <w:rFonts w:cs="Arial"/>
        </w:rPr>
        <w:tab/>
      </w:r>
      <w:r w:rsidRPr="00071A1A">
        <w:rPr>
          <w:rFonts w:cs="Arial"/>
        </w:rPr>
        <w:t xml:space="preserve">Traditionally, the use of capital receipts (income derived from the sale of long-term assets) has been restricted to funding capital expenditure or the repayment of debt. However, from </w:t>
      </w:r>
      <w:r w:rsidR="00427D98">
        <w:rPr>
          <w:rFonts w:cs="Arial"/>
        </w:rPr>
        <w:t>1</w:t>
      </w:r>
      <w:r w:rsidRPr="00071A1A">
        <w:rPr>
          <w:rFonts w:cs="Arial"/>
        </w:rPr>
        <w:t xml:space="preserve"> April 2016 the Government introduced the flexibility for capital receipts to be used to fund revenue expenditure which meets certain criteria, primarily to generate ongoing revenue savings or improvements in the </w:t>
      </w:r>
      <w:proofErr w:type="gramStart"/>
      <w:r w:rsidRPr="00071A1A">
        <w:rPr>
          <w:rFonts w:cs="Arial"/>
        </w:rPr>
        <w:t>quality of service</w:t>
      </w:r>
      <w:proofErr w:type="gramEnd"/>
      <w:r w:rsidRPr="00071A1A">
        <w:rPr>
          <w:rFonts w:cs="Arial"/>
        </w:rPr>
        <w:t xml:space="preserve"> provision. This flexibility continues in 2024/25 and the medium-term financial strategy includes £5m of capital receipts </w:t>
      </w:r>
      <w:r>
        <w:rPr>
          <w:rFonts w:cs="Arial"/>
        </w:rPr>
        <w:t>to support the revenue budget</w:t>
      </w:r>
      <w:r w:rsidRPr="00071A1A">
        <w:rPr>
          <w:rFonts w:cs="Arial"/>
        </w:rPr>
        <w:t xml:space="preserve">. </w:t>
      </w:r>
    </w:p>
    <w:p w14:paraId="7233F30B" w14:textId="77777777" w:rsidR="00F01E81" w:rsidRDefault="00F01E81" w:rsidP="00EF7E38">
      <w:pPr>
        <w:tabs>
          <w:tab w:val="left" w:pos="567"/>
        </w:tabs>
        <w:jc w:val="both"/>
        <w:rPr>
          <w:rFonts w:cs="Arial"/>
        </w:rPr>
      </w:pPr>
    </w:p>
    <w:p w14:paraId="6C13A81A" w14:textId="77777777" w:rsidR="00F01E81" w:rsidRDefault="00F01E81" w:rsidP="00EF7E38">
      <w:pPr>
        <w:tabs>
          <w:tab w:val="left" w:pos="567"/>
        </w:tabs>
        <w:jc w:val="both"/>
        <w:rPr>
          <w:rFonts w:cs="Arial"/>
        </w:rPr>
      </w:pPr>
    </w:p>
    <w:p w14:paraId="425FF5EF" w14:textId="4DFFDED0" w:rsidR="00071A1A" w:rsidRPr="00071A1A" w:rsidRDefault="004A7A82" w:rsidP="00EF7E38">
      <w:pPr>
        <w:tabs>
          <w:tab w:val="left" w:pos="567"/>
        </w:tabs>
        <w:jc w:val="both"/>
        <w:rPr>
          <w:rFonts w:cs="Arial"/>
        </w:rPr>
      </w:pPr>
      <w:r>
        <w:rPr>
          <w:rFonts w:cs="Arial"/>
        </w:rPr>
        <w:t>10.</w:t>
      </w:r>
      <w:r w:rsidR="00DF6D2C">
        <w:rPr>
          <w:rFonts w:cs="Arial"/>
        </w:rPr>
        <w:t>4</w:t>
      </w:r>
      <w:r>
        <w:rPr>
          <w:rFonts w:cs="Arial"/>
        </w:rPr>
        <w:t>2</w:t>
      </w:r>
      <w:r w:rsidR="00EF7E38">
        <w:rPr>
          <w:rFonts w:cs="Arial"/>
        </w:rPr>
        <w:tab/>
      </w:r>
      <w:r w:rsidRPr="00071A1A">
        <w:rPr>
          <w:rFonts w:cs="Arial"/>
        </w:rPr>
        <w:t xml:space="preserve">The capital receipts in 2024/25 will be applied to the following areas: </w:t>
      </w:r>
    </w:p>
    <w:p w14:paraId="766AB567" w14:textId="77777777" w:rsidR="00071A1A" w:rsidRPr="00071A1A" w:rsidRDefault="00071A1A" w:rsidP="00071A1A">
      <w:pPr>
        <w:tabs>
          <w:tab w:val="left" w:pos="567"/>
          <w:tab w:val="left" w:pos="1134"/>
        </w:tabs>
        <w:jc w:val="both"/>
        <w:rPr>
          <w:rFonts w:cs="Arial"/>
        </w:rPr>
      </w:pPr>
    </w:p>
    <w:p w14:paraId="76BE199D" w14:textId="6EE1983F" w:rsidR="00071A1A" w:rsidRPr="00467834" w:rsidRDefault="004A7A82" w:rsidP="00071A1A">
      <w:pPr>
        <w:tabs>
          <w:tab w:val="left" w:pos="567"/>
          <w:tab w:val="left" w:pos="1134"/>
        </w:tabs>
        <w:jc w:val="both"/>
        <w:rPr>
          <w:rFonts w:cs="Arial"/>
          <w:b/>
          <w:i/>
          <w:iCs/>
          <w:u w:val="single"/>
        </w:rPr>
      </w:pPr>
      <w:r w:rsidRPr="00467834">
        <w:rPr>
          <w:rFonts w:cs="Arial"/>
          <w:b/>
          <w:i/>
          <w:iCs/>
          <w:u w:val="single"/>
        </w:rPr>
        <w:lastRenderedPageBreak/>
        <w:t xml:space="preserve">Table </w:t>
      </w:r>
      <w:r w:rsidR="00BD33D7">
        <w:rPr>
          <w:rFonts w:cs="Arial"/>
          <w:b/>
          <w:i/>
          <w:iCs/>
          <w:u w:val="single"/>
        </w:rPr>
        <w:t>1</w:t>
      </w:r>
      <w:r w:rsidR="006A7473">
        <w:rPr>
          <w:rFonts w:cs="Arial"/>
          <w:b/>
          <w:i/>
          <w:iCs/>
          <w:u w:val="single"/>
        </w:rPr>
        <w:t>0</w:t>
      </w:r>
    </w:p>
    <w:p w14:paraId="75E99D22" w14:textId="77777777" w:rsidR="00071A1A" w:rsidRPr="00F63AC2" w:rsidRDefault="00071A1A" w:rsidP="00071A1A">
      <w:pPr>
        <w:tabs>
          <w:tab w:val="left" w:pos="567"/>
          <w:tab w:val="left" w:pos="1134"/>
        </w:tabs>
        <w:jc w:val="both"/>
        <w:rPr>
          <w:rFonts w:cs="Arial"/>
          <w:highlight w:val="yellow"/>
        </w:rPr>
      </w:pPr>
    </w:p>
    <w:tbl>
      <w:tblPr>
        <w:tblStyle w:val="TableGrid19"/>
        <w:tblW w:w="0" w:type="auto"/>
        <w:tblLook w:val="04A0" w:firstRow="1" w:lastRow="0" w:firstColumn="1" w:lastColumn="0" w:noHBand="0" w:noVBand="1"/>
      </w:tblPr>
      <w:tblGrid>
        <w:gridCol w:w="7488"/>
        <w:gridCol w:w="1508"/>
      </w:tblGrid>
      <w:tr w:rsidR="00C92CD8" w14:paraId="5DF0FCFC" w14:textId="77777777" w:rsidTr="00502C62">
        <w:trPr>
          <w:trHeight w:val="394"/>
        </w:trPr>
        <w:tc>
          <w:tcPr>
            <w:tcW w:w="7488" w:type="dxa"/>
            <w:tcBorders>
              <w:top w:val="single" w:sz="12" w:space="0" w:color="auto"/>
              <w:left w:val="single" w:sz="12" w:space="0" w:color="auto"/>
            </w:tcBorders>
          </w:tcPr>
          <w:p w14:paraId="1E3E205B" w14:textId="77777777" w:rsidR="00071A1A" w:rsidRPr="0080428E" w:rsidRDefault="004A7A82" w:rsidP="00502C62">
            <w:pPr>
              <w:tabs>
                <w:tab w:val="left" w:pos="567"/>
                <w:tab w:val="left" w:pos="1134"/>
              </w:tabs>
              <w:jc w:val="both"/>
              <w:rPr>
                <w:rFonts w:cs="Arial"/>
                <w:b/>
                <w:sz w:val="24"/>
                <w:szCs w:val="24"/>
              </w:rPr>
            </w:pPr>
            <w:r w:rsidRPr="0080428E">
              <w:rPr>
                <w:rFonts w:cs="Arial"/>
                <w:b/>
                <w:sz w:val="24"/>
                <w:szCs w:val="24"/>
              </w:rPr>
              <w:t>Service Area</w:t>
            </w:r>
          </w:p>
        </w:tc>
        <w:tc>
          <w:tcPr>
            <w:tcW w:w="1508" w:type="dxa"/>
            <w:tcBorders>
              <w:top w:val="single" w:sz="12" w:space="0" w:color="auto"/>
              <w:right w:val="single" w:sz="12" w:space="0" w:color="auto"/>
            </w:tcBorders>
          </w:tcPr>
          <w:p w14:paraId="506C1867" w14:textId="77777777" w:rsidR="00071A1A" w:rsidRPr="0080428E" w:rsidRDefault="004A7A82" w:rsidP="00502C62">
            <w:pPr>
              <w:tabs>
                <w:tab w:val="left" w:pos="567"/>
                <w:tab w:val="left" w:pos="1134"/>
              </w:tabs>
              <w:jc w:val="right"/>
              <w:rPr>
                <w:rFonts w:cs="Arial"/>
                <w:b/>
                <w:sz w:val="24"/>
                <w:szCs w:val="24"/>
              </w:rPr>
            </w:pPr>
            <w:r w:rsidRPr="0080428E">
              <w:rPr>
                <w:rFonts w:cs="Arial"/>
                <w:b/>
                <w:sz w:val="24"/>
                <w:szCs w:val="24"/>
              </w:rPr>
              <w:t>Value (£m)</w:t>
            </w:r>
          </w:p>
        </w:tc>
      </w:tr>
      <w:tr w:rsidR="00C92CD8" w14:paraId="40F14D55" w14:textId="77777777" w:rsidTr="00502C62">
        <w:tc>
          <w:tcPr>
            <w:tcW w:w="7488" w:type="dxa"/>
            <w:tcBorders>
              <w:left w:val="single" w:sz="12" w:space="0" w:color="auto"/>
            </w:tcBorders>
          </w:tcPr>
          <w:p w14:paraId="6DBA0761" w14:textId="1BEBCE3B" w:rsidR="00071A1A" w:rsidRPr="0080428E" w:rsidRDefault="004A7A82" w:rsidP="00502C62">
            <w:pPr>
              <w:tabs>
                <w:tab w:val="left" w:pos="567"/>
                <w:tab w:val="left" w:pos="1134"/>
              </w:tabs>
              <w:jc w:val="both"/>
              <w:rPr>
                <w:rFonts w:cs="Arial"/>
                <w:sz w:val="24"/>
                <w:szCs w:val="24"/>
              </w:rPr>
            </w:pPr>
            <w:r w:rsidRPr="0080428E">
              <w:rPr>
                <w:sz w:val="24"/>
                <w:szCs w:val="24"/>
              </w:rPr>
              <w:t xml:space="preserve">Organisational </w:t>
            </w:r>
            <w:r w:rsidR="00587F32" w:rsidRPr="0080428E">
              <w:rPr>
                <w:sz w:val="24"/>
                <w:szCs w:val="24"/>
              </w:rPr>
              <w:t>Development and Change</w:t>
            </w:r>
          </w:p>
        </w:tc>
        <w:tc>
          <w:tcPr>
            <w:tcW w:w="1508" w:type="dxa"/>
            <w:tcBorders>
              <w:right w:val="single" w:sz="12" w:space="0" w:color="auto"/>
            </w:tcBorders>
          </w:tcPr>
          <w:p w14:paraId="14BA0F80" w14:textId="725BD368" w:rsidR="00071A1A" w:rsidRPr="0080428E" w:rsidRDefault="004A7A82" w:rsidP="00502C62">
            <w:pPr>
              <w:tabs>
                <w:tab w:val="left" w:pos="567"/>
                <w:tab w:val="left" w:pos="1134"/>
              </w:tabs>
              <w:jc w:val="right"/>
              <w:rPr>
                <w:rFonts w:cs="Arial"/>
                <w:sz w:val="24"/>
                <w:szCs w:val="24"/>
              </w:rPr>
            </w:pPr>
            <w:r w:rsidRPr="0080428E">
              <w:rPr>
                <w:rFonts w:cs="Arial"/>
                <w:sz w:val="24"/>
                <w:szCs w:val="24"/>
              </w:rPr>
              <w:t>2.9</w:t>
            </w:r>
            <w:r w:rsidR="00F53924" w:rsidRPr="0080428E">
              <w:rPr>
                <w:rFonts w:cs="Arial"/>
                <w:sz w:val="24"/>
                <w:szCs w:val="24"/>
              </w:rPr>
              <w:t>60</w:t>
            </w:r>
          </w:p>
        </w:tc>
      </w:tr>
      <w:tr w:rsidR="00C92CD8" w14:paraId="1BEFFB0A" w14:textId="77777777" w:rsidTr="00502C62">
        <w:tc>
          <w:tcPr>
            <w:tcW w:w="7488" w:type="dxa"/>
            <w:tcBorders>
              <w:left w:val="single" w:sz="12" w:space="0" w:color="auto"/>
            </w:tcBorders>
          </w:tcPr>
          <w:p w14:paraId="35C50AB8" w14:textId="62FF14AC" w:rsidR="0077560A" w:rsidRPr="0080428E" w:rsidRDefault="004A7A82" w:rsidP="00502C62">
            <w:pPr>
              <w:tabs>
                <w:tab w:val="left" w:pos="567"/>
                <w:tab w:val="left" w:pos="1134"/>
              </w:tabs>
              <w:jc w:val="both"/>
              <w:rPr>
                <w:sz w:val="24"/>
                <w:szCs w:val="24"/>
              </w:rPr>
            </w:pPr>
            <w:r w:rsidRPr="0080428E">
              <w:rPr>
                <w:sz w:val="24"/>
                <w:szCs w:val="24"/>
              </w:rPr>
              <w:t>Children's Social Care</w:t>
            </w:r>
          </w:p>
        </w:tc>
        <w:tc>
          <w:tcPr>
            <w:tcW w:w="1508" w:type="dxa"/>
            <w:tcBorders>
              <w:right w:val="single" w:sz="12" w:space="0" w:color="auto"/>
            </w:tcBorders>
          </w:tcPr>
          <w:p w14:paraId="6338FA87" w14:textId="32E9BAB5" w:rsidR="0077560A" w:rsidRPr="0080428E" w:rsidRDefault="004A7A82" w:rsidP="00502C62">
            <w:pPr>
              <w:tabs>
                <w:tab w:val="left" w:pos="567"/>
                <w:tab w:val="left" w:pos="1134"/>
              </w:tabs>
              <w:jc w:val="right"/>
              <w:rPr>
                <w:rFonts w:cs="Arial"/>
                <w:sz w:val="24"/>
                <w:szCs w:val="24"/>
              </w:rPr>
            </w:pPr>
            <w:r w:rsidRPr="0080428E">
              <w:rPr>
                <w:rFonts w:cs="Arial"/>
                <w:sz w:val="24"/>
                <w:szCs w:val="24"/>
              </w:rPr>
              <w:t>1.</w:t>
            </w:r>
            <w:r w:rsidR="00A94088" w:rsidRPr="0080428E">
              <w:rPr>
                <w:rFonts w:cs="Arial"/>
                <w:sz w:val="24"/>
                <w:szCs w:val="24"/>
              </w:rPr>
              <w:t>251</w:t>
            </w:r>
          </w:p>
        </w:tc>
      </w:tr>
      <w:tr w:rsidR="00C92CD8" w14:paraId="524B91BE" w14:textId="77777777" w:rsidTr="00502C62">
        <w:tc>
          <w:tcPr>
            <w:tcW w:w="7488" w:type="dxa"/>
            <w:tcBorders>
              <w:left w:val="single" w:sz="12" w:space="0" w:color="auto"/>
            </w:tcBorders>
          </w:tcPr>
          <w:p w14:paraId="77E5AD61" w14:textId="4123CA4D" w:rsidR="00674F43" w:rsidRPr="0080428E" w:rsidRDefault="004A7A82" w:rsidP="00502C62">
            <w:pPr>
              <w:tabs>
                <w:tab w:val="left" w:pos="567"/>
                <w:tab w:val="left" w:pos="1134"/>
              </w:tabs>
              <w:jc w:val="both"/>
              <w:rPr>
                <w:sz w:val="24"/>
                <w:szCs w:val="24"/>
              </w:rPr>
            </w:pPr>
            <w:r w:rsidRPr="0080428E">
              <w:rPr>
                <w:sz w:val="24"/>
                <w:szCs w:val="24"/>
              </w:rPr>
              <w:t>Human Resources</w:t>
            </w:r>
          </w:p>
        </w:tc>
        <w:tc>
          <w:tcPr>
            <w:tcW w:w="1508" w:type="dxa"/>
            <w:tcBorders>
              <w:right w:val="single" w:sz="12" w:space="0" w:color="auto"/>
            </w:tcBorders>
          </w:tcPr>
          <w:p w14:paraId="413967B0" w14:textId="5E975FA2" w:rsidR="00674F43" w:rsidRPr="0080428E" w:rsidRDefault="004A7A82" w:rsidP="00502C62">
            <w:pPr>
              <w:tabs>
                <w:tab w:val="left" w:pos="567"/>
                <w:tab w:val="left" w:pos="1134"/>
              </w:tabs>
              <w:jc w:val="right"/>
              <w:rPr>
                <w:rFonts w:cs="Arial"/>
                <w:sz w:val="24"/>
                <w:szCs w:val="24"/>
              </w:rPr>
            </w:pPr>
            <w:r w:rsidRPr="0080428E">
              <w:rPr>
                <w:rFonts w:cs="Arial"/>
                <w:sz w:val="24"/>
                <w:szCs w:val="24"/>
              </w:rPr>
              <w:t>0.</w:t>
            </w:r>
            <w:r w:rsidR="006A1030" w:rsidRPr="0080428E">
              <w:rPr>
                <w:rFonts w:cs="Arial"/>
                <w:sz w:val="24"/>
                <w:szCs w:val="24"/>
              </w:rPr>
              <w:t>1</w:t>
            </w:r>
            <w:r w:rsidR="00A94088" w:rsidRPr="0080428E">
              <w:rPr>
                <w:rFonts w:cs="Arial"/>
                <w:sz w:val="24"/>
                <w:szCs w:val="24"/>
              </w:rPr>
              <w:t>91</w:t>
            </w:r>
          </w:p>
        </w:tc>
      </w:tr>
      <w:tr w:rsidR="00C92CD8" w14:paraId="16ED3FCE" w14:textId="77777777" w:rsidTr="00502C62">
        <w:tc>
          <w:tcPr>
            <w:tcW w:w="7488" w:type="dxa"/>
            <w:tcBorders>
              <w:left w:val="single" w:sz="12" w:space="0" w:color="auto"/>
            </w:tcBorders>
          </w:tcPr>
          <w:p w14:paraId="043099B0" w14:textId="77777777" w:rsidR="00071A1A" w:rsidRPr="0080428E" w:rsidRDefault="004A7A82" w:rsidP="00502C62">
            <w:pPr>
              <w:tabs>
                <w:tab w:val="left" w:pos="567"/>
                <w:tab w:val="left" w:pos="1134"/>
              </w:tabs>
              <w:jc w:val="both"/>
              <w:rPr>
                <w:rFonts w:cs="Arial"/>
                <w:sz w:val="24"/>
                <w:szCs w:val="24"/>
              </w:rPr>
            </w:pPr>
            <w:r w:rsidRPr="0080428E">
              <w:rPr>
                <w:sz w:val="24"/>
                <w:szCs w:val="24"/>
              </w:rPr>
              <w:t>Adult Social Care</w:t>
            </w:r>
          </w:p>
        </w:tc>
        <w:tc>
          <w:tcPr>
            <w:tcW w:w="1508" w:type="dxa"/>
            <w:tcBorders>
              <w:right w:val="single" w:sz="12" w:space="0" w:color="auto"/>
            </w:tcBorders>
          </w:tcPr>
          <w:p w14:paraId="5784A650" w14:textId="03592F49" w:rsidR="00071A1A" w:rsidRPr="0080428E" w:rsidRDefault="004A7A82" w:rsidP="00502C62">
            <w:pPr>
              <w:tabs>
                <w:tab w:val="left" w:pos="567"/>
                <w:tab w:val="left" w:pos="1134"/>
              </w:tabs>
              <w:jc w:val="right"/>
              <w:rPr>
                <w:rFonts w:cs="Arial"/>
                <w:sz w:val="24"/>
                <w:szCs w:val="24"/>
              </w:rPr>
            </w:pPr>
            <w:r w:rsidRPr="0080428E">
              <w:rPr>
                <w:rFonts w:cs="Arial"/>
                <w:sz w:val="24"/>
                <w:szCs w:val="24"/>
              </w:rPr>
              <w:t>0.598</w:t>
            </w:r>
          </w:p>
        </w:tc>
      </w:tr>
      <w:tr w:rsidR="00C92CD8" w14:paraId="181C4A9E" w14:textId="77777777" w:rsidTr="00502C62">
        <w:tc>
          <w:tcPr>
            <w:tcW w:w="7488" w:type="dxa"/>
            <w:tcBorders>
              <w:left w:val="single" w:sz="12" w:space="0" w:color="auto"/>
              <w:bottom w:val="single" w:sz="12" w:space="0" w:color="auto"/>
            </w:tcBorders>
          </w:tcPr>
          <w:p w14:paraId="1E91BC55" w14:textId="77777777" w:rsidR="00071A1A" w:rsidRPr="0080428E" w:rsidRDefault="004A7A82" w:rsidP="00502C62">
            <w:pPr>
              <w:tabs>
                <w:tab w:val="left" w:pos="567"/>
                <w:tab w:val="left" w:pos="1134"/>
              </w:tabs>
              <w:jc w:val="both"/>
              <w:rPr>
                <w:rFonts w:cs="Arial"/>
                <w:b/>
                <w:sz w:val="24"/>
                <w:szCs w:val="24"/>
              </w:rPr>
            </w:pPr>
            <w:r w:rsidRPr="0080428E">
              <w:rPr>
                <w:rFonts w:cs="Arial"/>
                <w:b/>
                <w:sz w:val="24"/>
                <w:szCs w:val="24"/>
              </w:rPr>
              <w:t>Grand Total</w:t>
            </w:r>
          </w:p>
        </w:tc>
        <w:tc>
          <w:tcPr>
            <w:tcW w:w="1508" w:type="dxa"/>
            <w:tcBorders>
              <w:bottom w:val="single" w:sz="12" w:space="0" w:color="auto"/>
              <w:right w:val="single" w:sz="12" w:space="0" w:color="auto"/>
            </w:tcBorders>
          </w:tcPr>
          <w:p w14:paraId="57F2C92B" w14:textId="77777777" w:rsidR="00071A1A" w:rsidRPr="0080428E" w:rsidRDefault="004A7A82" w:rsidP="00502C62">
            <w:pPr>
              <w:tabs>
                <w:tab w:val="left" w:pos="567"/>
                <w:tab w:val="left" w:pos="1134"/>
              </w:tabs>
              <w:jc w:val="right"/>
              <w:rPr>
                <w:rFonts w:cs="Arial"/>
                <w:b/>
                <w:sz w:val="24"/>
                <w:szCs w:val="24"/>
              </w:rPr>
            </w:pPr>
            <w:r w:rsidRPr="0080428E">
              <w:rPr>
                <w:rFonts w:cs="Arial"/>
                <w:b/>
                <w:sz w:val="24"/>
                <w:szCs w:val="24"/>
              </w:rPr>
              <w:t>5.000</w:t>
            </w:r>
          </w:p>
        </w:tc>
      </w:tr>
    </w:tbl>
    <w:p w14:paraId="10675AA1" w14:textId="77777777" w:rsidR="00071A1A" w:rsidRPr="00F63AC2" w:rsidRDefault="00071A1A" w:rsidP="00071A1A">
      <w:pPr>
        <w:tabs>
          <w:tab w:val="left" w:pos="567"/>
          <w:tab w:val="left" w:pos="1134"/>
        </w:tabs>
        <w:jc w:val="both"/>
        <w:rPr>
          <w:rFonts w:cs="Arial"/>
          <w:highlight w:val="yellow"/>
        </w:rPr>
      </w:pPr>
    </w:p>
    <w:p w14:paraId="680C940C" w14:textId="783A172A" w:rsidR="00071A1A" w:rsidRPr="00071A1A" w:rsidRDefault="004A7A82" w:rsidP="002C5BD1">
      <w:pPr>
        <w:tabs>
          <w:tab w:val="left" w:pos="567"/>
          <w:tab w:val="left" w:pos="1134"/>
        </w:tabs>
        <w:ind w:left="720" w:hanging="720"/>
        <w:jc w:val="both"/>
        <w:rPr>
          <w:rFonts w:cs="Arial"/>
        </w:rPr>
      </w:pPr>
      <w:r>
        <w:rPr>
          <w:rFonts w:cs="Arial"/>
        </w:rPr>
        <w:t>10.</w:t>
      </w:r>
      <w:r w:rsidR="00DF6D2C">
        <w:rPr>
          <w:rFonts w:cs="Arial"/>
        </w:rPr>
        <w:t>4</w:t>
      </w:r>
      <w:r>
        <w:rPr>
          <w:rFonts w:cs="Arial"/>
        </w:rPr>
        <w:t>3</w:t>
      </w:r>
      <w:r>
        <w:rPr>
          <w:rFonts w:cs="Arial"/>
        </w:rPr>
        <w:tab/>
      </w:r>
      <w:r w:rsidRPr="00071A1A">
        <w:rPr>
          <w:rFonts w:cs="Arial"/>
        </w:rPr>
        <w:t xml:space="preserve">The table above does not cover all the costs of identified transformation activity but </w:t>
      </w:r>
      <w:proofErr w:type="gramStart"/>
      <w:r w:rsidRPr="00071A1A">
        <w:rPr>
          <w:rFonts w:cs="Arial"/>
        </w:rPr>
        <w:t>makes a contribution</w:t>
      </w:r>
      <w:proofErr w:type="gramEnd"/>
      <w:r w:rsidRPr="00071A1A">
        <w:rPr>
          <w:rFonts w:cs="Arial"/>
        </w:rPr>
        <w:t xml:space="preserve"> to those costs. </w:t>
      </w:r>
    </w:p>
    <w:p w14:paraId="45988E17" w14:textId="77777777" w:rsidR="00071A1A" w:rsidRPr="00071A1A" w:rsidRDefault="00071A1A" w:rsidP="00071A1A">
      <w:pPr>
        <w:tabs>
          <w:tab w:val="left" w:pos="567"/>
          <w:tab w:val="left" w:pos="1134"/>
        </w:tabs>
        <w:jc w:val="both"/>
        <w:rPr>
          <w:rFonts w:cs="Arial"/>
        </w:rPr>
      </w:pPr>
    </w:p>
    <w:p w14:paraId="6C42BAD5" w14:textId="3C1F798D" w:rsidR="00781855" w:rsidRPr="00EF7E38" w:rsidRDefault="004A7A82" w:rsidP="002C5BD1">
      <w:pPr>
        <w:tabs>
          <w:tab w:val="left" w:pos="567"/>
          <w:tab w:val="left" w:pos="1134"/>
        </w:tabs>
        <w:ind w:left="720" w:hanging="720"/>
        <w:jc w:val="both"/>
        <w:rPr>
          <w:rFonts w:cs="Arial"/>
        </w:rPr>
      </w:pPr>
      <w:r>
        <w:rPr>
          <w:rFonts w:cs="Arial"/>
        </w:rPr>
        <w:t>10.</w:t>
      </w:r>
      <w:r w:rsidR="00DF6D2C">
        <w:rPr>
          <w:rFonts w:cs="Arial"/>
        </w:rPr>
        <w:t>4</w:t>
      </w:r>
      <w:r>
        <w:rPr>
          <w:rFonts w:cs="Arial"/>
        </w:rPr>
        <w:t>4</w:t>
      </w:r>
      <w:r>
        <w:tab/>
      </w:r>
      <w:r w:rsidR="00071A1A" w:rsidRPr="00071A1A">
        <w:rPr>
          <w:rFonts w:cs="Arial"/>
        </w:rPr>
        <w:t xml:space="preserve">These receipts </w:t>
      </w:r>
      <w:r w:rsidR="51847925" w:rsidRPr="2165DDB2">
        <w:rPr>
          <w:rFonts w:cs="Arial"/>
        </w:rPr>
        <w:t>could</w:t>
      </w:r>
      <w:r w:rsidR="00071A1A" w:rsidRPr="00071A1A">
        <w:rPr>
          <w:rFonts w:cs="Arial"/>
        </w:rPr>
        <w:t xml:space="preserve"> be applied to the capital programme and therefore the impact is to effectively </w:t>
      </w:r>
      <w:r w:rsidR="167A3D09" w:rsidRPr="2165DDB2">
        <w:rPr>
          <w:rFonts w:cs="Arial"/>
        </w:rPr>
        <w:t>reduce flexibility within</w:t>
      </w:r>
      <w:r w:rsidR="00071A1A" w:rsidRPr="00071A1A">
        <w:rPr>
          <w:rFonts w:cs="Arial"/>
        </w:rPr>
        <w:t xml:space="preserve"> the capital programme. </w:t>
      </w:r>
    </w:p>
    <w:p w14:paraId="75AEF876" w14:textId="794E4A37" w:rsidR="00EF7E38" w:rsidRDefault="00EF7E38" w:rsidP="00320643">
      <w:pPr>
        <w:autoSpaceDE w:val="0"/>
        <w:autoSpaceDN w:val="0"/>
        <w:adjustRightInd w:val="0"/>
        <w:jc w:val="both"/>
        <w:rPr>
          <w:rFonts w:eastAsia="Calibri" w:cs="Helvetica-Light"/>
          <w:color w:val="000000"/>
          <w:highlight w:val="yellow"/>
        </w:rPr>
      </w:pPr>
    </w:p>
    <w:p w14:paraId="6612CC0F" w14:textId="2DE09A9C" w:rsidR="00EF7E38" w:rsidRPr="002E27CC" w:rsidRDefault="004A7A82" w:rsidP="00EF7E38">
      <w:pPr>
        <w:autoSpaceDE w:val="0"/>
        <w:autoSpaceDN w:val="0"/>
        <w:adjustRightInd w:val="0"/>
        <w:ind w:left="720" w:hanging="720"/>
        <w:jc w:val="both"/>
        <w:rPr>
          <w:rFonts w:eastAsia="Calibri" w:cs="Helvetica-Light"/>
          <w:b/>
          <w:color w:val="000000"/>
        </w:rPr>
      </w:pPr>
      <w:r>
        <w:rPr>
          <w:rFonts w:eastAsia="Calibri" w:cs="Helvetica-Light"/>
          <w:b/>
          <w:color w:val="000000"/>
        </w:rPr>
        <w:t>11.</w:t>
      </w:r>
      <w:r>
        <w:rPr>
          <w:rFonts w:eastAsia="Calibri" w:cs="Helvetica-Light"/>
          <w:b/>
          <w:color w:val="000000"/>
        </w:rPr>
        <w:tab/>
        <w:t>Planning for a sustainable budget in future years</w:t>
      </w:r>
    </w:p>
    <w:p w14:paraId="1CFE626E" w14:textId="77777777" w:rsidR="00EF7E38" w:rsidRDefault="00EF7E38" w:rsidP="00320643">
      <w:pPr>
        <w:autoSpaceDE w:val="0"/>
        <w:autoSpaceDN w:val="0"/>
        <w:adjustRightInd w:val="0"/>
        <w:jc w:val="both"/>
        <w:rPr>
          <w:rFonts w:eastAsia="Calibri" w:cs="Helvetica-Light"/>
          <w:color w:val="000000"/>
          <w:highlight w:val="yellow"/>
        </w:rPr>
      </w:pPr>
    </w:p>
    <w:p w14:paraId="324E3810" w14:textId="28A109DA" w:rsidR="00FB6E99" w:rsidRPr="00EF7E38" w:rsidRDefault="004A7A82" w:rsidP="00213143">
      <w:pPr>
        <w:autoSpaceDE w:val="0"/>
        <w:autoSpaceDN w:val="0"/>
        <w:adjustRightInd w:val="0"/>
        <w:ind w:left="720" w:hanging="720"/>
        <w:jc w:val="both"/>
        <w:rPr>
          <w:rFonts w:eastAsia="Calibri" w:cs="Helvetica-Light"/>
          <w:color w:val="000000"/>
        </w:rPr>
      </w:pPr>
      <w:r>
        <w:rPr>
          <w:rFonts w:eastAsia="Calibri" w:cs="Helvetica-Light"/>
          <w:color w:val="000000" w:themeColor="text1"/>
        </w:rPr>
        <w:t>11.1</w:t>
      </w:r>
      <w:r>
        <w:rPr>
          <w:rFonts w:eastAsia="Calibri" w:cs="Helvetica-Light"/>
          <w:color w:val="000000" w:themeColor="text1"/>
        </w:rPr>
        <w:tab/>
      </w:r>
      <w:r w:rsidR="00D72BD6" w:rsidRPr="00EF7E38">
        <w:rPr>
          <w:rFonts w:eastAsia="Calibri" w:cs="Helvetica-Light"/>
          <w:color w:val="000000" w:themeColor="text1"/>
        </w:rPr>
        <w:t xml:space="preserve">The </w:t>
      </w:r>
      <w:r w:rsidR="00B63671">
        <w:rPr>
          <w:rFonts w:eastAsia="Calibri" w:cs="Helvetica-Light"/>
          <w:color w:val="000000" w:themeColor="text1"/>
        </w:rPr>
        <w:t>C</w:t>
      </w:r>
      <w:r w:rsidR="00D72BD6" w:rsidRPr="00EF7E38">
        <w:rPr>
          <w:rFonts w:eastAsia="Calibri" w:cs="Helvetica-Light"/>
          <w:color w:val="000000" w:themeColor="text1"/>
        </w:rPr>
        <w:t xml:space="preserve">ouncil remains in a relatively strong financial position in relation to the </w:t>
      </w:r>
      <w:r w:rsidR="003E0F1D">
        <w:rPr>
          <w:rFonts w:eastAsia="Calibri" w:cs="Helvetica-Light"/>
          <w:color w:val="000000" w:themeColor="text1"/>
        </w:rPr>
        <w:t xml:space="preserve">position reported in </w:t>
      </w:r>
      <w:r w:rsidR="008872E2">
        <w:rPr>
          <w:rFonts w:eastAsia="Calibri" w:cs="Helvetica-Light"/>
          <w:color w:val="000000" w:themeColor="text1"/>
        </w:rPr>
        <w:t>the media</w:t>
      </w:r>
      <w:r w:rsidR="00D72BD6" w:rsidRPr="00EF7E38">
        <w:rPr>
          <w:rFonts w:eastAsia="Calibri" w:cs="Helvetica-Light"/>
          <w:color w:val="000000" w:themeColor="text1"/>
        </w:rPr>
        <w:t xml:space="preserve"> in some parts of the </w:t>
      </w:r>
      <w:r w:rsidR="00A65418">
        <w:rPr>
          <w:rFonts w:eastAsia="Calibri" w:cs="Helvetica-Light"/>
          <w:color w:val="000000" w:themeColor="text1"/>
        </w:rPr>
        <w:t>c</w:t>
      </w:r>
      <w:r w:rsidR="00D72BD6" w:rsidRPr="00EF7E38">
        <w:rPr>
          <w:rFonts w:eastAsia="Calibri" w:cs="Helvetica-Light"/>
          <w:color w:val="000000" w:themeColor="text1"/>
        </w:rPr>
        <w:t>ountry. However</w:t>
      </w:r>
      <w:r w:rsidR="00D32B63" w:rsidRPr="00EF7E38">
        <w:rPr>
          <w:rFonts w:eastAsia="Calibri" w:cs="Helvetica-Light"/>
          <w:color w:val="000000" w:themeColor="text1"/>
        </w:rPr>
        <w:t>,</w:t>
      </w:r>
      <w:r w:rsidR="00D72BD6" w:rsidRPr="00EF7E38">
        <w:rPr>
          <w:rFonts w:eastAsia="Calibri" w:cs="Helvetica-Light"/>
          <w:color w:val="000000" w:themeColor="text1"/>
        </w:rPr>
        <w:t xml:space="preserve"> its budget is being set in uncertain times and contains </w:t>
      </w:r>
      <w:proofErr w:type="gramStart"/>
      <w:r w:rsidR="00D72BD6" w:rsidRPr="00EF7E38">
        <w:rPr>
          <w:rFonts w:eastAsia="Calibri" w:cs="Helvetica-Light"/>
          <w:color w:val="000000" w:themeColor="text1"/>
        </w:rPr>
        <w:t>a number of</w:t>
      </w:r>
      <w:proofErr w:type="gramEnd"/>
      <w:r w:rsidR="00D72BD6" w:rsidRPr="00EF7E38">
        <w:rPr>
          <w:rFonts w:eastAsia="Calibri" w:cs="Helvetica-Light"/>
          <w:color w:val="000000" w:themeColor="text1"/>
        </w:rPr>
        <w:t xml:space="preserve"> assumptions</w:t>
      </w:r>
      <w:r w:rsidR="00D32B63" w:rsidRPr="00EF7E38">
        <w:rPr>
          <w:rFonts w:eastAsia="Calibri" w:cs="Helvetica-Light"/>
          <w:color w:val="000000" w:themeColor="text1"/>
        </w:rPr>
        <w:t xml:space="preserve">. Inevitably assumptions </w:t>
      </w:r>
      <w:proofErr w:type="gramStart"/>
      <w:r w:rsidR="00D32B63" w:rsidRPr="00EF7E38">
        <w:rPr>
          <w:rFonts w:eastAsia="Calibri" w:cs="Helvetica-Light"/>
          <w:color w:val="000000" w:themeColor="text1"/>
        </w:rPr>
        <w:t>have to</w:t>
      </w:r>
      <w:proofErr w:type="gramEnd"/>
      <w:r w:rsidR="00D32B63" w:rsidRPr="00EF7E38">
        <w:rPr>
          <w:rFonts w:eastAsia="Calibri" w:cs="Helvetica-Light"/>
          <w:color w:val="000000" w:themeColor="text1"/>
        </w:rPr>
        <w:t xml:space="preserve"> be made with the best information available at any point in time. There are a number of areas where the actual position </w:t>
      </w:r>
      <w:r w:rsidR="00362B83" w:rsidRPr="00EF7E38">
        <w:rPr>
          <w:rFonts w:eastAsia="Calibri" w:cs="Helvetica-Light"/>
          <w:color w:val="000000" w:themeColor="text1"/>
        </w:rPr>
        <w:t xml:space="preserve">has </w:t>
      </w:r>
      <w:r w:rsidR="001F67DD">
        <w:rPr>
          <w:rFonts w:eastAsia="Calibri" w:cs="Helvetica-Light"/>
          <w:color w:val="000000" w:themeColor="text1"/>
        </w:rPr>
        <w:t xml:space="preserve">the </w:t>
      </w:r>
      <w:r w:rsidR="00362B83" w:rsidRPr="00EF7E38">
        <w:rPr>
          <w:rFonts w:eastAsia="Calibri" w:cs="Helvetica-Light"/>
          <w:color w:val="000000" w:themeColor="text1"/>
        </w:rPr>
        <w:t xml:space="preserve">potential to be different to the </w:t>
      </w:r>
      <w:r w:rsidR="00D32B63" w:rsidRPr="00EF7E38">
        <w:rPr>
          <w:rFonts w:eastAsia="Calibri" w:cs="Helvetica-Light"/>
          <w:color w:val="000000" w:themeColor="text1"/>
        </w:rPr>
        <w:t>assumptions contained in this budget report</w:t>
      </w:r>
      <w:r w:rsidR="00AA0B58">
        <w:rPr>
          <w:rFonts w:eastAsia="Calibri" w:cs="Helvetica-Light"/>
          <w:color w:val="000000" w:themeColor="text1"/>
        </w:rPr>
        <w:t xml:space="preserve"> and </w:t>
      </w:r>
      <w:proofErr w:type="gramStart"/>
      <w:r w:rsidR="00AA0B58">
        <w:rPr>
          <w:rFonts w:eastAsia="Calibri" w:cs="Helvetica-Light"/>
          <w:color w:val="000000" w:themeColor="text1"/>
        </w:rPr>
        <w:t>would</w:t>
      </w:r>
      <w:proofErr w:type="gramEnd"/>
      <w:r w:rsidR="00AA0B58">
        <w:rPr>
          <w:rFonts w:eastAsia="Calibri" w:cs="Helvetica-Light"/>
          <w:color w:val="000000" w:themeColor="text1"/>
        </w:rPr>
        <w:t xml:space="preserve"> potential to have a significant impact on budget plans. </w:t>
      </w:r>
    </w:p>
    <w:p w14:paraId="4792D149" w14:textId="77777777" w:rsidR="00362B83" w:rsidRDefault="00362B83" w:rsidP="00320643">
      <w:pPr>
        <w:autoSpaceDE w:val="0"/>
        <w:autoSpaceDN w:val="0"/>
        <w:adjustRightInd w:val="0"/>
        <w:jc w:val="both"/>
        <w:rPr>
          <w:rFonts w:eastAsia="Calibri" w:cs="Helvetica-Light"/>
          <w:color w:val="000000"/>
          <w:highlight w:val="yellow"/>
        </w:rPr>
      </w:pPr>
    </w:p>
    <w:p w14:paraId="609C9B59" w14:textId="2916A918" w:rsidR="00362B83" w:rsidRPr="00213143" w:rsidRDefault="004A7A82" w:rsidP="005838A0">
      <w:pPr>
        <w:pStyle w:val="ListParagraph"/>
        <w:numPr>
          <w:ilvl w:val="0"/>
          <w:numId w:val="7"/>
        </w:numPr>
        <w:autoSpaceDE w:val="0"/>
        <w:autoSpaceDN w:val="0"/>
        <w:adjustRightInd w:val="0"/>
        <w:jc w:val="both"/>
        <w:rPr>
          <w:rFonts w:eastAsia="Calibri" w:cs="Helvetica-Light"/>
          <w:color w:val="000000"/>
        </w:rPr>
      </w:pPr>
      <w:r w:rsidRPr="2165DDB2">
        <w:rPr>
          <w:rFonts w:eastAsia="Calibri" w:cs="Helvetica-Light"/>
          <w:color w:val="000000" w:themeColor="text1"/>
        </w:rPr>
        <w:t xml:space="preserve">Demand – the demand for </w:t>
      </w:r>
      <w:r w:rsidR="00136BBD">
        <w:rPr>
          <w:rFonts w:eastAsia="Calibri" w:cs="Helvetica-Light"/>
          <w:color w:val="000000" w:themeColor="text1"/>
        </w:rPr>
        <w:t>C</w:t>
      </w:r>
      <w:r w:rsidRPr="2165DDB2">
        <w:rPr>
          <w:rFonts w:eastAsia="Calibri" w:cs="Helvetica-Light"/>
          <w:color w:val="000000" w:themeColor="text1"/>
        </w:rPr>
        <w:t xml:space="preserve">ouncil services (especially care, SEND and </w:t>
      </w:r>
      <w:r w:rsidR="5E02DFEF" w:rsidRPr="2165DDB2">
        <w:rPr>
          <w:rFonts w:eastAsia="Calibri" w:cs="Helvetica-Light"/>
          <w:color w:val="000000" w:themeColor="text1"/>
        </w:rPr>
        <w:t>h</w:t>
      </w:r>
      <w:r w:rsidR="5E51A5ED" w:rsidRPr="2165DDB2">
        <w:rPr>
          <w:rFonts w:eastAsia="Calibri" w:cs="Helvetica-Light"/>
          <w:color w:val="000000" w:themeColor="text1"/>
        </w:rPr>
        <w:t>ome</w:t>
      </w:r>
      <w:r w:rsidRPr="2165DDB2">
        <w:rPr>
          <w:rFonts w:eastAsia="Calibri" w:cs="Helvetica-Light"/>
          <w:color w:val="000000" w:themeColor="text1"/>
        </w:rPr>
        <w:t xml:space="preserve"> to school transport) ha</w:t>
      </w:r>
      <w:r w:rsidR="00D70CDF">
        <w:rPr>
          <w:rFonts w:eastAsia="Calibri" w:cs="Helvetica-Light"/>
          <w:color w:val="000000" w:themeColor="text1"/>
        </w:rPr>
        <w:t>s</w:t>
      </w:r>
      <w:r w:rsidRPr="2165DDB2">
        <w:rPr>
          <w:rFonts w:eastAsia="Calibri" w:cs="Helvetica-Light"/>
          <w:color w:val="000000" w:themeColor="text1"/>
        </w:rPr>
        <w:t xml:space="preserve"> been unpredictable over the last few years post COVID and some </w:t>
      </w:r>
      <w:r w:rsidR="00447987">
        <w:rPr>
          <w:rFonts w:eastAsia="Calibri" w:cs="Helvetica-Light"/>
          <w:color w:val="000000" w:themeColor="text1"/>
        </w:rPr>
        <w:t>demand is</w:t>
      </w:r>
      <w:r w:rsidRPr="2165DDB2">
        <w:rPr>
          <w:rFonts w:eastAsia="Calibri" w:cs="Helvetica-Light"/>
          <w:color w:val="000000" w:themeColor="text1"/>
        </w:rPr>
        <w:t xml:space="preserve"> driven by market factors and policies over which the </w:t>
      </w:r>
      <w:r w:rsidR="00136BBD">
        <w:rPr>
          <w:rFonts w:eastAsia="Calibri" w:cs="Helvetica-Light"/>
          <w:color w:val="000000" w:themeColor="text1"/>
        </w:rPr>
        <w:t>C</w:t>
      </w:r>
      <w:r w:rsidRPr="2165DDB2">
        <w:rPr>
          <w:rFonts w:eastAsia="Calibri" w:cs="Helvetica-Light"/>
          <w:color w:val="000000" w:themeColor="text1"/>
        </w:rPr>
        <w:t>ouncil has limited influence.</w:t>
      </w:r>
    </w:p>
    <w:p w14:paraId="2F766D51" w14:textId="77777777" w:rsidR="00362B83" w:rsidRPr="00213143" w:rsidRDefault="00362B83" w:rsidP="00320643">
      <w:pPr>
        <w:autoSpaceDE w:val="0"/>
        <w:autoSpaceDN w:val="0"/>
        <w:adjustRightInd w:val="0"/>
        <w:jc w:val="both"/>
        <w:rPr>
          <w:rFonts w:eastAsia="Calibri" w:cs="Helvetica-Light"/>
          <w:color w:val="000000"/>
        </w:rPr>
      </w:pPr>
    </w:p>
    <w:p w14:paraId="66D989AC" w14:textId="70DA5132" w:rsidR="00362B83" w:rsidRPr="00213143" w:rsidRDefault="004A7A82" w:rsidP="005838A0">
      <w:pPr>
        <w:pStyle w:val="ListParagraph"/>
        <w:numPr>
          <w:ilvl w:val="0"/>
          <w:numId w:val="7"/>
        </w:numPr>
        <w:autoSpaceDE w:val="0"/>
        <w:autoSpaceDN w:val="0"/>
        <w:adjustRightInd w:val="0"/>
        <w:jc w:val="both"/>
        <w:rPr>
          <w:rFonts w:eastAsia="Calibri" w:cs="Helvetica-Light"/>
          <w:color w:val="000000"/>
        </w:rPr>
      </w:pPr>
      <w:r w:rsidRPr="00213143">
        <w:rPr>
          <w:rFonts w:eastAsia="Calibri" w:cs="Helvetica-Light"/>
          <w:color w:val="000000"/>
        </w:rPr>
        <w:t xml:space="preserve">Savings – The budget contains a large amount of savings to be delivered. Whilst the </w:t>
      </w:r>
      <w:r w:rsidR="00136BBD">
        <w:rPr>
          <w:rFonts w:eastAsia="Calibri" w:cs="Helvetica-Light"/>
          <w:color w:val="000000"/>
        </w:rPr>
        <w:t>C</w:t>
      </w:r>
      <w:r w:rsidRPr="00213143">
        <w:rPr>
          <w:rFonts w:eastAsia="Calibri" w:cs="Helvetica-Light"/>
          <w:color w:val="000000"/>
        </w:rPr>
        <w:t>ouncil has a strong record of delivery</w:t>
      </w:r>
      <w:r w:rsidR="00D10AFC">
        <w:rPr>
          <w:rFonts w:eastAsia="Calibri" w:cs="Helvetica-Light"/>
          <w:color w:val="000000"/>
        </w:rPr>
        <w:t>,</w:t>
      </w:r>
      <w:r w:rsidRPr="00213143">
        <w:rPr>
          <w:rFonts w:eastAsia="Calibri" w:cs="Helvetica-Light"/>
          <w:color w:val="000000"/>
        </w:rPr>
        <w:t xml:space="preserve"> the savings proposed become more difficult to deliver each year and in a lot of areas require council</w:t>
      </w:r>
      <w:r w:rsidR="00B42739" w:rsidRPr="00213143">
        <w:rPr>
          <w:rFonts w:eastAsia="Calibri" w:cs="Helvetica-Light"/>
          <w:color w:val="000000"/>
        </w:rPr>
        <w:t>-</w:t>
      </w:r>
      <w:r w:rsidRPr="00213143">
        <w:rPr>
          <w:rFonts w:eastAsia="Calibri" w:cs="Helvetica-Light"/>
          <w:color w:val="000000"/>
        </w:rPr>
        <w:t>wide and partnership working.</w:t>
      </w:r>
    </w:p>
    <w:p w14:paraId="4B74A922" w14:textId="4D92C042" w:rsidR="00B42739" w:rsidRPr="00213143" w:rsidRDefault="00B42739" w:rsidP="00320643">
      <w:pPr>
        <w:autoSpaceDE w:val="0"/>
        <w:autoSpaceDN w:val="0"/>
        <w:adjustRightInd w:val="0"/>
        <w:jc w:val="both"/>
        <w:rPr>
          <w:rFonts w:eastAsia="Calibri" w:cs="Helvetica-Light"/>
          <w:color w:val="000000"/>
        </w:rPr>
      </w:pPr>
    </w:p>
    <w:p w14:paraId="561B110D" w14:textId="278FF8B5" w:rsidR="00B42739" w:rsidRPr="00213143" w:rsidRDefault="004A7A82" w:rsidP="005838A0">
      <w:pPr>
        <w:pStyle w:val="ListParagraph"/>
        <w:numPr>
          <w:ilvl w:val="0"/>
          <w:numId w:val="7"/>
        </w:numPr>
        <w:autoSpaceDE w:val="0"/>
        <w:autoSpaceDN w:val="0"/>
        <w:adjustRightInd w:val="0"/>
        <w:jc w:val="both"/>
        <w:rPr>
          <w:rFonts w:eastAsia="Calibri" w:cs="Helvetica-Light"/>
          <w:color w:val="000000"/>
        </w:rPr>
      </w:pPr>
      <w:r>
        <w:rPr>
          <w:rFonts w:eastAsia="Calibri" w:cs="Helvetica-Light"/>
          <w:color w:val="000000"/>
        </w:rPr>
        <w:t xml:space="preserve">Inflation – the budget and </w:t>
      </w:r>
      <w:r w:rsidR="00F01E81">
        <w:rPr>
          <w:rFonts w:eastAsia="Calibri" w:cs="Helvetica-Light"/>
          <w:color w:val="000000"/>
        </w:rPr>
        <w:t>medium-term</w:t>
      </w:r>
      <w:r>
        <w:rPr>
          <w:rFonts w:eastAsia="Calibri" w:cs="Helvetica-Light"/>
          <w:color w:val="000000"/>
        </w:rPr>
        <w:t xml:space="preserve"> financial strategy includes </w:t>
      </w:r>
      <w:r w:rsidR="00B369AD">
        <w:rPr>
          <w:rFonts w:eastAsia="Calibri" w:cs="Helvetica-Light"/>
          <w:color w:val="000000"/>
        </w:rPr>
        <w:t xml:space="preserve">forecasts for levels of pay award and the retail price index (RPI) and consumer price index (CPI). These are based on benchmarking information and </w:t>
      </w:r>
      <w:r w:rsidR="00D52FEF">
        <w:rPr>
          <w:rFonts w:eastAsia="Calibri" w:cs="Helvetica-Light"/>
          <w:color w:val="000000"/>
        </w:rPr>
        <w:t xml:space="preserve">predicted levels provided by our professional partners. These could however fluctuate both higher and lower than our forecast and impact on the budget position. </w:t>
      </w:r>
    </w:p>
    <w:p w14:paraId="579FB92A" w14:textId="77777777" w:rsidR="00B42739" w:rsidRDefault="00B42739" w:rsidP="00320643">
      <w:pPr>
        <w:autoSpaceDE w:val="0"/>
        <w:autoSpaceDN w:val="0"/>
        <w:adjustRightInd w:val="0"/>
        <w:jc w:val="both"/>
        <w:rPr>
          <w:rFonts w:eastAsia="Calibri" w:cs="Helvetica-Light"/>
          <w:color w:val="000000"/>
          <w:highlight w:val="yellow"/>
        </w:rPr>
      </w:pPr>
    </w:p>
    <w:p w14:paraId="6FFA4B7E" w14:textId="308EF3E7" w:rsidR="00B42739" w:rsidRPr="00213143" w:rsidRDefault="004A7A82" w:rsidP="00DF6D2C">
      <w:pPr>
        <w:autoSpaceDE w:val="0"/>
        <w:autoSpaceDN w:val="0"/>
        <w:adjustRightInd w:val="0"/>
        <w:ind w:left="720" w:hanging="720"/>
        <w:jc w:val="both"/>
        <w:rPr>
          <w:rFonts w:eastAsia="Calibri" w:cs="Helvetica-Light"/>
          <w:color w:val="000000" w:themeColor="text1"/>
        </w:rPr>
      </w:pPr>
      <w:r>
        <w:rPr>
          <w:rFonts w:eastAsia="Calibri" w:cs="Helvetica-Light"/>
          <w:color w:val="000000" w:themeColor="text1"/>
        </w:rPr>
        <w:t>11.2</w:t>
      </w:r>
      <w:r>
        <w:rPr>
          <w:rFonts w:eastAsia="Calibri" w:cs="Helvetica-Light"/>
          <w:color w:val="000000" w:themeColor="text1"/>
        </w:rPr>
        <w:tab/>
      </w:r>
      <w:r w:rsidRPr="00213143">
        <w:rPr>
          <w:rFonts w:eastAsia="Calibri" w:cs="Helvetica-Light"/>
          <w:color w:val="000000" w:themeColor="text1"/>
        </w:rPr>
        <w:t xml:space="preserve">Given the </w:t>
      </w:r>
      <w:r w:rsidR="00691CA4" w:rsidRPr="00213143">
        <w:rPr>
          <w:rFonts w:eastAsia="Calibri" w:cs="Helvetica-Light"/>
          <w:color w:val="000000" w:themeColor="text1"/>
        </w:rPr>
        <w:t xml:space="preserve">potential uncertainty above and the </w:t>
      </w:r>
      <w:r w:rsidR="00136BBD">
        <w:rPr>
          <w:rFonts w:eastAsia="Calibri" w:cs="Helvetica-Light"/>
          <w:color w:val="000000" w:themeColor="text1"/>
        </w:rPr>
        <w:t>C</w:t>
      </w:r>
      <w:r w:rsidR="00EE7F4D" w:rsidRPr="00213143">
        <w:rPr>
          <w:rFonts w:eastAsia="Calibri" w:cs="Helvetica-Light"/>
          <w:color w:val="000000" w:themeColor="text1"/>
        </w:rPr>
        <w:t>ouncil</w:t>
      </w:r>
      <w:r w:rsidR="00FD7E51">
        <w:rPr>
          <w:rFonts w:eastAsia="Calibri" w:cs="Helvetica-Light"/>
          <w:color w:val="000000" w:themeColor="text1"/>
        </w:rPr>
        <w:t>'</w:t>
      </w:r>
      <w:r w:rsidR="00EE7F4D" w:rsidRPr="00213143">
        <w:rPr>
          <w:rFonts w:eastAsia="Calibri" w:cs="Helvetica-Light"/>
          <w:color w:val="000000" w:themeColor="text1"/>
        </w:rPr>
        <w:t xml:space="preserve">s aspiration to develop a sustainable and balanced budget moving forward </w:t>
      </w:r>
      <w:proofErr w:type="gramStart"/>
      <w:r w:rsidR="00EE7F4D" w:rsidRPr="00213143">
        <w:rPr>
          <w:rFonts w:eastAsia="Calibri" w:cs="Helvetica-Light"/>
          <w:color w:val="000000" w:themeColor="text1"/>
        </w:rPr>
        <w:t xml:space="preserve">a </w:t>
      </w:r>
      <w:r w:rsidR="7AAC5FF1" w:rsidRPr="00213143">
        <w:rPr>
          <w:rFonts w:eastAsia="Calibri" w:cs="Helvetica-Light"/>
          <w:color w:val="000000" w:themeColor="text1"/>
        </w:rPr>
        <w:t>number of</w:t>
      </w:r>
      <w:proofErr w:type="gramEnd"/>
      <w:r w:rsidR="7AAC5FF1" w:rsidRPr="00213143">
        <w:rPr>
          <w:rFonts w:eastAsia="Calibri" w:cs="Helvetica-Light"/>
          <w:color w:val="000000" w:themeColor="text1"/>
        </w:rPr>
        <w:t xml:space="preserve"> areas are being reviewed at present:</w:t>
      </w:r>
    </w:p>
    <w:p w14:paraId="76B9A802" w14:textId="73E6E74B" w:rsidR="00B42739" w:rsidRPr="00213143" w:rsidRDefault="00B42739" w:rsidP="257FB2B9">
      <w:pPr>
        <w:autoSpaceDE w:val="0"/>
        <w:autoSpaceDN w:val="0"/>
        <w:adjustRightInd w:val="0"/>
        <w:jc w:val="both"/>
        <w:rPr>
          <w:rFonts w:eastAsia="Calibri" w:cs="Helvetica-Light"/>
          <w:b/>
          <w:bCs/>
          <w:color w:val="000000" w:themeColor="text1"/>
        </w:rPr>
      </w:pPr>
    </w:p>
    <w:p w14:paraId="2EE14EA8" w14:textId="4C30DD34" w:rsidR="00277388" w:rsidRPr="00213143" w:rsidRDefault="004A7A82" w:rsidP="005838A0">
      <w:pPr>
        <w:pStyle w:val="ListParagraph"/>
        <w:numPr>
          <w:ilvl w:val="0"/>
          <w:numId w:val="8"/>
        </w:numPr>
        <w:autoSpaceDE w:val="0"/>
        <w:autoSpaceDN w:val="0"/>
        <w:adjustRightInd w:val="0"/>
        <w:jc w:val="both"/>
        <w:rPr>
          <w:rFonts w:eastAsia="Calibri" w:cs="Helvetica-Light"/>
          <w:color w:val="000000" w:themeColor="text1"/>
        </w:rPr>
      </w:pPr>
      <w:r w:rsidRPr="00213143">
        <w:rPr>
          <w:rFonts w:eastAsia="Calibri" w:cs="Helvetica-Light"/>
          <w:b/>
          <w:bCs/>
          <w:color w:val="000000" w:themeColor="text1"/>
        </w:rPr>
        <w:t>Commissioning review</w:t>
      </w:r>
      <w:r w:rsidRPr="00213143">
        <w:rPr>
          <w:rFonts w:eastAsia="Calibri" w:cs="Helvetica-Light"/>
          <w:color w:val="000000" w:themeColor="text1"/>
        </w:rPr>
        <w:t xml:space="preserve"> </w:t>
      </w:r>
      <w:r w:rsidR="00213143" w:rsidRPr="00213143">
        <w:rPr>
          <w:rFonts w:eastAsia="Calibri" w:cs="Helvetica-Light"/>
          <w:color w:val="000000" w:themeColor="text1"/>
        </w:rPr>
        <w:t>- all</w:t>
      </w:r>
      <w:r w:rsidR="1F312176" w:rsidRPr="00213143">
        <w:rPr>
          <w:rFonts w:eastAsia="Calibri" w:cs="Helvetica-Light"/>
          <w:color w:val="000000" w:themeColor="text1"/>
        </w:rPr>
        <w:t xml:space="preserve"> contracts over £1m that are let by the </w:t>
      </w:r>
      <w:r w:rsidR="00136BBD">
        <w:rPr>
          <w:rFonts w:eastAsia="Calibri" w:cs="Helvetica-Light"/>
          <w:color w:val="000000" w:themeColor="text1"/>
        </w:rPr>
        <w:t>C</w:t>
      </w:r>
      <w:r w:rsidR="1F312176" w:rsidRPr="00213143">
        <w:rPr>
          <w:rFonts w:eastAsia="Calibri" w:cs="Helvetica-Light"/>
          <w:color w:val="000000" w:themeColor="text1"/>
        </w:rPr>
        <w:t xml:space="preserve">ouncil will be reviewed prior to procurement. Work will also be undertaken with suppliers </w:t>
      </w:r>
      <w:r w:rsidR="3F00DE50" w:rsidRPr="00213143">
        <w:rPr>
          <w:rFonts w:eastAsia="Calibri" w:cs="Helvetica-Light"/>
          <w:color w:val="000000" w:themeColor="text1"/>
        </w:rPr>
        <w:t xml:space="preserve">and providers to help shape the markets going forward that the </w:t>
      </w:r>
      <w:r w:rsidR="00136BBD">
        <w:rPr>
          <w:rFonts w:eastAsia="Calibri" w:cs="Helvetica-Light"/>
          <w:color w:val="000000" w:themeColor="text1"/>
        </w:rPr>
        <w:t>C</w:t>
      </w:r>
      <w:r w:rsidR="3F00DE50" w:rsidRPr="00213143">
        <w:rPr>
          <w:rFonts w:eastAsia="Calibri" w:cs="Helvetica-Light"/>
          <w:color w:val="000000" w:themeColor="text1"/>
        </w:rPr>
        <w:t>ouncil would wish to commission future services from.</w:t>
      </w:r>
    </w:p>
    <w:p w14:paraId="3F8E84A7" w14:textId="291746B0" w:rsidR="07E75497" w:rsidRPr="00213143" w:rsidRDefault="07E75497" w:rsidP="542AAE6C">
      <w:pPr>
        <w:autoSpaceDE w:val="0"/>
        <w:autoSpaceDN w:val="0"/>
        <w:adjustRightInd w:val="0"/>
        <w:jc w:val="both"/>
        <w:rPr>
          <w:rFonts w:eastAsia="Calibri" w:cs="Helvetica-Light"/>
          <w:color w:val="000000" w:themeColor="text1"/>
        </w:rPr>
      </w:pPr>
    </w:p>
    <w:p w14:paraId="60DB6B07" w14:textId="4E66149F" w:rsidR="1D790975" w:rsidRPr="00B958AD" w:rsidRDefault="004A7A82" w:rsidP="005838A0">
      <w:pPr>
        <w:pStyle w:val="ListParagraph"/>
        <w:numPr>
          <w:ilvl w:val="0"/>
          <w:numId w:val="8"/>
        </w:numPr>
        <w:autoSpaceDE w:val="0"/>
        <w:autoSpaceDN w:val="0"/>
        <w:adjustRightInd w:val="0"/>
        <w:jc w:val="both"/>
        <w:rPr>
          <w:rFonts w:eastAsia="Calibri" w:cs="Helvetica-Light"/>
          <w:b/>
          <w:color w:val="000000" w:themeColor="text1"/>
        </w:rPr>
      </w:pPr>
      <w:r w:rsidRPr="00B958AD">
        <w:rPr>
          <w:rFonts w:eastAsia="Calibri" w:cs="Helvetica-Light"/>
          <w:b/>
          <w:bCs/>
          <w:color w:val="000000" w:themeColor="text1"/>
        </w:rPr>
        <w:t>Demand Management</w:t>
      </w:r>
      <w:r w:rsidR="2085C0E7" w:rsidRPr="00B958AD">
        <w:rPr>
          <w:rFonts w:eastAsia="Calibri" w:cs="Helvetica-Light"/>
          <w:b/>
          <w:bCs/>
          <w:color w:val="000000" w:themeColor="text1"/>
        </w:rPr>
        <w:t xml:space="preserve"> </w:t>
      </w:r>
      <w:r w:rsidR="00B958AD" w:rsidRPr="00B958AD">
        <w:rPr>
          <w:rFonts w:eastAsia="Calibri" w:cs="Helvetica-Light"/>
          <w:color w:val="000000" w:themeColor="text1"/>
        </w:rPr>
        <w:t>-</w:t>
      </w:r>
      <w:r w:rsidR="00B958AD">
        <w:rPr>
          <w:rFonts w:eastAsia="Calibri" w:cs="Helvetica-Light"/>
          <w:b/>
          <w:bCs/>
          <w:color w:val="000000" w:themeColor="text1"/>
        </w:rPr>
        <w:t xml:space="preserve"> </w:t>
      </w:r>
      <w:r w:rsidR="2085C0E7" w:rsidRPr="00B958AD">
        <w:rPr>
          <w:rFonts w:eastAsia="Calibri" w:cs="Helvetica-Light"/>
          <w:color w:val="000000" w:themeColor="text1"/>
        </w:rPr>
        <w:t xml:space="preserve">The </w:t>
      </w:r>
      <w:r w:rsidR="00136BBD">
        <w:rPr>
          <w:rFonts w:eastAsia="Calibri" w:cs="Helvetica-Light"/>
          <w:color w:val="000000" w:themeColor="text1"/>
        </w:rPr>
        <w:t>C</w:t>
      </w:r>
      <w:r w:rsidR="2085C0E7" w:rsidRPr="00B958AD">
        <w:rPr>
          <w:rFonts w:eastAsia="Calibri" w:cs="Helvetica-Light"/>
          <w:color w:val="000000" w:themeColor="text1"/>
        </w:rPr>
        <w:t xml:space="preserve">ouncil is looking at areas where it can provide services differently and support individuals to develop </w:t>
      </w:r>
      <w:r w:rsidR="00B958AD" w:rsidRPr="00B958AD">
        <w:rPr>
          <w:rFonts w:eastAsia="Calibri" w:cs="Helvetica-Light"/>
          <w:color w:val="000000" w:themeColor="text1"/>
        </w:rPr>
        <w:t>independence</w:t>
      </w:r>
      <w:r w:rsidR="2085C0E7" w:rsidRPr="00B958AD">
        <w:rPr>
          <w:rFonts w:eastAsia="Calibri" w:cs="Helvetica-Light"/>
          <w:color w:val="000000" w:themeColor="text1"/>
        </w:rPr>
        <w:t xml:space="preserve"> or to provide services in a different manner that red</w:t>
      </w:r>
      <w:r w:rsidR="69996CAD" w:rsidRPr="00B958AD">
        <w:rPr>
          <w:rFonts w:eastAsia="Calibri" w:cs="Helvetica-Light"/>
          <w:color w:val="000000" w:themeColor="text1"/>
        </w:rPr>
        <w:t>uces</w:t>
      </w:r>
      <w:r w:rsidR="2085C0E7" w:rsidRPr="00B958AD">
        <w:rPr>
          <w:rFonts w:eastAsia="Calibri" w:cs="Helvetica-Light"/>
          <w:color w:val="000000" w:themeColor="text1"/>
        </w:rPr>
        <w:t xml:space="preserve"> the need for calls on </w:t>
      </w:r>
      <w:r w:rsidR="00136BBD">
        <w:rPr>
          <w:rFonts w:eastAsia="Calibri" w:cs="Helvetica-Light"/>
          <w:color w:val="000000" w:themeColor="text1"/>
        </w:rPr>
        <w:t>C</w:t>
      </w:r>
      <w:r w:rsidR="2085C0E7" w:rsidRPr="00B958AD">
        <w:rPr>
          <w:rFonts w:eastAsia="Calibri" w:cs="Helvetica-Light"/>
          <w:color w:val="000000" w:themeColor="text1"/>
        </w:rPr>
        <w:t>ouncil services.</w:t>
      </w:r>
    </w:p>
    <w:p w14:paraId="7080EA42" w14:textId="1C591DB4" w:rsidR="07E75497" w:rsidRPr="00213143" w:rsidRDefault="07E75497" w:rsidP="4B26E261">
      <w:pPr>
        <w:autoSpaceDE w:val="0"/>
        <w:autoSpaceDN w:val="0"/>
        <w:adjustRightInd w:val="0"/>
        <w:jc w:val="both"/>
        <w:rPr>
          <w:rFonts w:eastAsia="Calibri" w:cs="Helvetica-Light"/>
          <w:b/>
          <w:color w:val="000000" w:themeColor="text1"/>
        </w:rPr>
      </w:pPr>
    </w:p>
    <w:p w14:paraId="4B80BCAF" w14:textId="45734504" w:rsidR="00B42739" w:rsidRPr="00213143" w:rsidRDefault="004A7A82" w:rsidP="005838A0">
      <w:pPr>
        <w:pStyle w:val="ListParagraph"/>
        <w:numPr>
          <w:ilvl w:val="0"/>
          <w:numId w:val="8"/>
        </w:numPr>
        <w:autoSpaceDE w:val="0"/>
        <w:autoSpaceDN w:val="0"/>
        <w:adjustRightInd w:val="0"/>
        <w:jc w:val="both"/>
        <w:rPr>
          <w:rFonts w:eastAsia="Calibri" w:cs="Helvetica-Light"/>
          <w:color w:val="000000" w:themeColor="text1"/>
        </w:rPr>
      </w:pPr>
      <w:r w:rsidRPr="00213143">
        <w:rPr>
          <w:rFonts w:eastAsia="Calibri" w:cs="Helvetica-Light"/>
          <w:b/>
          <w:color w:val="000000" w:themeColor="text1"/>
        </w:rPr>
        <w:t>Devolution/</w:t>
      </w:r>
      <w:r w:rsidRPr="00213143">
        <w:rPr>
          <w:rFonts w:eastAsia="Calibri" w:cs="Helvetica-Light"/>
          <w:b/>
          <w:bCs/>
          <w:color w:val="000000" w:themeColor="text1"/>
        </w:rPr>
        <w:t>working</w:t>
      </w:r>
      <w:r w:rsidRPr="00213143">
        <w:rPr>
          <w:rFonts w:eastAsia="Calibri" w:cs="Helvetica-Light"/>
          <w:b/>
          <w:color w:val="000000" w:themeColor="text1"/>
        </w:rPr>
        <w:t xml:space="preserve"> with partners</w:t>
      </w:r>
      <w:r w:rsidRPr="00213143">
        <w:rPr>
          <w:rFonts w:eastAsia="Calibri" w:cs="Helvetica-Light"/>
          <w:color w:val="000000" w:themeColor="text1"/>
        </w:rPr>
        <w:t xml:space="preserve"> – work will be undertaken to develop the ex</w:t>
      </w:r>
      <w:r w:rsidR="00213143">
        <w:rPr>
          <w:rFonts w:eastAsia="Calibri" w:cs="Helvetica-Light"/>
          <w:color w:val="000000" w:themeColor="text1"/>
        </w:rPr>
        <w:t>p</w:t>
      </w:r>
      <w:r w:rsidRPr="00213143">
        <w:rPr>
          <w:rFonts w:eastAsia="Calibri" w:cs="Helvetica-Light"/>
          <w:color w:val="000000" w:themeColor="text1"/>
        </w:rPr>
        <w:t>ected benefits of devolution and work will be undertaken to identify areas where closer work could be undertaken with partner organisations.</w:t>
      </w:r>
    </w:p>
    <w:p w14:paraId="3BFF5413" w14:textId="23CA537A" w:rsidR="2165DDB2" w:rsidRDefault="2165DDB2" w:rsidP="2165DDB2">
      <w:pPr>
        <w:jc w:val="both"/>
        <w:rPr>
          <w:rFonts w:eastAsia="Calibri" w:cs="Helvetica-Light"/>
          <w:color w:val="000000" w:themeColor="text1"/>
        </w:rPr>
      </w:pPr>
    </w:p>
    <w:p w14:paraId="22C46E40" w14:textId="70E51CF0" w:rsidR="12A81E88" w:rsidRDefault="004A7A82" w:rsidP="005838A0">
      <w:pPr>
        <w:pStyle w:val="ListParagraph"/>
        <w:numPr>
          <w:ilvl w:val="0"/>
          <w:numId w:val="8"/>
        </w:numPr>
        <w:jc w:val="both"/>
        <w:rPr>
          <w:rFonts w:eastAsia="Calibri" w:cs="Helvetica-Light"/>
          <w:color w:val="000000" w:themeColor="text1"/>
        </w:rPr>
      </w:pPr>
      <w:r w:rsidRPr="2165DDB2">
        <w:rPr>
          <w:rFonts w:eastAsia="Calibri" w:cs="Helvetica-Light"/>
          <w:b/>
          <w:bCs/>
          <w:color w:val="000000" w:themeColor="text1"/>
        </w:rPr>
        <w:t>Invest to Save</w:t>
      </w:r>
      <w:r w:rsidRPr="2165DDB2">
        <w:rPr>
          <w:rFonts w:eastAsia="Calibri" w:cs="Helvetica-Light"/>
          <w:color w:val="000000" w:themeColor="text1"/>
        </w:rPr>
        <w:t xml:space="preserve"> – the </w:t>
      </w:r>
      <w:r w:rsidR="00136BBD">
        <w:rPr>
          <w:rFonts w:eastAsia="Calibri" w:cs="Helvetica-Light"/>
          <w:color w:val="000000" w:themeColor="text1"/>
        </w:rPr>
        <w:t>C</w:t>
      </w:r>
      <w:r w:rsidRPr="2165DDB2">
        <w:rPr>
          <w:rFonts w:eastAsia="Calibri" w:cs="Helvetica-Light"/>
          <w:color w:val="000000" w:themeColor="text1"/>
        </w:rPr>
        <w:t>ouncil will be looking at areas where it can invest to drive out further efficiencies</w:t>
      </w:r>
      <w:r w:rsidR="000764D1">
        <w:rPr>
          <w:rFonts w:eastAsia="Calibri" w:cs="Helvetica-Light"/>
          <w:color w:val="000000" w:themeColor="text1"/>
        </w:rPr>
        <w:t>.</w:t>
      </w:r>
    </w:p>
    <w:p w14:paraId="69D9FFB8" w14:textId="5BA82F98" w:rsidR="4B26E261" w:rsidRPr="00213143" w:rsidRDefault="4B26E261" w:rsidP="4B26E261">
      <w:pPr>
        <w:jc w:val="both"/>
        <w:rPr>
          <w:rFonts w:eastAsia="Calibri" w:cs="Helvetica-Light"/>
          <w:color w:val="000000" w:themeColor="text1"/>
        </w:rPr>
      </w:pPr>
    </w:p>
    <w:p w14:paraId="0951EDCF" w14:textId="480E90FF" w:rsidR="00B42739" w:rsidRPr="00213143" w:rsidRDefault="004A7A82" w:rsidP="00DF6D2C">
      <w:pPr>
        <w:autoSpaceDE w:val="0"/>
        <w:autoSpaceDN w:val="0"/>
        <w:adjustRightInd w:val="0"/>
        <w:ind w:left="720" w:hanging="720"/>
        <w:jc w:val="both"/>
        <w:rPr>
          <w:rFonts w:eastAsia="Calibri" w:cs="Helvetica-Light"/>
          <w:color w:val="000000"/>
        </w:rPr>
      </w:pPr>
      <w:r>
        <w:rPr>
          <w:rFonts w:eastAsia="Calibri" w:cs="Helvetica-Light"/>
          <w:color w:val="000000" w:themeColor="text1"/>
        </w:rPr>
        <w:t>11.3</w:t>
      </w:r>
      <w:r>
        <w:rPr>
          <w:rFonts w:eastAsia="Calibri" w:cs="Helvetica-Light"/>
          <w:color w:val="000000" w:themeColor="text1"/>
        </w:rPr>
        <w:tab/>
      </w:r>
      <w:r w:rsidR="09360EAD" w:rsidRPr="00213143">
        <w:rPr>
          <w:rFonts w:eastAsia="Calibri" w:cs="Helvetica-Light"/>
          <w:color w:val="000000" w:themeColor="text1"/>
        </w:rPr>
        <w:t>In addition</w:t>
      </w:r>
      <w:r w:rsidR="00B958AD">
        <w:rPr>
          <w:rFonts w:eastAsia="Calibri" w:cs="Helvetica-Light"/>
          <w:color w:val="000000" w:themeColor="text1"/>
        </w:rPr>
        <w:t>,</w:t>
      </w:r>
      <w:r w:rsidR="09360EAD" w:rsidRPr="00213143">
        <w:rPr>
          <w:rFonts w:eastAsia="Calibri" w:cs="Helvetica-Light"/>
          <w:color w:val="000000" w:themeColor="text1"/>
        </w:rPr>
        <w:t xml:space="preserve"> a</w:t>
      </w:r>
      <w:r w:rsidR="7AAC5FF1" w:rsidRPr="00213143">
        <w:rPr>
          <w:rFonts w:eastAsia="Calibri" w:cs="Helvetica-Light"/>
          <w:color w:val="000000" w:themeColor="text1"/>
        </w:rPr>
        <w:t xml:space="preserve"> </w:t>
      </w:r>
      <w:r w:rsidR="33B09D47" w:rsidRPr="00213143">
        <w:rPr>
          <w:rFonts w:eastAsia="Calibri" w:cs="Helvetica-Light"/>
          <w:color w:val="000000" w:themeColor="text1"/>
        </w:rPr>
        <w:t xml:space="preserve">series of </w:t>
      </w:r>
      <w:r w:rsidR="00EE7F4D" w:rsidRPr="00213143">
        <w:rPr>
          <w:rFonts w:eastAsia="Calibri" w:cs="Helvetica-Light"/>
          <w:color w:val="000000" w:themeColor="text1"/>
        </w:rPr>
        <w:t xml:space="preserve">service challenge </w:t>
      </w:r>
      <w:r w:rsidR="0056766D" w:rsidRPr="00213143">
        <w:rPr>
          <w:rFonts w:eastAsia="Calibri" w:cs="Helvetica-Light"/>
          <w:color w:val="000000" w:themeColor="text1"/>
        </w:rPr>
        <w:t>events will be carried out during the 2024/25 financial year to identify further savings and efficiencies that could be brought forward during 2024/25 and 2025/26 focussing on the following themes:</w:t>
      </w:r>
    </w:p>
    <w:p w14:paraId="171806CA" w14:textId="77777777" w:rsidR="0056766D" w:rsidRPr="00213143" w:rsidRDefault="0056766D" w:rsidP="00320643">
      <w:pPr>
        <w:autoSpaceDE w:val="0"/>
        <w:autoSpaceDN w:val="0"/>
        <w:adjustRightInd w:val="0"/>
        <w:jc w:val="both"/>
        <w:rPr>
          <w:rFonts w:eastAsia="Calibri" w:cs="Helvetica-Light"/>
          <w:color w:val="000000"/>
        </w:rPr>
      </w:pPr>
    </w:p>
    <w:p w14:paraId="32FE766E" w14:textId="1B5F9456" w:rsidR="0056766D" w:rsidRPr="00213143" w:rsidRDefault="004A7A82" w:rsidP="005838A0">
      <w:pPr>
        <w:pStyle w:val="ListParagraph"/>
        <w:numPr>
          <w:ilvl w:val="0"/>
          <w:numId w:val="6"/>
        </w:numPr>
        <w:autoSpaceDE w:val="0"/>
        <w:autoSpaceDN w:val="0"/>
        <w:adjustRightInd w:val="0"/>
        <w:jc w:val="both"/>
        <w:rPr>
          <w:rFonts w:eastAsia="Calibri" w:cs="Helvetica-Light"/>
          <w:color w:val="000000"/>
        </w:rPr>
      </w:pPr>
      <w:r w:rsidRPr="00213143">
        <w:rPr>
          <w:rFonts w:eastAsia="Calibri" w:cs="Helvetica-Light"/>
          <w:color w:val="000000"/>
        </w:rPr>
        <w:t xml:space="preserve">Identifying best practice across the </w:t>
      </w:r>
      <w:r w:rsidR="006A69B5">
        <w:rPr>
          <w:rFonts w:eastAsia="Calibri" w:cs="Helvetica-Light"/>
          <w:color w:val="000000"/>
        </w:rPr>
        <w:t>c</w:t>
      </w:r>
      <w:r w:rsidRPr="00213143">
        <w:rPr>
          <w:rFonts w:eastAsia="Calibri" w:cs="Helvetica-Light"/>
          <w:color w:val="000000"/>
        </w:rPr>
        <w:t>ountry</w:t>
      </w:r>
      <w:r w:rsidR="006A69B5">
        <w:rPr>
          <w:rFonts w:eastAsia="Calibri" w:cs="Helvetica-Light"/>
          <w:color w:val="000000"/>
        </w:rPr>
        <w:t>.</w:t>
      </w:r>
    </w:p>
    <w:p w14:paraId="3ADB7D1D" w14:textId="6F941906" w:rsidR="0056766D" w:rsidRPr="00213143" w:rsidRDefault="004A7A82" w:rsidP="005838A0">
      <w:pPr>
        <w:pStyle w:val="ListParagraph"/>
        <w:numPr>
          <w:ilvl w:val="0"/>
          <w:numId w:val="6"/>
        </w:numPr>
        <w:autoSpaceDE w:val="0"/>
        <w:autoSpaceDN w:val="0"/>
        <w:adjustRightInd w:val="0"/>
        <w:jc w:val="both"/>
        <w:rPr>
          <w:rFonts w:eastAsia="Calibri" w:cs="Helvetica-Light"/>
          <w:color w:val="000000"/>
        </w:rPr>
      </w:pPr>
      <w:r w:rsidRPr="00213143">
        <w:rPr>
          <w:rFonts w:eastAsia="Calibri" w:cs="Helvetica-Light"/>
          <w:color w:val="000000" w:themeColor="text1"/>
        </w:rPr>
        <w:t xml:space="preserve">Comparing </w:t>
      </w:r>
      <w:r w:rsidR="00852374" w:rsidRPr="00213143">
        <w:rPr>
          <w:rFonts w:eastAsia="Calibri" w:cs="Helvetica-Light"/>
          <w:color w:val="000000" w:themeColor="text1"/>
        </w:rPr>
        <w:t xml:space="preserve">unit cost levels to other </w:t>
      </w:r>
      <w:r w:rsidR="006A69B5">
        <w:rPr>
          <w:rFonts w:eastAsia="Calibri" w:cs="Helvetica-Light"/>
          <w:color w:val="000000" w:themeColor="text1"/>
        </w:rPr>
        <w:t>c</w:t>
      </w:r>
      <w:r w:rsidR="00852374" w:rsidRPr="00213143">
        <w:rPr>
          <w:rFonts w:eastAsia="Calibri" w:cs="Helvetica-Light"/>
          <w:color w:val="000000" w:themeColor="text1"/>
        </w:rPr>
        <w:t>ouncils</w:t>
      </w:r>
      <w:r w:rsidR="6C4EA7D4" w:rsidRPr="00213143">
        <w:rPr>
          <w:rFonts w:eastAsia="Calibri" w:cs="Helvetica-Light"/>
          <w:color w:val="000000" w:themeColor="text1"/>
        </w:rPr>
        <w:t xml:space="preserve"> to achieve better</w:t>
      </w:r>
      <w:r w:rsidR="00C6731B">
        <w:rPr>
          <w:rFonts w:eastAsia="Calibri" w:cs="Helvetica-Light"/>
          <w:color w:val="000000" w:themeColor="text1"/>
        </w:rPr>
        <w:t>, or the same,</w:t>
      </w:r>
      <w:r w:rsidR="6C4EA7D4" w:rsidRPr="00213143">
        <w:rPr>
          <w:rFonts w:eastAsia="Calibri" w:cs="Helvetica-Light"/>
          <w:color w:val="000000" w:themeColor="text1"/>
        </w:rPr>
        <w:t xml:space="preserve"> outcomes at </w:t>
      </w:r>
      <w:r w:rsidR="00C6731B">
        <w:rPr>
          <w:rFonts w:eastAsia="Calibri" w:cs="Helvetica-Light"/>
          <w:color w:val="000000" w:themeColor="text1"/>
        </w:rPr>
        <w:t>a lower</w:t>
      </w:r>
      <w:r w:rsidR="6C4EA7D4" w:rsidRPr="00213143">
        <w:rPr>
          <w:rFonts w:eastAsia="Calibri" w:cs="Helvetica-Light"/>
          <w:color w:val="000000" w:themeColor="text1"/>
        </w:rPr>
        <w:t xml:space="preserve"> cost</w:t>
      </w:r>
      <w:r w:rsidR="006A69B5">
        <w:rPr>
          <w:rFonts w:eastAsia="Calibri" w:cs="Helvetica-Light"/>
          <w:color w:val="000000" w:themeColor="text1"/>
        </w:rPr>
        <w:t>.</w:t>
      </w:r>
    </w:p>
    <w:p w14:paraId="60344799" w14:textId="3064B1F6" w:rsidR="00852374" w:rsidRPr="00213143" w:rsidRDefault="004A7A82" w:rsidP="005838A0">
      <w:pPr>
        <w:pStyle w:val="ListParagraph"/>
        <w:numPr>
          <w:ilvl w:val="0"/>
          <w:numId w:val="6"/>
        </w:numPr>
        <w:autoSpaceDE w:val="0"/>
        <w:autoSpaceDN w:val="0"/>
        <w:adjustRightInd w:val="0"/>
        <w:jc w:val="both"/>
        <w:rPr>
          <w:rFonts w:eastAsia="Calibri" w:cs="Helvetica-Light"/>
          <w:color w:val="000000"/>
        </w:rPr>
      </w:pPr>
      <w:r w:rsidRPr="00213143">
        <w:rPr>
          <w:rFonts w:eastAsia="Calibri" w:cs="Helvetica-Light"/>
          <w:color w:val="000000"/>
        </w:rPr>
        <w:t>Ensuring full cost recovery</w:t>
      </w:r>
      <w:r w:rsidR="00A003BF">
        <w:rPr>
          <w:rFonts w:eastAsia="Calibri" w:cs="Helvetica-Light"/>
          <w:color w:val="000000"/>
        </w:rPr>
        <w:t xml:space="preserve"> for those services that generate external income</w:t>
      </w:r>
      <w:r w:rsidR="006A69B5">
        <w:rPr>
          <w:rFonts w:eastAsia="Calibri" w:cs="Helvetica-Light"/>
          <w:color w:val="000000"/>
        </w:rPr>
        <w:t>.</w:t>
      </w:r>
    </w:p>
    <w:p w14:paraId="04B9159F" w14:textId="6BCF207C" w:rsidR="00852374" w:rsidRPr="00213143" w:rsidRDefault="004A7A82" w:rsidP="005838A0">
      <w:pPr>
        <w:pStyle w:val="ListParagraph"/>
        <w:numPr>
          <w:ilvl w:val="0"/>
          <w:numId w:val="6"/>
        </w:numPr>
        <w:autoSpaceDE w:val="0"/>
        <w:autoSpaceDN w:val="0"/>
        <w:adjustRightInd w:val="0"/>
        <w:jc w:val="both"/>
        <w:rPr>
          <w:rFonts w:eastAsia="Calibri" w:cs="Helvetica-Light"/>
          <w:color w:val="000000"/>
        </w:rPr>
      </w:pPr>
      <w:r w:rsidRPr="00213143">
        <w:rPr>
          <w:rFonts w:eastAsia="Calibri" w:cs="Helvetica-Light"/>
          <w:color w:val="000000"/>
        </w:rPr>
        <w:t xml:space="preserve">Reviewing </w:t>
      </w:r>
      <w:r w:rsidR="006A69B5">
        <w:rPr>
          <w:rFonts w:eastAsia="Calibri" w:cs="Helvetica-Light"/>
          <w:color w:val="000000"/>
        </w:rPr>
        <w:t>s</w:t>
      </w:r>
      <w:r w:rsidRPr="00213143">
        <w:rPr>
          <w:rFonts w:eastAsia="Calibri" w:cs="Helvetica-Light"/>
          <w:color w:val="000000"/>
        </w:rPr>
        <w:t xml:space="preserve">ervice standards across the </w:t>
      </w:r>
      <w:r w:rsidR="006A69B5">
        <w:rPr>
          <w:rFonts w:eastAsia="Calibri" w:cs="Helvetica-Light"/>
          <w:color w:val="000000"/>
        </w:rPr>
        <w:t>county.</w:t>
      </w:r>
    </w:p>
    <w:p w14:paraId="61CD7763" w14:textId="041E188E" w:rsidR="00960787" w:rsidRPr="00213143" w:rsidRDefault="004A7A82" w:rsidP="005838A0">
      <w:pPr>
        <w:pStyle w:val="ListParagraph"/>
        <w:numPr>
          <w:ilvl w:val="0"/>
          <w:numId w:val="6"/>
        </w:numPr>
        <w:autoSpaceDE w:val="0"/>
        <w:autoSpaceDN w:val="0"/>
        <w:adjustRightInd w:val="0"/>
        <w:jc w:val="both"/>
        <w:rPr>
          <w:rFonts w:eastAsia="Calibri" w:cs="Helvetica-Light"/>
          <w:color w:val="000000"/>
        </w:rPr>
      </w:pPr>
      <w:r w:rsidRPr="00213143">
        <w:rPr>
          <w:rFonts w:eastAsia="Calibri" w:cs="Helvetica-Light"/>
          <w:color w:val="000000" w:themeColor="text1"/>
        </w:rPr>
        <w:t>Ut</w:t>
      </w:r>
      <w:r w:rsidR="00FF44B6" w:rsidRPr="00213143">
        <w:rPr>
          <w:rFonts w:eastAsia="Calibri" w:cs="Helvetica-Light"/>
          <w:color w:val="000000" w:themeColor="text1"/>
        </w:rPr>
        <w:t>i</w:t>
      </w:r>
      <w:r w:rsidRPr="00213143">
        <w:rPr>
          <w:rFonts w:eastAsia="Calibri" w:cs="Helvetica-Light"/>
          <w:color w:val="000000" w:themeColor="text1"/>
        </w:rPr>
        <w:t xml:space="preserve">lising technology to be more </w:t>
      </w:r>
      <w:r w:rsidR="00B958AD" w:rsidRPr="00213143">
        <w:rPr>
          <w:rFonts w:eastAsia="Calibri" w:cs="Helvetica-Light"/>
          <w:color w:val="000000" w:themeColor="text1"/>
        </w:rPr>
        <w:t>efficient,</w:t>
      </w:r>
      <w:r w:rsidR="6DA1C16E" w:rsidRPr="00213143">
        <w:rPr>
          <w:rFonts w:eastAsia="Calibri" w:cs="Helvetica-Light"/>
          <w:color w:val="000000" w:themeColor="text1"/>
        </w:rPr>
        <w:t xml:space="preserve"> increase productivity,</w:t>
      </w:r>
      <w:r w:rsidRPr="00213143">
        <w:rPr>
          <w:rFonts w:eastAsia="Calibri" w:cs="Helvetica-Light"/>
          <w:color w:val="000000" w:themeColor="text1"/>
        </w:rPr>
        <w:t xml:space="preserve"> and provide customer centred services</w:t>
      </w:r>
      <w:r w:rsidR="006A69B5">
        <w:rPr>
          <w:rFonts w:eastAsia="Calibri" w:cs="Helvetica-Light"/>
          <w:color w:val="000000" w:themeColor="text1"/>
        </w:rPr>
        <w:t>.</w:t>
      </w:r>
    </w:p>
    <w:p w14:paraId="4D3EE67E" w14:textId="77777777" w:rsidR="00960787" w:rsidRPr="00213143" w:rsidRDefault="00960787" w:rsidP="00320643">
      <w:pPr>
        <w:autoSpaceDE w:val="0"/>
        <w:autoSpaceDN w:val="0"/>
        <w:adjustRightInd w:val="0"/>
        <w:jc w:val="both"/>
        <w:rPr>
          <w:rFonts w:eastAsia="Calibri" w:cs="Helvetica-Light"/>
          <w:color w:val="000000"/>
        </w:rPr>
      </w:pPr>
    </w:p>
    <w:p w14:paraId="5E893C15" w14:textId="2232E743" w:rsidR="00960787" w:rsidRPr="00213143" w:rsidRDefault="004A7A82" w:rsidP="00DF6D2C">
      <w:pPr>
        <w:autoSpaceDE w:val="0"/>
        <w:autoSpaceDN w:val="0"/>
        <w:adjustRightInd w:val="0"/>
        <w:ind w:left="720"/>
        <w:jc w:val="both"/>
        <w:rPr>
          <w:rFonts w:eastAsia="Calibri" w:cs="Helvetica-Light"/>
          <w:color w:val="000000"/>
        </w:rPr>
      </w:pPr>
      <w:r w:rsidRPr="00213143">
        <w:rPr>
          <w:rFonts w:eastAsia="Calibri" w:cs="Helvetica-Light"/>
          <w:color w:val="000000"/>
        </w:rPr>
        <w:t xml:space="preserve">All areas of the </w:t>
      </w:r>
      <w:r w:rsidR="00136BBD">
        <w:rPr>
          <w:rFonts w:eastAsia="Calibri" w:cs="Helvetica-Light"/>
          <w:color w:val="000000"/>
        </w:rPr>
        <w:t>C</w:t>
      </w:r>
      <w:r w:rsidRPr="00213143">
        <w:rPr>
          <w:rFonts w:eastAsia="Calibri" w:cs="Helvetica-Light"/>
          <w:color w:val="000000"/>
        </w:rPr>
        <w:t>ouncil will be asked to bring forward proposals</w:t>
      </w:r>
      <w:r w:rsidR="007D6DB0" w:rsidRPr="00213143">
        <w:rPr>
          <w:rFonts w:eastAsia="Calibri" w:cs="Helvetica-Light"/>
          <w:color w:val="000000"/>
        </w:rPr>
        <w:t xml:space="preserve"> for consideration as part of this process.</w:t>
      </w:r>
    </w:p>
    <w:p w14:paraId="39F0DCC4" w14:textId="77777777" w:rsidR="00C07D66" w:rsidRDefault="00C07D66" w:rsidP="00320643">
      <w:pPr>
        <w:autoSpaceDE w:val="0"/>
        <w:autoSpaceDN w:val="0"/>
        <w:adjustRightInd w:val="0"/>
        <w:jc w:val="both"/>
        <w:rPr>
          <w:rFonts w:eastAsia="Calibri" w:cs="Helvetica-Light"/>
          <w:color w:val="000000"/>
          <w:highlight w:val="yellow"/>
        </w:rPr>
      </w:pPr>
    </w:p>
    <w:p w14:paraId="33D3D81E" w14:textId="25C325CE" w:rsidR="00C07D66" w:rsidRPr="00B958AD" w:rsidRDefault="004A7A82" w:rsidP="00DF6D2C">
      <w:pPr>
        <w:autoSpaceDE w:val="0"/>
        <w:autoSpaceDN w:val="0"/>
        <w:adjustRightInd w:val="0"/>
        <w:ind w:left="720"/>
        <w:jc w:val="both"/>
        <w:rPr>
          <w:rFonts w:eastAsia="Calibri" w:cs="Helvetica-Light"/>
          <w:color w:val="000000"/>
        </w:rPr>
      </w:pPr>
      <w:r w:rsidRPr="1296B87A">
        <w:rPr>
          <w:rFonts w:eastAsia="Calibri" w:cs="Helvetica-Light"/>
          <w:color w:val="000000" w:themeColor="text1"/>
        </w:rPr>
        <w:t>These reviews will become particularly important given the recent announcement alongside the new social care grant that councils will need to produce ‘productivity plans’ to support the new expendit</w:t>
      </w:r>
      <w:r w:rsidR="46AF2862" w:rsidRPr="1296B87A">
        <w:rPr>
          <w:rFonts w:eastAsia="Calibri" w:cs="Helvetica-Light"/>
          <w:color w:val="000000" w:themeColor="text1"/>
        </w:rPr>
        <w:t>ure.</w:t>
      </w:r>
    </w:p>
    <w:p w14:paraId="3BED3E79" w14:textId="72AEF9B9" w:rsidR="2165DDB2" w:rsidRDefault="2165DDB2" w:rsidP="2165DDB2">
      <w:pPr>
        <w:jc w:val="both"/>
        <w:rPr>
          <w:rFonts w:eastAsia="Calibri" w:cs="Helvetica-Light"/>
          <w:color w:val="000000" w:themeColor="text1"/>
          <w:highlight w:val="yellow"/>
        </w:rPr>
      </w:pPr>
    </w:p>
    <w:p w14:paraId="01C851A0" w14:textId="77777777" w:rsidR="006A69B5" w:rsidRDefault="006A69B5" w:rsidP="2165DDB2">
      <w:pPr>
        <w:jc w:val="both"/>
        <w:rPr>
          <w:rFonts w:eastAsia="Calibri" w:cs="Helvetica-Light"/>
          <w:color w:val="000000" w:themeColor="text1"/>
          <w:highlight w:val="yellow"/>
        </w:rPr>
      </w:pPr>
    </w:p>
    <w:p w14:paraId="243EC058" w14:textId="77777777" w:rsidR="006A69B5" w:rsidRDefault="006A69B5" w:rsidP="2165DDB2">
      <w:pPr>
        <w:jc w:val="both"/>
        <w:rPr>
          <w:rFonts w:eastAsia="Calibri" w:cs="Helvetica-Light"/>
          <w:color w:val="000000" w:themeColor="text1"/>
          <w:highlight w:val="yellow"/>
        </w:rPr>
      </w:pPr>
    </w:p>
    <w:p w14:paraId="55B1CD46" w14:textId="77777777" w:rsidR="006A69B5" w:rsidRDefault="006A69B5" w:rsidP="2165DDB2">
      <w:pPr>
        <w:jc w:val="both"/>
        <w:rPr>
          <w:rFonts w:eastAsia="Calibri" w:cs="Helvetica-Light"/>
          <w:color w:val="000000" w:themeColor="text1"/>
          <w:highlight w:val="yellow"/>
        </w:rPr>
      </w:pPr>
    </w:p>
    <w:p w14:paraId="6991372F" w14:textId="77777777" w:rsidR="006A69B5" w:rsidRDefault="006A69B5" w:rsidP="2165DDB2">
      <w:pPr>
        <w:jc w:val="both"/>
        <w:rPr>
          <w:rFonts w:eastAsia="Calibri" w:cs="Helvetica-Light"/>
          <w:color w:val="000000" w:themeColor="text1"/>
          <w:highlight w:val="yellow"/>
        </w:rPr>
      </w:pPr>
    </w:p>
    <w:p w14:paraId="0AE5F762" w14:textId="77777777" w:rsidR="006A69B5" w:rsidRDefault="006A69B5" w:rsidP="2165DDB2">
      <w:pPr>
        <w:jc w:val="both"/>
        <w:rPr>
          <w:rFonts w:eastAsia="Calibri" w:cs="Helvetica-Light"/>
          <w:color w:val="000000" w:themeColor="text1"/>
          <w:highlight w:val="yellow"/>
        </w:rPr>
      </w:pPr>
    </w:p>
    <w:p w14:paraId="26ACAAC2" w14:textId="77777777" w:rsidR="006A69B5" w:rsidRDefault="006A69B5" w:rsidP="2165DDB2">
      <w:pPr>
        <w:jc w:val="both"/>
        <w:rPr>
          <w:rFonts w:eastAsia="Calibri" w:cs="Helvetica-Light"/>
          <w:color w:val="000000" w:themeColor="text1"/>
          <w:highlight w:val="yellow"/>
        </w:rPr>
      </w:pPr>
    </w:p>
    <w:p w14:paraId="5A773453" w14:textId="77777777" w:rsidR="006A69B5" w:rsidRDefault="006A69B5" w:rsidP="2165DDB2">
      <w:pPr>
        <w:jc w:val="both"/>
        <w:rPr>
          <w:rFonts w:eastAsia="Calibri" w:cs="Helvetica-Light"/>
          <w:color w:val="000000" w:themeColor="text1"/>
          <w:highlight w:val="yellow"/>
        </w:rPr>
      </w:pPr>
    </w:p>
    <w:p w14:paraId="0953D987" w14:textId="77777777" w:rsidR="006A69B5" w:rsidRDefault="006A69B5" w:rsidP="2165DDB2">
      <w:pPr>
        <w:jc w:val="both"/>
        <w:rPr>
          <w:rFonts w:eastAsia="Calibri" w:cs="Helvetica-Light"/>
          <w:color w:val="000000" w:themeColor="text1"/>
          <w:highlight w:val="yellow"/>
        </w:rPr>
      </w:pPr>
    </w:p>
    <w:p w14:paraId="795903CA" w14:textId="77777777" w:rsidR="006A69B5" w:rsidRDefault="006A69B5" w:rsidP="2165DDB2">
      <w:pPr>
        <w:jc w:val="both"/>
        <w:rPr>
          <w:rFonts w:eastAsia="Calibri" w:cs="Helvetica-Light"/>
          <w:color w:val="000000" w:themeColor="text1"/>
          <w:highlight w:val="yellow"/>
        </w:rPr>
      </w:pPr>
    </w:p>
    <w:p w14:paraId="1F0BD112" w14:textId="77777777" w:rsidR="006A69B5" w:rsidRDefault="006A69B5" w:rsidP="2165DDB2">
      <w:pPr>
        <w:jc w:val="both"/>
        <w:rPr>
          <w:rFonts w:eastAsia="Calibri" w:cs="Helvetica-Light"/>
          <w:color w:val="000000" w:themeColor="text1"/>
          <w:highlight w:val="yellow"/>
        </w:rPr>
      </w:pPr>
    </w:p>
    <w:p w14:paraId="45EF7D7D" w14:textId="77777777" w:rsidR="006A69B5" w:rsidRDefault="006A69B5" w:rsidP="2165DDB2">
      <w:pPr>
        <w:jc w:val="both"/>
        <w:rPr>
          <w:rFonts w:eastAsia="Calibri" w:cs="Helvetica-Light"/>
          <w:color w:val="000000" w:themeColor="text1"/>
          <w:highlight w:val="yellow"/>
        </w:rPr>
      </w:pPr>
    </w:p>
    <w:p w14:paraId="22897D35" w14:textId="77777777" w:rsidR="006A69B5" w:rsidRDefault="006A69B5" w:rsidP="2165DDB2">
      <w:pPr>
        <w:jc w:val="both"/>
        <w:rPr>
          <w:rFonts w:eastAsia="Calibri" w:cs="Helvetica-Light"/>
          <w:color w:val="000000" w:themeColor="text1"/>
          <w:highlight w:val="yellow"/>
        </w:rPr>
      </w:pPr>
    </w:p>
    <w:p w14:paraId="65CC1EA1" w14:textId="77777777" w:rsidR="006A69B5" w:rsidRDefault="006A69B5" w:rsidP="2165DDB2">
      <w:pPr>
        <w:jc w:val="both"/>
        <w:rPr>
          <w:rFonts w:eastAsia="Calibri" w:cs="Helvetica-Light"/>
          <w:color w:val="000000" w:themeColor="text1"/>
          <w:highlight w:val="yellow"/>
        </w:rPr>
      </w:pPr>
    </w:p>
    <w:p w14:paraId="7661246F" w14:textId="77777777" w:rsidR="006A69B5" w:rsidRDefault="006A69B5" w:rsidP="2165DDB2">
      <w:pPr>
        <w:jc w:val="both"/>
        <w:rPr>
          <w:rFonts w:eastAsia="Calibri" w:cs="Helvetica-Light"/>
          <w:color w:val="000000" w:themeColor="text1"/>
          <w:highlight w:val="yellow"/>
        </w:rPr>
      </w:pPr>
    </w:p>
    <w:p w14:paraId="600F5345" w14:textId="77777777" w:rsidR="006A69B5" w:rsidRDefault="006A69B5" w:rsidP="2165DDB2">
      <w:pPr>
        <w:jc w:val="both"/>
        <w:rPr>
          <w:rFonts w:eastAsia="Calibri" w:cs="Helvetica-Light"/>
          <w:color w:val="000000" w:themeColor="text1"/>
          <w:highlight w:val="yellow"/>
        </w:rPr>
      </w:pPr>
    </w:p>
    <w:p w14:paraId="2EBD2B19" w14:textId="77777777" w:rsidR="001C446E" w:rsidRDefault="001C446E" w:rsidP="2165DDB2">
      <w:pPr>
        <w:jc w:val="both"/>
        <w:rPr>
          <w:rFonts w:eastAsia="Calibri" w:cs="Helvetica-Light"/>
          <w:color w:val="000000" w:themeColor="text1"/>
          <w:highlight w:val="yellow"/>
        </w:rPr>
      </w:pPr>
    </w:p>
    <w:p w14:paraId="52A65D1A" w14:textId="77777777" w:rsidR="001C446E" w:rsidRDefault="001C446E" w:rsidP="2165DDB2">
      <w:pPr>
        <w:jc w:val="both"/>
        <w:rPr>
          <w:rFonts w:eastAsia="Calibri" w:cs="Helvetica-Light"/>
          <w:color w:val="000000" w:themeColor="text1"/>
          <w:highlight w:val="yellow"/>
        </w:rPr>
      </w:pPr>
    </w:p>
    <w:p w14:paraId="0EF6BAD7" w14:textId="77777777" w:rsidR="006A69B5" w:rsidRDefault="006A69B5" w:rsidP="2165DDB2">
      <w:pPr>
        <w:jc w:val="both"/>
        <w:rPr>
          <w:rFonts w:eastAsia="Calibri" w:cs="Helvetica-Light"/>
          <w:color w:val="000000" w:themeColor="text1"/>
          <w:highlight w:val="yellow"/>
        </w:rPr>
      </w:pPr>
    </w:p>
    <w:p w14:paraId="4E3C89B3" w14:textId="37FB0DD0" w:rsidR="00781855" w:rsidRDefault="004A7A82" w:rsidP="00781855">
      <w:pPr>
        <w:autoSpaceDE w:val="0"/>
        <w:autoSpaceDN w:val="0"/>
        <w:adjustRightInd w:val="0"/>
        <w:jc w:val="both"/>
        <w:rPr>
          <w:rFonts w:eastAsia="Calibri" w:cs="Helvetica-Light"/>
          <w:b/>
          <w:color w:val="000000"/>
        </w:rPr>
      </w:pPr>
      <w:r>
        <w:rPr>
          <w:rFonts w:eastAsia="Calibri" w:cs="Helvetica-Light"/>
          <w:b/>
          <w:color w:val="000000"/>
        </w:rPr>
        <w:lastRenderedPageBreak/>
        <w:t>1</w:t>
      </w:r>
      <w:r w:rsidR="006F2ACC">
        <w:rPr>
          <w:rFonts w:eastAsia="Calibri" w:cs="Helvetica-Light"/>
          <w:b/>
          <w:color w:val="000000"/>
        </w:rPr>
        <w:t>2</w:t>
      </w:r>
      <w:r>
        <w:rPr>
          <w:rFonts w:eastAsia="Calibri" w:cs="Helvetica-Light"/>
          <w:b/>
          <w:color w:val="000000"/>
        </w:rPr>
        <w:t>.</w:t>
      </w:r>
      <w:r>
        <w:rPr>
          <w:rFonts w:eastAsia="Calibri" w:cs="Helvetica-Light"/>
          <w:b/>
          <w:color w:val="000000"/>
        </w:rPr>
        <w:tab/>
        <w:t>Reserves</w:t>
      </w:r>
    </w:p>
    <w:p w14:paraId="7D721FEA" w14:textId="77777777" w:rsidR="00A161B2" w:rsidRDefault="00A161B2" w:rsidP="00781855">
      <w:pPr>
        <w:autoSpaceDE w:val="0"/>
        <w:autoSpaceDN w:val="0"/>
        <w:adjustRightInd w:val="0"/>
        <w:jc w:val="both"/>
        <w:rPr>
          <w:rFonts w:eastAsia="Calibri" w:cs="Helvetica-Light"/>
          <w:b/>
          <w:color w:val="000000"/>
        </w:rPr>
      </w:pPr>
    </w:p>
    <w:p w14:paraId="7F8B61FB" w14:textId="491F62A7" w:rsidR="00A161B2" w:rsidRDefault="004A7A82" w:rsidP="00781855">
      <w:pPr>
        <w:autoSpaceDE w:val="0"/>
        <w:autoSpaceDN w:val="0"/>
        <w:adjustRightInd w:val="0"/>
        <w:jc w:val="both"/>
        <w:rPr>
          <w:rFonts w:eastAsia="Calibri" w:cs="Helvetica-Light"/>
          <w:b/>
          <w:i/>
          <w:iCs/>
          <w:color w:val="000000"/>
          <w:u w:val="single"/>
        </w:rPr>
      </w:pPr>
      <w:r w:rsidRPr="00A161B2">
        <w:rPr>
          <w:rFonts w:eastAsia="Calibri" w:cs="Helvetica-Light"/>
          <w:b/>
          <w:i/>
          <w:iCs/>
          <w:color w:val="000000"/>
          <w:u w:val="single"/>
        </w:rPr>
        <w:t xml:space="preserve">Table </w:t>
      </w:r>
      <w:r w:rsidR="00467834">
        <w:rPr>
          <w:rFonts w:eastAsia="Calibri" w:cs="Helvetica-Light"/>
          <w:b/>
          <w:i/>
          <w:iCs/>
          <w:color w:val="000000"/>
          <w:u w:val="single"/>
        </w:rPr>
        <w:t>1</w:t>
      </w:r>
      <w:r w:rsidR="006A7473">
        <w:rPr>
          <w:rFonts w:eastAsia="Calibri" w:cs="Helvetica-Light"/>
          <w:b/>
          <w:i/>
          <w:iCs/>
          <w:color w:val="000000"/>
          <w:u w:val="single"/>
        </w:rPr>
        <w:t>1</w:t>
      </w:r>
    </w:p>
    <w:p w14:paraId="053E0122" w14:textId="77777777" w:rsidR="00FF3400" w:rsidRDefault="00FF3400" w:rsidP="00781855">
      <w:pPr>
        <w:autoSpaceDE w:val="0"/>
        <w:autoSpaceDN w:val="0"/>
        <w:adjustRightInd w:val="0"/>
        <w:jc w:val="both"/>
        <w:rPr>
          <w:rFonts w:eastAsia="Calibri" w:cs="Helvetica-Light"/>
          <w:b/>
          <w:i/>
          <w:iCs/>
          <w:color w:val="000000"/>
          <w:u w:val="single"/>
        </w:rPr>
      </w:pPr>
    </w:p>
    <w:tbl>
      <w:tblPr>
        <w:tblW w:w="9204" w:type="dxa"/>
        <w:tblLayout w:type="fixed"/>
        <w:tblLook w:val="04A0" w:firstRow="1" w:lastRow="0" w:firstColumn="1" w:lastColumn="0" w:noHBand="0" w:noVBand="1"/>
      </w:tblPr>
      <w:tblGrid>
        <w:gridCol w:w="2542"/>
        <w:gridCol w:w="1401"/>
        <w:gridCol w:w="1315"/>
        <w:gridCol w:w="1315"/>
        <w:gridCol w:w="1315"/>
        <w:gridCol w:w="1316"/>
      </w:tblGrid>
      <w:tr w:rsidR="00C92CD8" w14:paraId="6F2BBC56" w14:textId="77777777" w:rsidTr="009668E2">
        <w:trPr>
          <w:trHeight w:val="1210"/>
        </w:trPr>
        <w:tc>
          <w:tcPr>
            <w:tcW w:w="254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054BFE7" w14:textId="77777777" w:rsidR="00FF3400" w:rsidRPr="009668E2" w:rsidRDefault="004A7A82" w:rsidP="00FF3400">
            <w:pPr>
              <w:jc w:val="center"/>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Reserve Name</w:t>
            </w:r>
          </w:p>
        </w:tc>
        <w:tc>
          <w:tcPr>
            <w:tcW w:w="1401" w:type="dxa"/>
            <w:tcBorders>
              <w:top w:val="single" w:sz="8" w:space="0" w:color="auto"/>
              <w:left w:val="nil"/>
              <w:bottom w:val="single" w:sz="8" w:space="0" w:color="auto"/>
              <w:right w:val="single" w:sz="8" w:space="0" w:color="auto"/>
            </w:tcBorders>
            <w:shd w:val="clear" w:color="000000" w:fill="BFBFBF"/>
            <w:vAlign w:val="center"/>
            <w:hideMark/>
          </w:tcPr>
          <w:p w14:paraId="6E52BBCF" w14:textId="77777777" w:rsidR="00FF3400" w:rsidRPr="009668E2" w:rsidRDefault="004A7A82" w:rsidP="00FF3400">
            <w:pPr>
              <w:jc w:val="center"/>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 xml:space="preserve">Estimated 2023/24 Closing Balance </w:t>
            </w:r>
          </w:p>
        </w:tc>
        <w:tc>
          <w:tcPr>
            <w:tcW w:w="1315" w:type="dxa"/>
            <w:tcBorders>
              <w:top w:val="single" w:sz="8" w:space="0" w:color="auto"/>
              <w:left w:val="nil"/>
              <w:bottom w:val="single" w:sz="8" w:space="0" w:color="auto"/>
              <w:right w:val="single" w:sz="8" w:space="0" w:color="auto"/>
            </w:tcBorders>
            <w:shd w:val="clear" w:color="000000" w:fill="BFBFBF"/>
            <w:vAlign w:val="center"/>
            <w:hideMark/>
          </w:tcPr>
          <w:p w14:paraId="76FBEB8F" w14:textId="77777777" w:rsidR="00FF3400" w:rsidRPr="009668E2" w:rsidRDefault="004A7A82" w:rsidP="00FF3400">
            <w:pPr>
              <w:jc w:val="center"/>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2024/25 Forecast Exp</w:t>
            </w:r>
          </w:p>
        </w:tc>
        <w:tc>
          <w:tcPr>
            <w:tcW w:w="1315" w:type="dxa"/>
            <w:tcBorders>
              <w:top w:val="single" w:sz="8" w:space="0" w:color="auto"/>
              <w:left w:val="nil"/>
              <w:bottom w:val="single" w:sz="8" w:space="0" w:color="auto"/>
              <w:right w:val="single" w:sz="8" w:space="0" w:color="auto"/>
            </w:tcBorders>
            <w:shd w:val="clear" w:color="000000" w:fill="BFBFBF"/>
            <w:vAlign w:val="center"/>
            <w:hideMark/>
          </w:tcPr>
          <w:p w14:paraId="3988B46D" w14:textId="77777777" w:rsidR="00FF3400" w:rsidRPr="009668E2" w:rsidRDefault="004A7A82" w:rsidP="00FF3400">
            <w:pPr>
              <w:jc w:val="center"/>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2025/26 Forecast Exp</w:t>
            </w:r>
          </w:p>
        </w:tc>
        <w:tc>
          <w:tcPr>
            <w:tcW w:w="1315" w:type="dxa"/>
            <w:tcBorders>
              <w:top w:val="single" w:sz="8" w:space="0" w:color="auto"/>
              <w:left w:val="nil"/>
              <w:bottom w:val="single" w:sz="8" w:space="0" w:color="auto"/>
              <w:right w:val="single" w:sz="8" w:space="0" w:color="auto"/>
            </w:tcBorders>
            <w:shd w:val="clear" w:color="000000" w:fill="BFBFBF"/>
            <w:vAlign w:val="center"/>
            <w:hideMark/>
          </w:tcPr>
          <w:p w14:paraId="4C7E8D98" w14:textId="77777777" w:rsidR="00FF3400" w:rsidRPr="009668E2" w:rsidRDefault="004A7A82" w:rsidP="00FF3400">
            <w:pPr>
              <w:jc w:val="center"/>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2026/27 Forecast Exp</w:t>
            </w:r>
          </w:p>
        </w:tc>
        <w:tc>
          <w:tcPr>
            <w:tcW w:w="1316" w:type="dxa"/>
            <w:tcBorders>
              <w:top w:val="single" w:sz="8" w:space="0" w:color="auto"/>
              <w:left w:val="nil"/>
              <w:bottom w:val="single" w:sz="8" w:space="0" w:color="auto"/>
              <w:right w:val="single" w:sz="8" w:space="0" w:color="auto"/>
            </w:tcBorders>
            <w:shd w:val="clear" w:color="000000" w:fill="BFBFBF"/>
            <w:vAlign w:val="center"/>
            <w:hideMark/>
          </w:tcPr>
          <w:p w14:paraId="2E0ACB73" w14:textId="77777777" w:rsidR="00FF3400" w:rsidRPr="009668E2" w:rsidRDefault="004A7A82" w:rsidP="00FF3400">
            <w:pPr>
              <w:jc w:val="center"/>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Forecast closing balance 31 March 2027</w:t>
            </w:r>
          </w:p>
        </w:tc>
      </w:tr>
      <w:tr w:rsidR="00C92CD8" w14:paraId="33BBE277" w14:textId="77777777" w:rsidTr="009668E2">
        <w:trPr>
          <w:trHeight w:val="300"/>
        </w:trPr>
        <w:tc>
          <w:tcPr>
            <w:tcW w:w="2542" w:type="dxa"/>
            <w:tcBorders>
              <w:top w:val="nil"/>
              <w:left w:val="single" w:sz="8" w:space="0" w:color="auto"/>
              <w:bottom w:val="single" w:sz="8" w:space="0" w:color="auto"/>
              <w:right w:val="single" w:sz="8" w:space="0" w:color="auto"/>
            </w:tcBorders>
            <w:shd w:val="clear" w:color="000000" w:fill="BFBFBF"/>
            <w:vAlign w:val="center"/>
            <w:hideMark/>
          </w:tcPr>
          <w:p w14:paraId="7BE52CF8" w14:textId="77777777" w:rsidR="00FF3400" w:rsidRPr="009668E2" w:rsidRDefault="004A7A82" w:rsidP="00FF3400">
            <w:pPr>
              <w:rPr>
                <w:rFonts w:asciiTheme="minorHAnsi" w:eastAsia="Times New Roman" w:hAnsiTheme="minorHAnsi" w:cstheme="minorHAnsi"/>
                <w:color w:val="000000"/>
              </w:rPr>
            </w:pPr>
            <w:r w:rsidRPr="009668E2">
              <w:rPr>
                <w:rFonts w:asciiTheme="minorHAnsi" w:eastAsia="Times New Roman" w:hAnsiTheme="minorHAnsi" w:cstheme="minorHAnsi"/>
                <w:color w:val="000000"/>
              </w:rPr>
              <w:t> </w:t>
            </w:r>
          </w:p>
        </w:tc>
        <w:tc>
          <w:tcPr>
            <w:tcW w:w="1401" w:type="dxa"/>
            <w:tcBorders>
              <w:top w:val="nil"/>
              <w:left w:val="nil"/>
              <w:bottom w:val="single" w:sz="8" w:space="0" w:color="auto"/>
              <w:right w:val="single" w:sz="8" w:space="0" w:color="auto"/>
            </w:tcBorders>
            <w:shd w:val="clear" w:color="000000" w:fill="BFBFBF"/>
            <w:noWrap/>
            <w:vAlign w:val="center"/>
            <w:hideMark/>
          </w:tcPr>
          <w:p w14:paraId="21FB1E81" w14:textId="77777777" w:rsidR="00FF3400" w:rsidRPr="009668E2" w:rsidRDefault="004A7A82" w:rsidP="00FF3400">
            <w:pPr>
              <w:jc w:val="center"/>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£m</w:t>
            </w:r>
          </w:p>
        </w:tc>
        <w:tc>
          <w:tcPr>
            <w:tcW w:w="1315" w:type="dxa"/>
            <w:tcBorders>
              <w:top w:val="nil"/>
              <w:left w:val="nil"/>
              <w:bottom w:val="single" w:sz="8" w:space="0" w:color="auto"/>
              <w:right w:val="single" w:sz="8" w:space="0" w:color="auto"/>
            </w:tcBorders>
            <w:shd w:val="clear" w:color="000000" w:fill="BFBFBF"/>
            <w:noWrap/>
            <w:vAlign w:val="center"/>
            <w:hideMark/>
          </w:tcPr>
          <w:p w14:paraId="39CE10CF" w14:textId="77777777" w:rsidR="00FF3400" w:rsidRPr="009668E2" w:rsidRDefault="004A7A82" w:rsidP="00FF3400">
            <w:pPr>
              <w:jc w:val="center"/>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£m</w:t>
            </w:r>
          </w:p>
        </w:tc>
        <w:tc>
          <w:tcPr>
            <w:tcW w:w="1315" w:type="dxa"/>
            <w:tcBorders>
              <w:top w:val="nil"/>
              <w:left w:val="nil"/>
              <w:bottom w:val="single" w:sz="8" w:space="0" w:color="auto"/>
              <w:right w:val="single" w:sz="8" w:space="0" w:color="auto"/>
            </w:tcBorders>
            <w:shd w:val="clear" w:color="000000" w:fill="BFBFBF"/>
            <w:noWrap/>
            <w:vAlign w:val="center"/>
            <w:hideMark/>
          </w:tcPr>
          <w:p w14:paraId="316795CA" w14:textId="77777777" w:rsidR="00FF3400" w:rsidRPr="009668E2" w:rsidRDefault="004A7A82" w:rsidP="00FF3400">
            <w:pPr>
              <w:jc w:val="center"/>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£m</w:t>
            </w:r>
          </w:p>
        </w:tc>
        <w:tc>
          <w:tcPr>
            <w:tcW w:w="1315" w:type="dxa"/>
            <w:tcBorders>
              <w:top w:val="nil"/>
              <w:left w:val="nil"/>
              <w:bottom w:val="single" w:sz="8" w:space="0" w:color="auto"/>
              <w:right w:val="single" w:sz="8" w:space="0" w:color="auto"/>
            </w:tcBorders>
            <w:shd w:val="clear" w:color="000000" w:fill="BFBFBF"/>
            <w:noWrap/>
            <w:vAlign w:val="center"/>
            <w:hideMark/>
          </w:tcPr>
          <w:p w14:paraId="6DEA2FE3" w14:textId="77777777" w:rsidR="00FF3400" w:rsidRPr="009668E2" w:rsidRDefault="004A7A82" w:rsidP="00FF3400">
            <w:pPr>
              <w:jc w:val="center"/>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£m</w:t>
            </w:r>
          </w:p>
        </w:tc>
        <w:tc>
          <w:tcPr>
            <w:tcW w:w="1316" w:type="dxa"/>
            <w:tcBorders>
              <w:top w:val="nil"/>
              <w:left w:val="nil"/>
              <w:bottom w:val="single" w:sz="8" w:space="0" w:color="auto"/>
              <w:right w:val="single" w:sz="8" w:space="0" w:color="auto"/>
            </w:tcBorders>
            <w:shd w:val="clear" w:color="000000" w:fill="BFBFBF"/>
            <w:noWrap/>
            <w:vAlign w:val="center"/>
            <w:hideMark/>
          </w:tcPr>
          <w:p w14:paraId="4C3BF892" w14:textId="77777777" w:rsidR="00FF3400" w:rsidRPr="009668E2" w:rsidRDefault="004A7A82" w:rsidP="00FF3400">
            <w:pPr>
              <w:jc w:val="center"/>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£m</w:t>
            </w:r>
          </w:p>
        </w:tc>
      </w:tr>
      <w:tr w:rsidR="00C92CD8" w14:paraId="04A868F2" w14:textId="77777777" w:rsidTr="009668E2">
        <w:trPr>
          <w:trHeight w:val="30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9EBB883" w14:textId="77777777" w:rsidR="00FF3400" w:rsidRPr="009668E2" w:rsidRDefault="004A7A82" w:rsidP="00FF3400">
            <w:pPr>
              <w:rPr>
                <w:rFonts w:asciiTheme="minorHAnsi" w:eastAsia="Times New Roman" w:hAnsiTheme="minorHAnsi" w:cstheme="minorHAnsi"/>
                <w:color w:val="000000"/>
              </w:rPr>
            </w:pPr>
            <w:r w:rsidRPr="009668E2">
              <w:rPr>
                <w:rFonts w:asciiTheme="minorHAnsi" w:eastAsia="Times New Roman" w:hAnsiTheme="minorHAnsi" w:cstheme="minorHAnsi"/>
                <w:color w:val="000000"/>
              </w:rPr>
              <w:t>County Fund</w:t>
            </w:r>
          </w:p>
        </w:tc>
        <w:tc>
          <w:tcPr>
            <w:tcW w:w="1401" w:type="dxa"/>
            <w:tcBorders>
              <w:top w:val="nil"/>
              <w:left w:val="nil"/>
              <w:bottom w:val="single" w:sz="8" w:space="0" w:color="auto"/>
              <w:right w:val="single" w:sz="8" w:space="0" w:color="auto"/>
            </w:tcBorders>
            <w:shd w:val="clear" w:color="auto" w:fill="auto"/>
            <w:noWrap/>
            <w:vAlign w:val="center"/>
            <w:hideMark/>
          </w:tcPr>
          <w:p w14:paraId="731245CA"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-23.437</w:t>
            </w:r>
          </w:p>
        </w:tc>
        <w:tc>
          <w:tcPr>
            <w:tcW w:w="1315" w:type="dxa"/>
            <w:tcBorders>
              <w:top w:val="nil"/>
              <w:left w:val="nil"/>
              <w:bottom w:val="single" w:sz="8" w:space="0" w:color="auto"/>
              <w:right w:val="single" w:sz="8" w:space="0" w:color="auto"/>
            </w:tcBorders>
            <w:shd w:val="clear" w:color="auto" w:fill="auto"/>
            <w:noWrap/>
            <w:vAlign w:val="center"/>
            <w:hideMark/>
          </w:tcPr>
          <w:p w14:paraId="1F0C4C2C"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0.000</w:t>
            </w:r>
          </w:p>
        </w:tc>
        <w:tc>
          <w:tcPr>
            <w:tcW w:w="1315" w:type="dxa"/>
            <w:tcBorders>
              <w:top w:val="nil"/>
              <w:left w:val="nil"/>
              <w:bottom w:val="single" w:sz="8" w:space="0" w:color="auto"/>
              <w:right w:val="single" w:sz="8" w:space="0" w:color="auto"/>
            </w:tcBorders>
            <w:shd w:val="clear" w:color="auto" w:fill="auto"/>
            <w:noWrap/>
            <w:vAlign w:val="center"/>
            <w:hideMark/>
          </w:tcPr>
          <w:p w14:paraId="35D2FC24"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0.000</w:t>
            </w:r>
          </w:p>
        </w:tc>
        <w:tc>
          <w:tcPr>
            <w:tcW w:w="1315" w:type="dxa"/>
            <w:tcBorders>
              <w:top w:val="nil"/>
              <w:left w:val="nil"/>
              <w:bottom w:val="single" w:sz="8" w:space="0" w:color="auto"/>
              <w:right w:val="single" w:sz="8" w:space="0" w:color="auto"/>
            </w:tcBorders>
            <w:shd w:val="clear" w:color="auto" w:fill="auto"/>
            <w:noWrap/>
            <w:vAlign w:val="center"/>
            <w:hideMark/>
          </w:tcPr>
          <w:p w14:paraId="7A1FC7D8"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0.000</w:t>
            </w:r>
          </w:p>
        </w:tc>
        <w:tc>
          <w:tcPr>
            <w:tcW w:w="1316" w:type="dxa"/>
            <w:tcBorders>
              <w:top w:val="nil"/>
              <w:left w:val="nil"/>
              <w:bottom w:val="single" w:sz="8" w:space="0" w:color="auto"/>
              <w:right w:val="single" w:sz="8" w:space="0" w:color="auto"/>
            </w:tcBorders>
            <w:shd w:val="clear" w:color="auto" w:fill="auto"/>
            <w:noWrap/>
            <w:vAlign w:val="center"/>
            <w:hideMark/>
          </w:tcPr>
          <w:p w14:paraId="30429059"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-23.437</w:t>
            </w:r>
          </w:p>
        </w:tc>
      </w:tr>
      <w:tr w:rsidR="00C92CD8" w14:paraId="7854DEDA" w14:textId="77777777" w:rsidTr="009668E2">
        <w:trPr>
          <w:trHeight w:val="300"/>
        </w:trPr>
        <w:tc>
          <w:tcPr>
            <w:tcW w:w="2542" w:type="dxa"/>
            <w:tcBorders>
              <w:top w:val="nil"/>
              <w:left w:val="single" w:sz="8" w:space="0" w:color="auto"/>
              <w:bottom w:val="single" w:sz="8" w:space="0" w:color="auto"/>
              <w:right w:val="single" w:sz="8" w:space="0" w:color="auto"/>
            </w:tcBorders>
            <w:shd w:val="clear" w:color="000000" w:fill="BFBFBF"/>
            <w:vAlign w:val="center"/>
            <w:hideMark/>
          </w:tcPr>
          <w:p w14:paraId="4BCED1BF" w14:textId="77777777" w:rsidR="00FF3400" w:rsidRPr="009668E2" w:rsidRDefault="004A7A82" w:rsidP="00FF3400">
            <w:pPr>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SUB TOTAL - COUNTY FUND</w:t>
            </w:r>
          </w:p>
        </w:tc>
        <w:tc>
          <w:tcPr>
            <w:tcW w:w="1401" w:type="dxa"/>
            <w:tcBorders>
              <w:top w:val="nil"/>
              <w:left w:val="nil"/>
              <w:bottom w:val="single" w:sz="8" w:space="0" w:color="auto"/>
              <w:right w:val="single" w:sz="8" w:space="0" w:color="auto"/>
            </w:tcBorders>
            <w:shd w:val="clear" w:color="000000" w:fill="BFBFBF"/>
            <w:noWrap/>
            <w:vAlign w:val="center"/>
            <w:hideMark/>
          </w:tcPr>
          <w:p w14:paraId="58517150" w14:textId="77777777" w:rsidR="00FF3400" w:rsidRPr="009668E2" w:rsidRDefault="004A7A82" w:rsidP="00FF3400">
            <w:pPr>
              <w:jc w:val="right"/>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-23.437</w:t>
            </w:r>
          </w:p>
        </w:tc>
        <w:tc>
          <w:tcPr>
            <w:tcW w:w="1315" w:type="dxa"/>
            <w:tcBorders>
              <w:top w:val="nil"/>
              <w:left w:val="nil"/>
              <w:bottom w:val="single" w:sz="8" w:space="0" w:color="auto"/>
              <w:right w:val="single" w:sz="8" w:space="0" w:color="auto"/>
            </w:tcBorders>
            <w:shd w:val="clear" w:color="000000" w:fill="BFBFBF"/>
            <w:noWrap/>
            <w:vAlign w:val="center"/>
            <w:hideMark/>
          </w:tcPr>
          <w:p w14:paraId="4774FD9A" w14:textId="77777777" w:rsidR="00FF3400" w:rsidRPr="009668E2" w:rsidRDefault="004A7A82" w:rsidP="00FF3400">
            <w:pPr>
              <w:jc w:val="right"/>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0.000</w:t>
            </w:r>
          </w:p>
        </w:tc>
        <w:tc>
          <w:tcPr>
            <w:tcW w:w="1315" w:type="dxa"/>
            <w:tcBorders>
              <w:top w:val="nil"/>
              <w:left w:val="nil"/>
              <w:bottom w:val="single" w:sz="8" w:space="0" w:color="auto"/>
              <w:right w:val="single" w:sz="8" w:space="0" w:color="auto"/>
            </w:tcBorders>
            <w:shd w:val="clear" w:color="000000" w:fill="BFBFBF"/>
            <w:noWrap/>
            <w:vAlign w:val="center"/>
            <w:hideMark/>
          </w:tcPr>
          <w:p w14:paraId="6E31DA3B" w14:textId="77777777" w:rsidR="00FF3400" w:rsidRPr="009668E2" w:rsidRDefault="004A7A82" w:rsidP="00FF3400">
            <w:pPr>
              <w:jc w:val="right"/>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0.000</w:t>
            </w:r>
          </w:p>
        </w:tc>
        <w:tc>
          <w:tcPr>
            <w:tcW w:w="1315" w:type="dxa"/>
            <w:tcBorders>
              <w:top w:val="nil"/>
              <w:left w:val="nil"/>
              <w:bottom w:val="single" w:sz="8" w:space="0" w:color="auto"/>
              <w:right w:val="single" w:sz="8" w:space="0" w:color="auto"/>
            </w:tcBorders>
            <w:shd w:val="clear" w:color="000000" w:fill="BFBFBF"/>
            <w:noWrap/>
            <w:vAlign w:val="center"/>
            <w:hideMark/>
          </w:tcPr>
          <w:p w14:paraId="098DE8BF" w14:textId="77777777" w:rsidR="00FF3400" w:rsidRPr="009668E2" w:rsidRDefault="004A7A82" w:rsidP="00FF3400">
            <w:pPr>
              <w:jc w:val="right"/>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0.000</w:t>
            </w:r>
          </w:p>
        </w:tc>
        <w:tc>
          <w:tcPr>
            <w:tcW w:w="1316" w:type="dxa"/>
            <w:tcBorders>
              <w:top w:val="nil"/>
              <w:left w:val="nil"/>
              <w:bottom w:val="single" w:sz="8" w:space="0" w:color="auto"/>
              <w:right w:val="single" w:sz="8" w:space="0" w:color="auto"/>
            </w:tcBorders>
            <w:shd w:val="clear" w:color="000000" w:fill="BFBFBF"/>
            <w:noWrap/>
            <w:vAlign w:val="center"/>
            <w:hideMark/>
          </w:tcPr>
          <w:p w14:paraId="24269CAA" w14:textId="77777777" w:rsidR="00FF3400" w:rsidRPr="009668E2" w:rsidRDefault="004A7A82" w:rsidP="00FF3400">
            <w:pPr>
              <w:jc w:val="right"/>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-23.437</w:t>
            </w:r>
          </w:p>
        </w:tc>
      </w:tr>
      <w:tr w:rsidR="00C92CD8" w14:paraId="2CFF4345" w14:textId="77777777" w:rsidTr="009668E2">
        <w:trPr>
          <w:trHeight w:val="30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AF63AC4" w14:textId="77777777" w:rsidR="00FF3400" w:rsidRPr="009668E2" w:rsidRDefault="004A7A82" w:rsidP="00FF3400">
            <w:pPr>
              <w:rPr>
                <w:rFonts w:asciiTheme="minorHAnsi" w:eastAsia="Times New Roman" w:hAnsiTheme="minorHAnsi" w:cstheme="minorHAnsi"/>
                <w:color w:val="000000"/>
              </w:rPr>
            </w:pPr>
            <w:r w:rsidRPr="009668E2">
              <w:rPr>
                <w:rFonts w:asciiTheme="minorHAnsi" w:eastAsia="Times New Roman" w:hAnsiTheme="minorHAnsi" w:cstheme="minorHAnsi"/>
                <w:color w:val="000000"/>
              </w:rPr>
              <w:t>Strategic Investment Reserve</w:t>
            </w:r>
          </w:p>
        </w:tc>
        <w:tc>
          <w:tcPr>
            <w:tcW w:w="1401" w:type="dxa"/>
            <w:tcBorders>
              <w:top w:val="nil"/>
              <w:left w:val="nil"/>
              <w:bottom w:val="single" w:sz="8" w:space="0" w:color="auto"/>
              <w:right w:val="single" w:sz="8" w:space="0" w:color="auto"/>
            </w:tcBorders>
            <w:shd w:val="clear" w:color="auto" w:fill="auto"/>
            <w:noWrap/>
            <w:vAlign w:val="center"/>
            <w:hideMark/>
          </w:tcPr>
          <w:p w14:paraId="03396EDD"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-0.381</w:t>
            </w:r>
          </w:p>
        </w:tc>
        <w:tc>
          <w:tcPr>
            <w:tcW w:w="1315" w:type="dxa"/>
            <w:tcBorders>
              <w:top w:val="nil"/>
              <w:left w:val="nil"/>
              <w:bottom w:val="single" w:sz="8" w:space="0" w:color="auto"/>
              <w:right w:val="single" w:sz="8" w:space="0" w:color="auto"/>
            </w:tcBorders>
            <w:shd w:val="clear" w:color="auto" w:fill="auto"/>
            <w:noWrap/>
            <w:vAlign w:val="center"/>
            <w:hideMark/>
          </w:tcPr>
          <w:p w14:paraId="4D5EB8ED"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0.253</w:t>
            </w:r>
          </w:p>
        </w:tc>
        <w:tc>
          <w:tcPr>
            <w:tcW w:w="1315" w:type="dxa"/>
            <w:tcBorders>
              <w:top w:val="nil"/>
              <w:left w:val="nil"/>
              <w:bottom w:val="single" w:sz="8" w:space="0" w:color="auto"/>
              <w:right w:val="single" w:sz="8" w:space="0" w:color="auto"/>
            </w:tcBorders>
            <w:shd w:val="clear" w:color="auto" w:fill="auto"/>
            <w:noWrap/>
            <w:vAlign w:val="center"/>
            <w:hideMark/>
          </w:tcPr>
          <w:p w14:paraId="45E92F1F"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0.000</w:t>
            </w:r>
          </w:p>
        </w:tc>
        <w:tc>
          <w:tcPr>
            <w:tcW w:w="1315" w:type="dxa"/>
            <w:tcBorders>
              <w:top w:val="nil"/>
              <w:left w:val="nil"/>
              <w:bottom w:val="single" w:sz="8" w:space="0" w:color="auto"/>
              <w:right w:val="single" w:sz="8" w:space="0" w:color="auto"/>
            </w:tcBorders>
            <w:shd w:val="clear" w:color="auto" w:fill="auto"/>
            <w:noWrap/>
            <w:vAlign w:val="center"/>
            <w:hideMark/>
          </w:tcPr>
          <w:p w14:paraId="1DC18CA2"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0.000</w:t>
            </w:r>
          </w:p>
        </w:tc>
        <w:tc>
          <w:tcPr>
            <w:tcW w:w="1316" w:type="dxa"/>
            <w:tcBorders>
              <w:top w:val="nil"/>
              <w:left w:val="nil"/>
              <w:bottom w:val="single" w:sz="8" w:space="0" w:color="auto"/>
              <w:right w:val="single" w:sz="8" w:space="0" w:color="auto"/>
            </w:tcBorders>
            <w:shd w:val="clear" w:color="auto" w:fill="auto"/>
            <w:noWrap/>
            <w:vAlign w:val="center"/>
            <w:hideMark/>
          </w:tcPr>
          <w:p w14:paraId="253CEA8F"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-0.128</w:t>
            </w:r>
          </w:p>
        </w:tc>
      </w:tr>
      <w:tr w:rsidR="00C92CD8" w14:paraId="0F52CCAB" w14:textId="77777777" w:rsidTr="009668E2">
        <w:trPr>
          <w:trHeight w:val="30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7C4874E" w14:textId="77777777" w:rsidR="00FF3400" w:rsidRPr="009668E2" w:rsidRDefault="004A7A82" w:rsidP="00FF3400">
            <w:pPr>
              <w:rPr>
                <w:rFonts w:asciiTheme="minorHAnsi" w:eastAsia="Times New Roman" w:hAnsiTheme="minorHAnsi" w:cstheme="minorHAnsi"/>
                <w:color w:val="000000"/>
              </w:rPr>
            </w:pPr>
            <w:r w:rsidRPr="009668E2">
              <w:rPr>
                <w:rFonts w:asciiTheme="minorHAnsi" w:eastAsia="Times New Roman" w:hAnsiTheme="minorHAnsi" w:cstheme="minorHAnsi"/>
                <w:color w:val="000000"/>
              </w:rPr>
              <w:t>OCE General Reserve</w:t>
            </w:r>
          </w:p>
        </w:tc>
        <w:tc>
          <w:tcPr>
            <w:tcW w:w="1401" w:type="dxa"/>
            <w:tcBorders>
              <w:top w:val="nil"/>
              <w:left w:val="nil"/>
              <w:bottom w:val="single" w:sz="8" w:space="0" w:color="auto"/>
              <w:right w:val="single" w:sz="8" w:space="0" w:color="auto"/>
            </w:tcBorders>
            <w:shd w:val="clear" w:color="auto" w:fill="auto"/>
            <w:noWrap/>
            <w:vAlign w:val="center"/>
            <w:hideMark/>
          </w:tcPr>
          <w:p w14:paraId="2987A1FD"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-2.550</w:t>
            </w:r>
          </w:p>
        </w:tc>
        <w:tc>
          <w:tcPr>
            <w:tcW w:w="1315" w:type="dxa"/>
            <w:tcBorders>
              <w:top w:val="nil"/>
              <w:left w:val="nil"/>
              <w:bottom w:val="single" w:sz="8" w:space="0" w:color="auto"/>
              <w:right w:val="single" w:sz="8" w:space="0" w:color="auto"/>
            </w:tcBorders>
            <w:shd w:val="clear" w:color="auto" w:fill="auto"/>
            <w:noWrap/>
            <w:vAlign w:val="center"/>
            <w:hideMark/>
          </w:tcPr>
          <w:p w14:paraId="535E3AE7"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1.422</w:t>
            </w:r>
          </w:p>
        </w:tc>
        <w:tc>
          <w:tcPr>
            <w:tcW w:w="1315" w:type="dxa"/>
            <w:tcBorders>
              <w:top w:val="nil"/>
              <w:left w:val="nil"/>
              <w:bottom w:val="single" w:sz="8" w:space="0" w:color="auto"/>
              <w:right w:val="single" w:sz="8" w:space="0" w:color="auto"/>
            </w:tcBorders>
            <w:shd w:val="clear" w:color="auto" w:fill="auto"/>
            <w:noWrap/>
            <w:vAlign w:val="center"/>
            <w:hideMark/>
          </w:tcPr>
          <w:p w14:paraId="6106A182"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1.005</w:t>
            </w:r>
          </w:p>
        </w:tc>
        <w:tc>
          <w:tcPr>
            <w:tcW w:w="1315" w:type="dxa"/>
            <w:tcBorders>
              <w:top w:val="nil"/>
              <w:left w:val="nil"/>
              <w:bottom w:val="single" w:sz="8" w:space="0" w:color="auto"/>
              <w:right w:val="single" w:sz="8" w:space="0" w:color="auto"/>
            </w:tcBorders>
            <w:shd w:val="clear" w:color="auto" w:fill="auto"/>
            <w:noWrap/>
            <w:vAlign w:val="center"/>
            <w:hideMark/>
          </w:tcPr>
          <w:p w14:paraId="566EE027"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0.000</w:t>
            </w:r>
          </w:p>
        </w:tc>
        <w:tc>
          <w:tcPr>
            <w:tcW w:w="1316" w:type="dxa"/>
            <w:tcBorders>
              <w:top w:val="nil"/>
              <w:left w:val="nil"/>
              <w:bottom w:val="single" w:sz="8" w:space="0" w:color="auto"/>
              <w:right w:val="single" w:sz="8" w:space="0" w:color="auto"/>
            </w:tcBorders>
            <w:shd w:val="clear" w:color="auto" w:fill="auto"/>
            <w:noWrap/>
            <w:vAlign w:val="center"/>
            <w:hideMark/>
          </w:tcPr>
          <w:p w14:paraId="769A0F88"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-0.123</w:t>
            </w:r>
          </w:p>
        </w:tc>
      </w:tr>
      <w:tr w:rsidR="00C92CD8" w14:paraId="387BBC4A" w14:textId="77777777" w:rsidTr="009668E2">
        <w:trPr>
          <w:trHeight w:val="30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6828420" w14:textId="77777777" w:rsidR="00FF3400" w:rsidRPr="009668E2" w:rsidRDefault="004A7A82" w:rsidP="00FF3400">
            <w:pPr>
              <w:rPr>
                <w:rFonts w:asciiTheme="minorHAnsi" w:eastAsia="Times New Roman" w:hAnsiTheme="minorHAnsi" w:cstheme="minorHAnsi"/>
                <w:color w:val="000000"/>
              </w:rPr>
            </w:pPr>
            <w:r w:rsidRPr="009668E2">
              <w:rPr>
                <w:rFonts w:asciiTheme="minorHAnsi" w:eastAsia="Times New Roman" w:hAnsiTheme="minorHAnsi" w:cstheme="minorHAnsi"/>
                <w:color w:val="000000"/>
              </w:rPr>
              <w:t>Downsizing Reserve</w:t>
            </w:r>
          </w:p>
        </w:tc>
        <w:tc>
          <w:tcPr>
            <w:tcW w:w="1401" w:type="dxa"/>
            <w:tcBorders>
              <w:top w:val="nil"/>
              <w:left w:val="nil"/>
              <w:bottom w:val="single" w:sz="8" w:space="0" w:color="auto"/>
              <w:right w:val="single" w:sz="8" w:space="0" w:color="auto"/>
            </w:tcBorders>
            <w:shd w:val="clear" w:color="auto" w:fill="auto"/>
            <w:noWrap/>
            <w:vAlign w:val="center"/>
            <w:hideMark/>
          </w:tcPr>
          <w:p w14:paraId="0813AED3"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-5.267</w:t>
            </w:r>
          </w:p>
        </w:tc>
        <w:tc>
          <w:tcPr>
            <w:tcW w:w="1315" w:type="dxa"/>
            <w:tcBorders>
              <w:top w:val="nil"/>
              <w:left w:val="nil"/>
              <w:bottom w:val="single" w:sz="8" w:space="0" w:color="auto"/>
              <w:right w:val="single" w:sz="8" w:space="0" w:color="auto"/>
            </w:tcBorders>
            <w:shd w:val="clear" w:color="auto" w:fill="auto"/>
            <w:noWrap/>
            <w:vAlign w:val="center"/>
            <w:hideMark/>
          </w:tcPr>
          <w:p w14:paraId="7626770B"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1.756</w:t>
            </w:r>
          </w:p>
        </w:tc>
        <w:tc>
          <w:tcPr>
            <w:tcW w:w="1315" w:type="dxa"/>
            <w:tcBorders>
              <w:top w:val="nil"/>
              <w:left w:val="nil"/>
              <w:bottom w:val="single" w:sz="8" w:space="0" w:color="auto"/>
              <w:right w:val="single" w:sz="8" w:space="0" w:color="auto"/>
            </w:tcBorders>
            <w:shd w:val="clear" w:color="auto" w:fill="auto"/>
            <w:noWrap/>
            <w:vAlign w:val="center"/>
            <w:hideMark/>
          </w:tcPr>
          <w:p w14:paraId="3CB1C926"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1.756</w:t>
            </w:r>
          </w:p>
        </w:tc>
        <w:tc>
          <w:tcPr>
            <w:tcW w:w="1315" w:type="dxa"/>
            <w:tcBorders>
              <w:top w:val="nil"/>
              <w:left w:val="nil"/>
              <w:bottom w:val="single" w:sz="8" w:space="0" w:color="auto"/>
              <w:right w:val="single" w:sz="8" w:space="0" w:color="auto"/>
            </w:tcBorders>
            <w:shd w:val="clear" w:color="auto" w:fill="auto"/>
            <w:noWrap/>
            <w:vAlign w:val="center"/>
            <w:hideMark/>
          </w:tcPr>
          <w:p w14:paraId="0B7E7CDE"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1.755</w:t>
            </w:r>
          </w:p>
        </w:tc>
        <w:tc>
          <w:tcPr>
            <w:tcW w:w="1316" w:type="dxa"/>
            <w:tcBorders>
              <w:top w:val="nil"/>
              <w:left w:val="nil"/>
              <w:bottom w:val="single" w:sz="8" w:space="0" w:color="auto"/>
              <w:right w:val="single" w:sz="8" w:space="0" w:color="auto"/>
            </w:tcBorders>
            <w:shd w:val="clear" w:color="auto" w:fill="auto"/>
            <w:noWrap/>
            <w:vAlign w:val="center"/>
            <w:hideMark/>
          </w:tcPr>
          <w:p w14:paraId="0E88FDC2"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0.000</w:t>
            </w:r>
          </w:p>
        </w:tc>
      </w:tr>
      <w:tr w:rsidR="00C92CD8" w14:paraId="5E2CA132" w14:textId="77777777" w:rsidTr="009668E2">
        <w:trPr>
          <w:trHeight w:val="30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DF3414A" w14:textId="77777777" w:rsidR="00FF3400" w:rsidRPr="009668E2" w:rsidRDefault="004A7A82" w:rsidP="00FF3400">
            <w:pPr>
              <w:rPr>
                <w:rFonts w:asciiTheme="minorHAnsi" w:eastAsia="Times New Roman" w:hAnsiTheme="minorHAnsi" w:cstheme="minorHAnsi"/>
                <w:color w:val="000000"/>
              </w:rPr>
            </w:pPr>
            <w:r w:rsidRPr="009668E2">
              <w:rPr>
                <w:rFonts w:asciiTheme="minorHAnsi" w:eastAsia="Times New Roman" w:hAnsiTheme="minorHAnsi" w:cstheme="minorHAnsi"/>
                <w:color w:val="000000"/>
              </w:rPr>
              <w:t>Risk Management Reserve</w:t>
            </w:r>
          </w:p>
        </w:tc>
        <w:tc>
          <w:tcPr>
            <w:tcW w:w="1401" w:type="dxa"/>
            <w:tcBorders>
              <w:top w:val="nil"/>
              <w:left w:val="nil"/>
              <w:bottom w:val="single" w:sz="8" w:space="0" w:color="auto"/>
              <w:right w:val="single" w:sz="8" w:space="0" w:color="auto"/>
            </w:tcBorders>
            <w:shd w:val="clear" w:color="auto" w:fill="auto"/>
            <w:noWrap/>
            <w:vAlign w:val="center"/>
            <w:hideMark/>
          </w:tcPr>
          <w:p w14:paraId="781CAEFD"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-2.939</w:t>
            </w:r>
          </w:p>
        </w:tc>
        <w:tc>
          <w:tcPr>
            <w:tcW w:w="1315" w:type="dxa"/>
            <w:tcBorders>
              <w:top w:val="nil"/>
              <w:left w:val="nil"/>
              <w:bottom w:val="single" w:sz="8" w:space="0" w:color="auto"/>
              <w:right w:val="single" w:sz="8" w:space="0" w:color="auto"/>
            </w:tcBorders>
            <w:shd w:val="clear" w:color="auto" w:fill="auto"/>
            <w:noWrap/>
            <w:vAlign w:val="center"/>
            <w:hideMark/>
          </w:tcPr>
          <w:p w14:paraId="7F720A88"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0.000</w:t>
            </w:r>
          </w:p>
        </w:tc>
        <w:tc>
          <w:tcPr>
            <w:tcW w:w="1315" w:type="dxa"/>
            <w:tcBorders>
              <w:top w:val="nil"/>
              <w:left w:val="nil"/>
              <w:bottom w:val="single" w:sz="8" w:space="0" w:color="auto"/>
              <w:right w:val="single" w:sz="8" w:space="0" w:color="auto"/>
            </w:tcBorders>
            <w:shd w:val="clear" w:color="auto" w:fill="auto"/>
            <w:noWrap/>
            <w:vAlign w:val="center"/>
            <w:hideMark/>
          </w:tcPr>
          <w:p w14:paraId="550AEF87"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0.000</w:t>
            </w:r>
          </w:p>
        </w:tc>
        <w:tc>
          <w:tcPr>
            <w:tcW w:w="1315" w:type="dxa"/>
            <w:tcBorders>
              <w:top w:val="nil"/>
              <w:left w:val="nil"/>
              <w:bottom w:val="single" w:sz="8" w:space="0" w:color="auto"/>
              <w:right w:val="single" w:sz="8" w:space="0" w:color="auto"/>
            </w:tcBorders>
            <w:shd w:val="clear" w:color="auto" w:fill="auto"/>
            <w:noWrap/>
            <w:vAlign w:val="center"/>
            <w:hideMark/>
          </w:tcPr>
          <w:p w14:paraId="1F93EC15"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0.000</w:t>
            </w:r>
          </w:p>
        </w:tc>
        <w:tc>
          <w:tcPr>
            <w:tcW w:w="1316" w:type="dxa"/>
            <w:tcBorders>
              <w:top w:val="nil"/>
              <w:left w:val="nil"/>
              <w:bottom w:val="single" w:sz="8" w:space="0" w:color="auto"/>
              <w:right w:val="single" w:sz="8" w:space="0" w:color="auto"/>
            </w:tcBorders>
            <w:shd w:val="clear" w:color="auto" w:fill="auto"/>
            <w:noWrap/>
            <w:vAlign w:val="center"/>
            <w:hideMark/>
          </w:tcPr>
          <w:p w14:paraId="08D49389"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-2.939</w:t>
            </w:r>
          </w:p>
        </w:tc>
      </w:tr>
      <w:tr w:rsidR="00C92CD8" w14:paraId="7F3CA038" w14:textId="77777777" w:rsidTr="009668E2">
        <w:trPr>
          <w:trHeight w:val="30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130DE5E" w14:textId="77777777" w:rsidR="00FF3400" w:rsidRPr="009668E2" w:rsidRDefault="004A7A82" w:rsidP="00FF3400">
            <w:pPr>
              <w:rPr>
                <w:rFonts w:asciiTheme="minorHAnsi" w:eastAsia="Times New Roman" w:hAnsiTheme="minorHAnsi" w:cstheme="minorHAnsi"/>
                <w:color w:val="000000"/>
              </w:rPr>
            </w:pPr>
            <w:r w:rsidRPr="009668E2">
              <w:rPr>
                <w:rFonts w:asciiTheme="minorHAnsi" w:eastAsia="Times New Roman" w:hAnsiTheme="minorHAnsi" w:cstheme="minorHAnsi"/>
                <w:color w:val="000000"/>
              </w:rPr>
              <w:t>Transitional Reserve</w:t>
            </w:r>
          </w:p>
        </w:tc>
        <w:tc>
          <w:tcPr>
            <w:tcW w:w="1401" w:type="dxa"/>
            <w:tcBorders>
              <w:top w:val="nil"/>
              <w:left w:val="nil"/>
              <w:bottom w:val="single" w:sz="8" w:space="0" w:color="auto"/>
              <w:right w:val="single" w:sz="8" w:space="0" w:color="auto"/>
            </w:tcBorders>
            <w:shd w:val="clear" w:color="auto" w:fill="auto"/>
            <w:noWrap/>
            <w:vAlign w:val="center"/>
            <w:hideMark/>
          </w:tcPr>
          <w:p w14:paraId="7ACFA8DE"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-165.198</w:t>
            </w:r>
          </w:p>
        </w:tc>
        <w:tc>
          <w:tcPr>
            <w:tcW w:w="1315" w:type="dxa"/>
            <w:tcBorders>
              <w:top w:val="nil"/>
              <w:left w:val="nil"/>
              <w:bottom w:val="single" w:sz="8" w:space="0" w:color="auto"/>
              <w:right w:val="single" w:sz="8" w:space="0" w:color="auto"/>
            </w:tcBorders>
            <w:shd w:val="clear" w:color="auto" w:fill="auto"/>
            <w:noWrap/>
            <w:vAlign w:val="center"/>
            <w:hideMark/>
          </w:tcPr>
          <w:p w14:paraId="0B8E3C12"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-0.941</w:t>
            </w:r>
          </w:p>
        </w:tc>
        <w:tc>
          <w:tcPr>
            <w:tcW w:w="1315" w:type="dxa"/>
            <w:tcBorders>
              <w:top w:val="nil"/>
              <w:left w:val="nil"/>
              <w:bottom w:val="single" w:sz="8" w:space="0" w:color="auto"/>
              <w:right w:val="single" w:sz="8" w:space="0" w:color="auto"/>
            </w:tcBorders>
            <w:shd w:val="clear" w:color="auto" w:fill="auto"/>
            <w:noWrap/>
            <w:vAlign w:val="center"/>
            <w:hideMark/>
          </w:tcPr>
          <w:p w14:paraId="6AA335E9"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-2.707</w:t>
            </w:r>
          </w:p>
        </w:tc>
        <w:tc>
          <w:tcPr>
            <w:tcW w:w="1315" w:type="dxa"/>
            <w:tcBorders>
              <w:top w:val="nil"/>
              <w:left w:val="nil"/>
              <w:bottom w:val="single" w:sz="8" w:space="0" w:color="auto"/>
              <w:right w:val="single" w:sz="8" w:space="0" w:color="auto"/>
            </w:tcBorders>
            <w:shd w:val="clear" w:color="auto" w:fill="auto"/>
            <w:noWrap/>
            <w:vAlign w:val="center"/>
            <w:hideMark/>
          </w:tcPr>
          <w:p w14:paraId="12580E67"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-3.680</w:t>
            </w:r>
          </w:p>
        </w:tc>
        <w:tc>
          <w:tcPr>
            <w:tcW w:w="1316" w:type="dxa"/>
            <w:tcBorders>
              <w:top w:val="nil"/>
              <w:left w:val="nil"/>
              <w:bottom w:val="single" w:sz="8" w:space="0" w:color="auto"/>
              <w:right w:val="single" w:sz="8" w:space="0" w:color="auto"/>
            </w:tcBorders>
            <w:shd w:val="clear" w:color="auto" w:fill="auto"/>
            <w:noWrap/>
            <w:vAlign w:val="center"/>
            <w:hideMark/>
          </w:tcPr>
          <w:p w14:paraId="572D4854"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-172.526</w:t>
            </w:r>
          </w:p>
        </w:tc>
      </w:tr>
      <w:tr w:rsidR="00C92CD8" w14:paraId="4F40F1B4" w14:textId="77777777" w:rsidTr="009668E2">
        <w:trPr>
          <w:trHeight w:val="30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3DB7F26" w14:textId="77777777" w:rsidR="00FF3400" w:rsidRPr="009668E2" w:rsidRDefault="004A7A82" w:rsidP="00FF3400">
            <w:pPr>
              <w:rPr>
                <w:rFonts w:asciiTheme="minorHAnsi" w:eastAsia="Times New Roman" w:hAnsiTheme="minorHAnsi" w:cstheme="minorHAnsi"/>
                <w:color w:val="000000"/>
              </w:rPr>
            </w:pPr>
            <w:r w:rsidRPr="009668E2">
              <w:rPr>
                <w:rFonts w:asciiTheme="minorHAnsi" w:eastAsia="Times New Roman" w:hAnsiTheme="minorHAnsi" w:cstheme="minorHAnsi"/>
                <w:color w:val="000000"/>
              </w:rPr>
              <w:t>Business Rates Volatility Reserve</w:t>
            </w:r>
          </w:p>
        </w:tc>
        <w:tc>
          <w:tcPr>
            <w:tcW w:w="1401" w:type="dxa"/>
            <w:tcBorders>
              <w:top w:val="nil"/>
              <w:left w:val="nil"/>
              <w:bottom w:val="single" w:sz="8" w:space="0" w:color="auto"/>
              <w:right w:val="single" w:sz="8" w:space="0" w:color="auto"/>
            </w:tcBorders>
            <w:shd w:val="clear" w:color="auto" w:fill="auto"/>
            <w:noWrap/>
            <w:vAlign w:val="center"/>
            <w:hideMark/>
          </w:tcPr>
          <w:p w14:paraId="26A9C9EB"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-5.000</w:t>
            </w:r>
          </w:p>
        </w:tc>
        <w:tc>
          <w:tcPr>
            <w:tcW w:w="1315" w:type="dxa"/>
            <w:tcBorders>
              <w:top w:val="nil"/>
              <w:left w:val="nil"/>
              <w:bottom w:val="single" w:sz="8" w:space="0" w:color="auto"/>
              <w:right w:val="single" w:sz="8" w:space="0" w:color="auto"/>
            </w:tcBorders>
            <w:shd w:val="clear" w:color="auto" w:fill="auto"/>
            <w:noWrap/>
            <w:vAlign w:val="center"/>
            <w:hideMark/>
          </w:tcPr>
          <w:p w14:paraId="5AB4128A"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0.000</w:t>
            </w:r>
          </w:p>
        </w:tc>
        <w:tc>
          <w:tcPr>
            <w:tcW w:w="1315" w:type="dxa"/>
            <w:tcBorders>
              <w:top w:val="nil"/>
              <w:left w:val="nil"/>
              <w:bottom w:val="single" w:sz="8" w:space="0" w:color="auto"/>
              <w:right w:val="single" w:sz="8" w:space="0" w:color="auto"/>
            </w:tcBorders>
            <w:shd w:val="clear" w:color="auto" w:fill="auto"/>
            <w:noWrap/>
            <w:vAlign w:val="center"/>
            <w:hideMark/>
          </w:tcPr>
          <w:p w14:paraId="49380DA0"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0.000</w:t>
            </w:r>
          </w:p>
        </w:tc>
        <w:tc>
          <w:tcPr>
            <w:tcW w:w="1315" w:type="dxa"/>
            <w:tcBorders>
              <w:top w:val="nil"/>
              <w:left w:val="nil"/>
              <w:bottom w:val="single" w:sz="8" w:space="0" w:color="auto"/>
              <w:right w:val="single" w:sz="8" w:space="0" w:color="auto"/>
            </w:tcBorders>
            <w:shd w:val="clear" w:color="auto" w:fill="auto"/>
            <w:noWrap/>
            <w:vAlign w:val="center"/>
            <w:hideMark/>
          </w:tcPr>
          <w:p w14:paraId="066F96A2"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0.000</w:t>
            </w:r>
          </w:p>
        </w:tc>
        <w:tc>
          <w:tcPr>
            <w:tcW w:w="1316" w:type="dxa"/>
            <w:tcBorders>
              <w:top w:val="nil"/>
              <w:left w:val="nil"/>
              <w:bottom w:val="single" w:sz="8" w:space="0" w:color="auto"/>
              <w:right w:val="single" w:sz="8" w:space="0" w:color="auto"/>
            </w:tcBorders>
            <w:shd w:val="clear" w:color="auto" w:fill="auto"/>
            <w:noWrap/>
            <w:vAlign w:val="center"/>
            <w:hideMark/>
          </w:tcPr>
          <w:p w14:paraId="01F280B9"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-5.000</w:t>
            </w:r>
          </w:p>
        </w:tc>
      </w:tr>
      <w:tr w:rsidR="00C92CD8" w14:paraId="398A16E3" w14:textId="77777777" w:rsidTr="009668E2">
        <w:trPr>
          <w:trHeight w:val="30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9855E96" w14:textId="77777777" w:rsidR="00FF3400" w:rsidRPr="009668E2" w:rsidRDefault="004A7A82" w:rsidP="00FF3400">
            <w:pPr>
              <w:rPr>
                <w:rFonts w:asciiTheme="minorHAnsi" w:eastAsia="Times New Roman" w:hAnsiTheme="minorHAnsi" w:cstheme="minorHAnsi"/>
                <w:color w:val="000000"/>
              </w:rPr>
            </w:pPr>
            <w:r w:rsidRPr="009668E2">
              <w:rPr>
                <w:rFonts w:asciiTheme="minorHAnsi" w:eastAsia="Times New Roman" w:hAnsiTheme="minorHAnsi" w:cstheme="minorHAnsi"/>
                <w:color w:val="000000"/>
              </w:rPr>
              <w:t>LCC Service Reserves</w:t>
            </w:r>
          </w:p>
        </w:tc>
        <w:tc>
          <w:tcPr>
            <w:tcW w:w="1401" w:type="dxa"/>
            <w:tcBorders>
              <w:top w:val="nil"/>
              <w:left w:val="nil"/>
              <w:bottom w:val="single" w:sz="8" w:space="0" w:color="auto"/>
              <w:right w:val="single" w:sz="8" w:space="0" w:color="auto"/>
            </w:tcBorders>
            <w:shd w:val="clear" w:color="auto" w:fill="auto"/>
            <w:noWrap/>
            <w:vAlign w:val="center"/>
            <w:hideMark/>
          </w:tcPr>
          <w:p w14:paraId="5C8A62F4"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-94.823</w:t>
            </w:r>
          </w:p>
        </w:tc>
        <w:tc>
          <w:tcPr>
            <w:tcW w:w="1315" w:type="dxa"/>
            <w:tcBorders>
              <w:top w:val="nil"/>
              <w:left w:val="nil"/>
              <w:bottom w:val="single" w:sz="8" w:space="0" w:color="auto"/>
              <w:right w:val="single" w:sz="8" w:space="0" w:color="auto"/>
            </w:tcBorders>
            <w:shd w:val="clear" w:color="auto" w:fill="auto"/>
            <w:noWrap/>
            <w:vAlign w:val="center"/>
            <w:hideMark/>
          </w:tcPr>
          <w:p w14:paraId="440308E7"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32.497</w:t>
            </w:r>
          </w:p>
        </w:tc>
        <w:tc>
          <w:tcPr>
            <w:tcW w:w="1315" w:type="dxa"/>
            <w:tcBorders>
              <w:top w:val="nil"/>
              <w:left w:val="nil"/>
              <w:bottom w:val="single" w:sz="8" w:space="0" w:color="auto"/>
              <w:right w:val="single" w:sz="8" w:space="0" w:color="auto"/>
            </w:tcBorders>
            <w:shd w:val="clear" w:color="auto" w:fill="auto"/>
            <w:noWrap/>
            <w:vAlign w:val="center"/>
            <w:hideMark/>
          </w:tcPr>
          <w:p w14:paraId="43794CBA"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20.460</w:t>
            </w:r>
          </w:p>
        </w:tc>
        <w:tc>
          <w:tcPr>
            <w:tcW w:w="1315" w:type="dxa"/>
            <w:tcBorders>
              <w:top w:val="nil"/>
              <w:left w:val="nil"/>
              <w:bottom w:val="single" w:sz="8" w:space="0" w:color="auto"/>
              <w:right w:val="single" w:sz="8" w:space="0" w:color="auto"/>
            </w:tcBorders>
            <w:shd w:val="clear" w:color="auto" w:fill="auto"/>
            <w:noWrap/>
            <w:vAlign w:val="center"/>
            <w:hideMark/>
          </w:tcPr>
          <w:p w14:paraId="1F814800"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9.525</w:t>
            </w:r>
          </w:p>
        </w:tc>
        <w:tc>
          <w:tcPr>
            <w:tcW w:w="1316" w:type="dxa"/>
            <w:tcBorders>
              <w:top w:val="nil"/>
              <w:left w:val="nil"/>
              <w:bottom w:val="single" w:sz="8" w:space="0" w:color="auto"/>
              <w:right w:val="single" w:sz="8" w:space="0" w:color="auto"/>
            </w:tcBorders>
            <w:shd w:val="clear" w:color="auto" w:fill="auto"/>
            <w:noWrap/>
            <w:vAlign w:val="center"/>
            <w:hideMark/>
          </w:tcPr>
          <w:p w14:paraId="3DB3E5F7"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-32.341</w:t>
            </w:r>
          </w:p>
        </w:tc>
      </w:tr>
      <w:tr w:rsidR="00C92CD8" w14:paraId="62C2F746" w14:textId="77777777" w:rsidTr="009668E2">
        <w:trPr>
          <w:trHeight w:val="300"/>
        </w:trPr>
        <w:tc>
          <w:tcPr>
            <w:tcW w:w="2542" w:type="dxa"/>
            <w:tcBorders>
              <w:top w:val="nil"/>
              <w:left w:val="single" w:sz="8" w:space="0" w:color="auto"/>
              <w:bottom w:val="nil"/>
              <w:right w:val="single" w:sz="8" w:space="0" w:color="auto"/>
            </w:tcBorders>
            <w:shd w:val="clear" w:color="auto" w:fill="auto"/>
            <w:vAlign w:val="center"/>
            <w:hideMark/>
          </w:tcPr>
          <w:p w14:paraId="019CDA5C" w14:textId="77777777" w:rsidR="00FF3400" w:rsidRPr="009668E2" w:rsidRDefault="004A7A82" w:rsidP="00FF3400">
            <w:pPr>
              <w:rPr>
                <w:rFonts w:asciiTheme="minorHAnsi" w:eastAsia="Times New Roman" w:hAnsiTheme="minorHAnsi" w:cstheme="minorHAnsi"/>
                <w:color w:val="000000"/>
              </w:rPr>
            </w:pPr>
            <w:r w:rsidRPr="009668E2">
              <w:rPr>
                <w:rFonts w:asciiTheme="minorHAnsi" w:eastAsia="Times New Roman" w:hAnsiTheme="minorHAnsi" w:cstheme="minorHAnsi"/>
                <w:color w:val="000000"/>
              </w:rPr>
              <w:t>Treasury Management Valuation Reserve</w:t>
            </w:r>
          </w:p>
        </w:tc>
        <w:tc>
          <w:tcPr>
            <w:tcW w:w="1401" w:type="dxa"/>
            <w:tcBorders>
              <w:top w:val="nil"/>
              <w:left w:val="nil"/>
              <w:bottom w:val="single" w:sz="8" w:space="0" w:color="auto"/>
              <w:right w:val="single" w:sz="8" w:space="0" w:color="auto"/>
            </w:tcBorders>
            <w:shd w:val="clear" w:color="auto" w:fill="auto"/>
            <w:noWrap/>
            <w:vAlign w:val="center"/>
            <w:hideMark/>
          </w:tcPr>
          <w:p w14:paraId="7971B15E"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-27.317</w:t>
            </w:r>
          </w:p>
        </w:tc>
        <w:tc>
          <w:tcPr>
            <w:tcW w:w="1315" w:type="dxa"/>
            <w:tcBorders>
              <w:top w:val="nil"/>
              <w:left w:val="nil"/>
              <w:bottom w:val="nil"/>
              <w:right w:val="single" w:sz="8" w:space="0" w:color="auto"/>
            </w:tcBorders>
            <w:shd w:val="clear" w:color="auto" w:fill="auto"/>
            <w:noWrap/>
            <w:vAlign w:val="center"/>
            <w:hideMark/>
          </w:tcPr>
          <w:p w14:paraId="19AE5AF6"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0.000</w:t>
            </w:r>
          </w:p>
        </w:tc>
        <w:tc>
          <w:tcPr>
            <w:tcW w:w="1315" w:type="dxa"/>
            <w:tcBorders>
              <w:top w:val="nil"/>
              <w:left w:val="nil"/>
              <w:bottom w:val="nil"/>
              <w:right w:val="single" w:sz="8" w:space="0" w:color="auto"/>
            </w:tcBorders>
            <w:shd w:val="clear" w:color="auto" w:fill="auto"/>
            <w:noWrap/>
            <w:vAlign w:val="center"/>
            <w:hideMark/>
          </w:tcPr>
          <w:p w14:paraId="50E45F77"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0.000</w:t>
            </w:r>
          </w:p>
        </w:tc>
        <w:tc>
          <w:tcPr>
            <w:tcW w:w="1315" w:type="dxa"/>
            <w:tcBorders>
              <w:top w:val="nil"/>
              <w:left w:val="nil"/>
              <w:bottom w:val="single" w:sz="8" w:space="0" w:color="auto"/>
              <w:right w:val="single" w:sz="8" w:space="0" w:color="auto"/>
            </w:tcBorders>
            <w:shd w:val="clear" w:color="auto" w:fill="auto"/>
            <w:noWrap/>
            <w:vAlign w:val="center"/>
            <w:hideMark/>
          </w:tcPr>
          <w:p w14:paraId="642F38BC"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0.000</w:t>
            </w:r>
          </w:p>
        </w:tc>
        <w:tc>
          <w:tcPr>
            <w:tcW w:w="1316" w:type="dxa"/>
            <w:tcBorders>
              <w:top w:val="nil"/>
              <w:left w:val="nil"/>
              <w:bottom w:val="single" w:sz="8" w:space="0" w:color="auto"/>
              <w:right w:val="single" w:sz="8" w:space="0" w:color="auto"/>
            </w:tcBorders>
            <w:shd w:val="clear" w:color="auto" w:fill="auto"/>
            <w:noWrap/>
            <w:vAlign w:val="center"/>
            <w:hideMark/>
          </w:tcPr>
          <w:p w14:paraId="02A082B4"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-27.317</w:t>
            </w:r>
          </w:p>
        </w:tc>
      </w:tr>
      <w:tr w:rsidR="00C92CD8" w14:paraId="25D7A16D" w14:textId="77777777" w:rsidTr="009668E2">
        <w:trPr>
          <w:trHeight w:val="300"/>
        </w:trPr>
        <w:tc>
          <w:tcPr>
            <w:tcW w:w="254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C9527FF" w14:textId="77777777" w:rsidR="00FF3400" w:rsidRPr="009668E2" w:rsidRDefault="004A7A82" w:rsidP="00FF3400">
            <w:pPr>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SUB TOTAL - LCC RESERVES</w:t>
            </w:r>
          </w:p>
        </w:tc>
        <w:tc>
          <w:tcPr>
            <w:tcW w:w="1401" w:type="dxa"/>
            <w:tcBorders>
              <w:top w:val="nil"/>
              <w:left w:val="nil"/>
              <w:bottom w:val="single" w:sz="8" w:space="0" w:color="auto"/>
              <w:right w:val="single" w:sz="8" w:space="0" w:color="auto"/>
            </w:tcBorders>
            <w:shd w:val="clear" w:color="000000" w:fill="BFBFBF"/>
            <w:noWrap/>
            <w:vAlign w:val="center"/>
            <w:hideMark/>
          </w:tcPr>
          <w:p w14:paraId="312C643D" w14:textId="77777777" w:rsidR="00FF3400" w:rsidRPr="009668E2" w:rsidRDefault="004A7A82" w:rsidP="00FF3400">
            <w:pPr>
              <w:jc w:val="right"/>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-303.475</w:t>
            </w:r>
          </w:p>
        </w:tc>
        <w:tc>
          <w:tcPr>
            <w:tcW w:w="1315" w:type="dxa"/>
            <w:tcBorders>
              <w:top w:val="single" w:sz="8" w:space="0" w:color="auto"/>
              <w:left w:val="nil"/>
              <w:bottom w:val="single" w:sz="8" w:space="0" w:color="auto"/>
              <w:right w:val="single" w:sz="8" w:space="0" w:color="auto"/>
            </w:tcBorders>
            <w:shd w:val="clear" w:color="000000" w:fill="BFBFBF"/>
            <w:noWrap/>
            <w:vAlign w:val="center"/>
            <w:hideMark/>
          </w:tcPr>
          <w:p w14:paraId="0F0E42B8" w14:textId="77777777" w:rsidR="00FF3400" w:rsidRPr="009668E2" w:rsidRDefault="004A7A82" w:rsidP="00FF3400">
            <w:pPr>
              <w:jc w:val="right"/>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34.987</w:t>
            </w:r>
          </w:p>
        </w:tc>
        <w:tc>
          <w:tcPr>
            <w:tcW w:w="1315" w:type="dxa"/>
            <w:tcBorders>
              <w:top w:val="single" w:sz="8" w:space="0" w:color="auto"/>
              <w:left w:val="nil"/>
              <w:bottom w:val="single" w:sz="8" w:space="0" w:color="auto"/>
              <w:right w:val="single" w:sz="8" w:space="0" w:color="auto"/>
            </w:tcBorders>
            <w:shd w:val="clear" w:color="000000" w:fill="BFBFBF"/>
            <w:noWrap/>
            <w:vAlign w:val="center"/>
            <w:hideMark/>
          </w:tcPr>
          <w:p w14:paraId="3122360E" w14:textId="77777777" w:rsidR="00FF3400" w:rsidRPr="009668E2" w:rsidRDefault="004A7A82" w:rsidP="00FF3400">
            <w:pPr>
              <w:jc w:val="right"/>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20.514</w:t>
            </w:r>
          </w:p>
        </w:tc>
        <w:tc>
          <w:tcPr>
            <w:tcW w:w="1315" w:type="dxa"/>
            <w:tcBorders>
              <w:top w:val="nil"/>
              <w:left w:val="nil"/>
              <w:bottom w:val="single" w:sz="8" w:space="0" w:color="auto"/>
              <w:right w:val="single" w:sz="8" w:space="0" w:color="auto"/>
            </w:tcBorders>
            <w:shd w:val="clear" w:color="000000" w:fill="BFBFBF"/>
            <w:noWrap/>
            <w:vAlign w:val="center"/>
            <w:hideMark/>
          </w:tcPr>
          <w:p w14:paraId="08808D2F" w14:textId="77777777" w:rsidR="00FF3400" w:rsidRPr="009668E2" w:rsidRDefault="004A7A82" w:rsidP="00FF3400">
            <w:pPr>
              <w:jc w:val="right"/>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7.600</w:t>
            </w:r>
          </w:p>
        </w:tc>
        <w:tc>
          <w:tcPr>
            <w:tcW w:w="1316" w:type="dxa"/>
            <w:tcBorders>
              <w:top w:val="nil"/>
              <w:left w:val="nil"/>
              <w:bottom w:val="single" w:sz="8" w:space="0" w:color="auto"/>
              <w:right w:val="single" w:sz="8" w:space="0" w:color="auto"/>
            </w:tcBorders>
            <w:shd w:val="clear" w:color="000000" w:fill="BFBFBF"/>
            <w:noWrap/>
            <w:vAlign w:val="center"/>
            <w:hideMark/>
          </w:tcPr>
          <w:p w14:paraId="46B4EC3C" w14:textId="77777777" w:rsidR="00FF3400" w:rsidRPr="009668E2" w:rsidRDefault="004A7A82" w:rsidP="00FF3400">
            <w:pPr>
              <w:jc w:val="right"/>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-240.374</w:t>
            </w:r>
          </w:p>
        </w:tc>
      </w:tr>
      <w:tr w:rsidR="00C92CD8" w14:paraId="5AF2E0B4" w14:textId="77777777" w:rsidTr="009668E2">
        <w:trPr>
          <w:trHeight w:val="30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C588E17" w14:textId="77777777" w:rsidR="00FF3400" w:rsidRPr="009668E2" w:rsidRDefault="004A7A82" w:rsidP="00FF3400">
            <w:pPr>
              <w:rPr>
                <w:rFonts w:asciiTheme="minorHAnsi" w:eastAsia="Times New Roman" w:hAnsiTheme="minorHAnsi" w:cstheme="minorHAnsi"/>
                <w:color w:val="000000"/>
              </w:rPr>
            </w:pPr>
            <w:r w:rsidRPr="009668E2">
              <w:rPr>
                <w:rFonts w:asciiTheme="minorHAnsi" w:eastAsia="Times New Roman" w:hAnsiTheme="minorHAnsi" w:cstheme="minorHAnsi"/>
                <w:color w:val="000000"/>
              </w:rPr>
              <w:t>Non LCC Service Reserves</w:t>
            </w:r>
          </w:p>
        </w:tc>
        <w:tc>
          <w:tcPr>
            <w:tcW w:w="1401" w:type="dxa"/>
            <w:tcBorders>
              <w:top w:val="nil"/>
              <w:left w:val="nil"/>
              <w:bottom w:val="single" w:sz="8" w:space="0" w:color="auto"/>
              <w:right w:val="single" w:sz="8" w:space="0" w:color="auto"/>
            </w:tcBorders>
            <w:shd w:val="clear" w:color="auto" w:fill="auto"/>
            <w:noWrap/>
            <w:vAlign w:val="center"/>
            <w:hideMark/>
          </w:tcPr>
          <w:p w14:paraId="4C4FEABC"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-21.907</w:t>
            </w:r>
          </w:p>
        </w:tc>
        <w:tc>
          <w:tcPr>
            <w:tcW w:w="1315" w:type="dxa"/>
            <w:tcBorders>
              <w:top w:val="nil"/>
              <w:left w:val="nil"/>
              <w:bottom w:val="nil"/>
              <w:right w:val="single" w:sz="8" w:space="0" w:color="auto"/>
            </w:tcBorders>
            <w:shd w:val="clear" w:color="auto" w:fill="auto"/>
            <w:noWrap/>
            <w:vAlign w:val="center"/>
            <w:hideMark/>
          </w:tcPr>
          <w:p w14:paraId="30ED1B18"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6.611</w:t>
            </w:r>
          </w:p>
        </w:tc>
        <w:tc>
          <w:tcPr>
            <w:tcW w:w="1315" w:type="dxa"/>
            <w:tcBorders>
              <w:top w:val="nil"/>
              <w:left w:val="nil"/>
              <w:bottom w:val="nil"/>
              <w:right w:val="single" w:sz="8" w:space="0" w:color="auto"/>
            </w:tcBorders>
            <w:shd w:val="clear" w:color="auto" w:fill="auto"/>
            <w:noWrap/>
            <w:vAlign w:val="center"/>
            <w:hideMark/>
          </w:tcPr>
          <w:p w14:paraId="133537AC"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0.444</w:t>
            </w:r>
          </w:p>
        </w:tc>
        <w:tc>
          <w:tcPr>
            <w:tcW w:w="1315" w:type="dxa"/>
            <w:tcBorders>
              <w:top w:val="nil"/>
              <w:left w:val="nil"/>
              <w:bottom w:val="single" w:sz="8" w:space="0" w:color="auto"/>
              <w:right w:val="single" w:sz="8" w:space="0" w:color="auto"/>
            </w:tcBorders>
            <w:shd w:val="clear" w:color="auto" w:fill="auto"/>
            <w:noWrap/>
            <w:vAlign w:val="center"/>
            <w:hideMark/>
          </w:tcPr>
          <w:p w14:paraId="7BA56DB0"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0.025</w:t>
            </w:r>
          </w:p>
        </w:tc>
        <w:tc>
          <w:tcPr>
            <w:tcW w:w="1316" w:type="dxa"/>
            <w:tcBorders>
              <w:top w:val="nil"/>
              <w:left w:val="nil"/>
              <w:bottom w:val="single" w:sz="8" w:space="0" w:color="auto"/>
              <w:right w:val="single" w:sz="8" w:space="0" w:color="auto"/>
            </w:tcBorders>
            <w:shd w:val="clear" w:color="auto" w:fill="auto"/>
            <w:noWrap/>
            <w:vAlign w:val="center"/>
            <w:hideMark/>
          </w:tcPr>
          <w:p w14:paraId="146DFF96"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-14.827</w:t>
            </w:r>
          </w:p>
        </w:tc>
      </w:tr>
      <w:tr w:rsidR="00C92CD8" w14:paraId="0533B39B" w14:textId="77777777" w:rsidTr="009668E2">
        <w:trPr>
          <w:trHeight w:val="300"/>
        </w:trPr>
        <w:tc>
          <w:tcPr>
            <w:tcW w:w="2542" w:type="dxa"/>
            <w:tcBorders>
              <w:top w:val="nil"/>
              <w:left w:val="single" w:sz="8" w:space="0" w:color="auto"/>
              <w:bottom w:val="single" w:sz="8" w:space="0" w:color="auto"/>
              <w:right w:val="single" w:sz="8" w:space="0" w:color="auto"/>
            </w:tcBorders>
            <w:shd w:val="clear" w:color="000000" w:fill="BFBFBF"/>
            <w:vAlign w:val="center"/>
            <w:hideMark/>
          </w:tcPr>
          <w:p w14:paraId="32A3309C" w14:textId="77777777" w:rsidR="00FF3400" w:rsidRPr="009668E2" w:rsidRDefault="004A7A82" w:rsidP="00FF3400">
            <w:pPr>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SUB TOTAL - NON LCC RESERVES</w:t>
            </w:r>
          </w:p>
        </w:tc>
        <w:tc>
          <w:tcPr>
            <w:tcW w:w="1401" w:type="dxa"/>
            <w:tcBorders>
              <w:top w:val="nil"/>
              <w:left w:val="nil"/>
              <w:bottom w:val="single" w:sz="8" w:space="0" w:color="auto"/>
              <w:right w:val="single" w:sz="8" w:space="0" w:color="auto"/>
            </w:tcBorders>
            <w:shd w:val="clear" w:color="000000" w:fill="BFBFBF"/>
            <w:noWrap/>
            <w:vAlign w:val="center"/>
            <w:hideMark/>
          </w:tcPr>
          <w:p w14:paraId="398C94A2" w14:textId="77777777" w:rsidR="00FF3400" w:rsidRPr="009668E2" w:rsidRDefault="004A7A82" w:rsidP="00FF3400">
            <w:pPr>
              <w:jc w:val="right"/>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-21.907</w:t>
            </w:r>
          </w:p>
        </w:tc>
        <w:tc>
          <w:tcPr>
            <w:tcW w:w="1315" w:type="dxa"/>
            <w:tcBorders>
              <w:top w:val="single" w:sz="8" w:space="0" w:color="auto"/>
              <w:left w:val="nil"/>
              <w:bottom w:val="single" w:sz="8" w:space="0" w:color="auto"/>
              <w:right w:val="single" w:sz="8" w:space="0" w:color="auto"/>
            </w:tcBorders>
            <w:shd w:val="clear" w:color="000000" w:fill="BFBFBF"/>
            <w:noWrap/>
            <w:vAlign w:val="center"/>
            <w:hideMark/>
          </w:tcPr>
          <w:p w14:paraId="612EDB06" w14:textId="77777777" w:rsidR="00FF3400" w:rsidRPr="009668E2" w:rsidRDefault="004A7A82" w:rsidP="00FF3400">
            <w:pPr>
              <w:jc w:val="right"/>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6.611</w:t>
            </w:r>
          </w:p>
        </w:tc>
        <w:tc>
          <w:tcPr>
            <w:tcW w:w="1315" w:type="dxa"/>
            <w:tcBorders>
              <w:top w:val="single" w:sz="8" w:space="0" w:color="auto"/>
              <w:left w:val="nil"/>
              <w:bottom w:val="single" w:sz="8" w:space="0" w:color="auto"/>
              <w:right w:val="single" w:sz="8" w:space="0" w:color="auto"/>
            </w:tcBorders>
            <w:shd w:val="clear" w:color="000000" w:fill="BFBFBF"/>
            <w:noWrap/>
            <w:vAlign w:val="center"/>
            <w:hideMark/>
          </w:tcPr>
          <w:p w14:paraId="5D955CA7" w14:textId="77777777" w:rsidR="00FF3400" w:rsidRPr="009668E2" w:rsidRDefault="004A7A82" w:rsidP="00FF3400">
            <w:pPr>
              <w:jc w:val="right"/>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0.444</w:t>
            </w:r>
          </w:p>
        </w:tc>
        <w:tc>
          <w:tcPr>
            <w:tcW w:w="1315" w:type="dxa"/>
            <w:tcBorders>
              <w:top w:val="nil"/>
              <w:left w:val="nil"/>
              <w:bottom w:val="single" w:sz="8" w:space="0" w:color="auto"/>
              <w:right w:val="single" w:sz="8" w:space="0" w:color="auto"/>
            </w:tcBorders>
            <w:shd w:val="clear" w:color="000000" w:fill="BFBFBF"/>
            <w:noWrap/>
            <w:vAlign w:val="center"/>
            <w:hideMark/>
          </w:tcPr>
          <w:p w14:paraId="46106CF3" w14:textId="77777777" w:rsidR="00FF3400" w:rsidRPr="009668E2" w:rsidRDefault="004A7A82" w:rsidP="00FF3400">
            <w:pPr>
              <w:jc w:val="right"/>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0.025</w:t>
            </w:r>
          </w:p>
        </w:tc>
        <w:tc>
          <w:tcPr>
            <w:tcW w:w="1316" w:type="dxa"/>
            <w:tcBorders>
              <w:top w:val="nil"/>
              <w:left w:val="nil"/>
              <w:bottom w:val="single" w:sz="8" w:space="0" w:color="auto"/>
              <w:right w:val="single" w:sz="8" w:space="0" w:color="auto"/>
            </w:tcBorders>
            <w:shd w:val="clear" w:color="000000" w:fill="BFBFBF"/>
            <w:noWrap/>
            <w:vAlign w:val="center"/>
            <w:hideMark/>
          </w:tcPr>
          <w:p w14:paraId="7F3090E6" w14:textId="77777777" w:rsidR="00FF3400" w:rsidRPr="009668E2" w:rsidRDefault="004A7A82" w:rsidP="00FF3400">
            <w:pPr>
              <w:jc w:val="right"/>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-14.827</w:t>
            </w:r>
          </w:p>
        </w:tc>
      </w:tr>
      <w:tr w:rsidR="00C92CD8" w14:paraId="4B853A50" w14:textId="77777777" w:rsidTr="009668E2">
        <w:trPr>
          <w:trHeight w:val="300"/>
        </w:trPr>
        <w:tc>
          <w:tcPr>
            <w:tcW w:w="2542" w:type="dxa"/>
            <w:tcBorders>
              <w:top w:val="nil"/>
              <w:left w:val="single" w:sz="8" w:space="0" w:color="auto"/>
              <w:bottom w:val="nil"/>
              <w:right w:val="single" w:sz="8" w:space="0" w:color="auto"/>
            </w:tcBorders>
            <w:shd w:val="clear" w:color="auto" w:fill="auto"/>
            <w:vAlign w:val="center"/>
            <w:hideMark/>
          </w:tcPr>
          <w:p w14:paraId="2B7DF217" w14:textId="77777777" w:rsidR="00FF3400" w:rsidRPr="009668E2" w:rsidRDefault="004A7A82" w:rsidP="00FF3400">
            <w:pPr>
              <w:rPr>
                <w:rFonts w:asciiTheme="minorHAnsi" w:eastAsia="Times New Roman" w:hAnsiTheme="minorHAnsi" w:cstheme="minorHAnsi"/>
                <w:i/>
                <w:iCs/>
                <w:color w:val="000000"/>
              </w:rPr>
            </w:pPr>
            <w:r w:rsidRPr="009668E2">
              <w:rPr>
                <w:rFonts w:asciiTheme="minorHAnsi" w:eastAsia="Times New Roman" w:hAnsiTheme="minorHAnsi" w:cstheme="minorHAnsi"/>
                <w:i/>
                <w:iCs/>
                <w:color w:val="000000"/>
              </w:rPr>
              <w:t> </w:t>
            </w:r>
          </w:p>
        </w:tc>
        <w:tc>
          <w:tcPr>
            <w:tcW w:w="1401" w:type="dxa"/>
            <w:tcBorders>
              <w:top w:val="nil"/>
              <w:left w:val="nil"/>
              <w:bottom w:val="nil"/>
              <w:right w:val="single" w:sz="8" w:space="0" w:color="auto"/>
            </w:tcBorders>
            <w:shd w:val="clear" w:color="auto" w:fill="auto"/>
            <w:noWrap/>
            <w:vAlign w:val="center"/>
            <w:hideMark/>
          </w:tcPr>
          <w:p w14:paraId="19BD195A"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 </w:t>
            </w:r>
          </w:p>
        </w:tc>
        <w:tc>
          <w:tcPr>
            <w:tcW w:w="1315" w:type="dxa"/>
            <w:tcBorders>
              <w:top w:val="nil"/>
              <w:left w:val="nil"/>
              <w:bottom w:val="nil"/>
              <w:right w:val="single" w:sz="8" w:space="0" w:color="auto"/>
            </w:tcBorders>
            <w:shd w:val="clear" w:color="auto" w:fill="auto"/>
            <w:noWrap/>
            <w:vAlign w:val="center"/>
            <w:hideMark/>
          </w:tcPr>
          <w:p w14:paraId="06823FA1" w14:textId="77777777" w:rsidR="00FF3400" w:rsidRPr="009668E2" w:rsidRDefault="004A7A82" w:rsidP="00FF3400">
            <w:pPr>
              <w:jc w:val="right"/>
              <w:rPr>
                <w:rFonts w:asciiTheme="minorHAnsi" w:eastAsia="Times New Roman" w:hAnsiTheme="minorHAnsi" w:cstheme="minorHAnsi"/>
                <w:i/>
                <w:iCs/>
                <w:color w:val="000000"/>
              </w:rPr>
            </w:pPr>
            <w:r w:rsidRPr="009668E2">
              <w:rPr>
                <w:rFonts w:asciiTheme="minorHAnsi" w:eastAsia="Times New Roman" w:hAnsiTheme="minorHAnsi" w:cstheme="minorHAnsi"/>
                <w:i/>
                <w:iCs/>
                <w:color w:val="000000"/>
              </w:rPr>
              <w:t> </w:t>
            </w:r>
          </w:p>
        </w:tc>
        <w:tc>
          <w:tcPr>
            <w:tcW w:w="1315" w:type="dxa"/>
            <w:tcBorders>
              <w:top w:val="nil"/>
              <w:left w:val="nil"/>
              <w:bottom w:val="nil"/>
              <w:right w:val="single" w:sz="8" w:space="0" w:color="auto"/>
            </w:tcBorders>
            <w:shd w:val="clear" w:color="auto" w:fill="auto"/>
            <w:noWrap/>
            <w:vAlign w:val="center"/>
            <w:hideMark/>
          </w:tcPr>
          <w:p w14:paraId="4DCFC43A" w14:textId="77777777" w:rsidR="00FF3400" w:rsidRPr="009668E2" w:rsidRDefault="004A7A82" w:rsidP="00FF3400">
            <w:pPr>
              <w:jc w:val="right"/>
              <w:rPr>
                <w:rFonts w:asciiTheme="minorHAnsi" w:eastAsia="Times New Roman" w:hAnsiTheme="minorHAnsi" w:cstheme="minorHAnsi"/>
                <w:i/>
                <w:iCs/>
                <w:color w:val="000000"/>
              </w:rPr>
            </w:pPr>
            <w:r w:rsidRPr="009668E2">
              <w:rPr>
                <w:rFonts w:asciiTheme="minorHAnsi" w:eastAsia="Times New Roman" w:hAnsiTheme="minorHAnsi" w:cstheme="minorHAnsi"/>
                <w:i/>
                <w:iCs/>
                <w:color w:val="000000"/>
              </w:rPr>
              <w:t> </w:t>
            </w:r>
          </w:p>
        </w:tc>
        <w:tc>
          <w:tcPr>
            <w:tcW w:w="1315" w:type="dxa"/>
            <w:tcBorders>
              <w:top w:val="nil"/>
              <w:left w:val="nil"/>
              <w:bottom w:val="single" w:sz="8" w:space="0" w:color="auto"/>
              <w:right w:val="single" w:sz="8" w:space="0" w:color="auto"/>
            </w:tcBorders>
            <w:shd w:val="clear" w:color="auto" w:fill="auto"/>
            <w:noWrap/>
            <w:vAlign w:val="center"/>
            <w:hideMark/>
          </w:tcPr>
          <w:p w14:paraId="36A7BC83" w14:textId="77777777" w:rsidR="00FF3400" w:rsidRPr="009668E2" w:rsidRDefault="004A7A82" w:rsidP="00FF3400">
            <w:pPr>
              <w:jc w:val="right"/>
              <w:rPr>
                <w:rFonts w:asciiTheme="minorHAnsi" w:eastAsia="Times New Roman" w:hAnsiTheme="minorHAnsi" w:cstheme="minorHAnsi"/>
                <w:i/>
                <w:iCs/>
                <w:color w:val="000000"/>
              </w:rPr>
            </w:pPr>
            <w:r w:rsidRPr="009668E2">
              <w:rPr>
                <w:rFonts w:asciiTheme="minorHAnsi" w:eastAsia="Times New Roman" w:hAnsiTheme="minorHAnsi" w:cstheme="minorHAnsi"/>
                <w:i/>
                <w:iCs/>
                <w:color w:val="000000"/>
              </w:rPr>
              <w:t> </w:t>
            </w:r>
          </w:p>
        </w:tc>
        <w:tc>
          <w:tcPr>
            <w:tcW w:w="1316" w:type="dxa"/>
            <w:tcBorders>
              <w:top w:val="nil"/>
              <w:left w:val="nil"/>
              <w:bottom w:val="single" w:sz="8" w:space="0" w:color="auto"/>
              <w:right w:val="single" w:sz="8" w:space="0" w:color="auto"/>
            </w:tcBorders>
            <w:shd w:val="clear" w:color="auto" w:fill="auto"/>
            <w:noWrap/>
            <w:vAlign w:val="center"/>
            <w:hideMark/>
          </w:tcPr>
          <w:p w14:paraId="5BF7C674" w14:textId="77777777" w:rsidR="00FF3400" w:rsidRPr="009668E2" w:rsidRDefault="004A7A82" w:rsidP="00FF3400">
            <w:pPr>
              <w:jc w:val="right"/>
              <w:rPr>
                <w:rFonts w:asciiTheme="minorHAnsi" w:eastAsia="Times New Roman" w:hAnsiTheme="minorHAnsi" w:cstheme="minorHAnsi"/>
                <w:color w:val="000000"/>
              </w:rPr>
            </w:pPr>
            <w:r w:rsidRPr="009668E2">
              <w:rPr>
                <w:rFonts w:asciiTheme="minorHAnsi" w:eastAsia="Times New Roman" w:hAnsiTheme="minorHAnsi" w:cstheme="minorHAnsi"/>
                <w:color w:val="000000"/>
              </w:rPr>
              <w:t> </w:t>
            </w:r>
          </w:p>
        </w:tc>
      </w:tr>
      <w:tr w:rsidR="00C92CD8" w14:paraId="3FAA554F" w14:textId="77777777" w:rsidTr="009668E2">
        <w:trPr>
          <w:trHeight w:val="300"/>
        </w:trPr>
        <w:tc>
          <w:tcPr>
            <w:tcW w:w="254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11AF7A9" w14:textId="77777777" w:rsidR="00FF3400" w:rsidRPr="009668E2" w:rsidRDefault="004A7A82" w:rsidP="00FF3400">
            <w:pPr>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GRAND TOTAL</w:t>
            </w:r>
          </w:p>
        </w:tc>
        <w:tc>
          <w:tcPr>
            <w:tcW w:w="1401" w:type="dxa"/>
            <w:tcBorders>
              <w:top w:val="single" w:sz="8" w:space="0" w:color="auto"/>
              <w:left w:val="nil"/>
              <w:bottom w:val="single" w:sz="8" w:space="0" w:color="auto"/>
              <w:right w:val="single" w:sz="8" w:space="0" w:color="auto"/>
            </w:tcBorders>
            <w:shd w:val="clear" w:color="000000" w:fill="BFBFBF"/>
            <w:noWrap/>
            <w:vAlign w:val="center"/>
            <w:hideMark/>
          </w:tcPr>
          <w:p w14:paraId="129BFE1E" w14:textId="77777777" w:rsidR="00FF3400" w:rsidRPr="009668E2" w:rsidRDefault="004A7A82" w:rsidP="00FF3400">
            <w:pPr>
              <w:jc w:val="right"/>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-348.819</w:t>
            </w:r>
          </w:p>
        </w:tc>
        <w:tc>
          <w:tcPr>
            <w:tcW w:w="1315" w:type="dxa"/>
            <w:tcBorders>
              <w:top w:val="single" w:sz="8" w:space="0" w:color="auto"/>
              <w:left w:val="nil"/>
              <w:bottom w:val="single" w:sz="8" w:space="0" w:color="auto"/>
              <w:right w:val="single" w:sz="8" w:space="0" w:color="auto"/>
            </w:tcBorders>
            <w:shd w:val="clear" w:color="000000" w:fill="BFBFBF"/>
            <w:noWrap/>
            <w:vAlign w:val="center"/>
            <w:hideMark/>
          </w:tcPr>
          <w:p w14:paraId="057071B6" w14:textId="77777777" w:rsidR="00FF3400" w:rsidRPr="009668E2" w:rsidRDefault="004A7A82" w:rsidP="00FF3400">
            <w:pPr>
              <w:jc w:val="right"/>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41.598</w:t>
            </w:r>
          </w:p>
        </w:tc>
        <w:tc>
          <w:tcPr>
            <w:tcW w:w="1315" w:type="dxa"/>
            <w:tcBorders>
              <w:top w:val="single" w:sz="8" w:space="0" w:color="auto"/>
              <w:left w:val="nil"/>
              <w:bottom w:val="single" w:sz="8" w:space="0" w:color="auto"/>
              <w:right w:val="single" w:sz="8" w:space="0" w:color="auto"/>
            </w:tcBorders>
            <w:shd w:val="clear" w:color="000000" w:fill="BFBFBF"/>
            <w:noWrap/>
            <w:vAlign w:val="center"/>
            <w:hideMark/>
          </w:tcPr>
          <w:p w14:paraId="45C6F80F" w14:textId="77777777" w:rsidR="00FF3400" w:rsidRPr="009668E2" w:rsidRDefault="004A7A82" w:rsidP="00FF3400">
            <w:pPr>
              <w:jc w:val="right"/>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20.958</w:t>
            </w:r>
          </w:p>
        </w:tc>
        <w:tc>
          <w:tcPr>
            <w:tcW w:w="1315" w:type="dxa"/>
            <w:tcBorders>
              <w:top w:val="nil"/>
              <w:left w:val="nil"/>
              <w:bottom w:val="single" w:sz="8" w:space="0" w:color="auto"/>
              <w:right w:val="single" w:sz="8" w:space="0" w:color="auto"/>
            </w:tcBorders>
            <w:shd w:val="clear" w:color="000000" w:fill="BFBFBF"/>
            <w:noWrap/>
            <w:vAlign w:val="center"/>
            <w:hideMark/>
          </w:tcPr>
          <w:p w14:paraId="7D271FFA" w14:textId="77777777" w:rsidR="00FF3400" w:rsidRPr="009668E2" w:rsidRDefault="004A7A82" w:rsidP="00FF3400">
            <w:pPr>
              <w:jc w:val="right"/>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7.625</w:t>
            </w:r>
          </w:p>
        </w:tc>
        <w:tc>
          <w:tcPr>
            <w:tcW w:w="1316" w:type="dxa"/>
            <w:tcBorders>
              <w:top w:val="nil"/>
              <w:left w:val="nil"/>
              <w:bottom w:val="single" w:sz="8" w:space="0" w:color="auto"/>
              <w:right w:val="single" w:sz="8" w:space="0" w:color="auto"/>
            </w:tcBorders>
            <w:shd w:val="clear" w:color="000000" w:fill="BFBFBF"/>
            <w:noWrap/>
            <w:vAlign w:val="center"/>
            <w:hideMark/>
          </w:tcPr>
          <w:p w14:paraId="6102B36D" w14:textId="77777777" w:rsidR="00FF3400" w:rsidRPr="009668E2" w:rsidRDefault="004A7A82" w:rsidP="00FF3400">
            <w:pPr>
              <w:jc w:val="right"/>
              <w:rPr>
                <w:rFonts w:asciiTheme="minorHAnsi" w:eastAsia="Times New Roman" w:hAnsiTheme="minorHAnsi" w:cstheme="minorHAnsi"/>
                <w:b/>
                <w:bCs/>
                <w:color w:val="000000"/>
              </w:rPr>
            </w:pPr>
            <w:r w:rsidRPr="009668E2">
              <w:rPr>
                <w:rFonts w:asciiTheme="minorHAnsi" w:eastAsia="Times New Roman" w:hAnsiTheme="minorHAnsi" w:cstheme="minorHAnsi"/>
                <w:b/>
                <w:bCs/>
                <w:color w:val="000000"/>
              </w:rPr>
              <w:t>-278.638</w:t>
            </w:r>
          </w:p>
        </w:tc>
      </w:tr>
    </w:tbl>
    <w:p w14:paraId="06E98F69" w14:textId="575B8A05" w:rsidR="2165DDB2" w:rsidRDefault="2165DDB2" w:rsidP="2165DDB2">
      <w:pPr>
        <w:tabs>
          <w:tab w:val="left" w:pos="567"/>
          <w:tab w:val="left" w:pos="1134"/>
        </w:tabs>
        <w:jc w:val="both"/>
        <w:rPr>
          <w:rFonts w:eastAsia="Calibri" w:cs="Arial"/>
          <w:b/>
          <w:bCs/>
          <w:color w:val="000000" w:themeColor="text1"/>
          <w:lang w:eastAsia="en-US"/>
        </w:rPr>
      </w:pPr>
    </w:p>
    <w:p w14:paraId="31804452" w14:textId="19E26CE5" w:rsidR="0034097C" w:rsidRDefault="004A7A82" w:rsidP="0034097C">
      <w:pPr>
        <w:tabs>
          <w:tab w:val="left" w:pos="567"/>
          <w:tab w:val="left" w:pos="1134"/>
        </w:tabs>
        <w:autoSpaceDE w:val="0"/>
        <w:autoSpaceDN w:val="0"/>
        <w:adjustRightInd w:val="0"/>
        <w:ind w:left="567" w:hanging="567"/>
        <w:jc w:val="both"/>
        <w:rPr>
          <w:rFonts w:eastAsia="Calibri" w:cs="Arial"/>
          <w:color w:val="000000"/>
          <w:lang w:eastAsia="en-US"/>
        </w:rPr>
      </w:pPr>
      <w:r>
        <w:rPr>
          <w:rFonts w:eastAsia="Calibri" w:cs="Arial"/>
          <w:color w:val="000000"/>
          <w:lang w:eastAsia="en-US"/>
        </w:rPr>
        <w:t>1</w:t>
      </w:r>
      <w:r w:rsidR="00DF6D2C">
        <w:rPr>
          <w:rFonts w:eastAsia="Calibri" w:cs="Arial"/>
          <w:color w:val="000000"/>
          <w:lang w:eastAsia="en-US"/>
        </w:rPr>
        <w:t>2</w:t>
      </w:r>
      <w:r>
        <w:rPr>
          <w:rFonts w:eastAsia="Calibri" w:cs="Arial"/>
          <w:color w:val="000000"/>
          <w:lang w:eastAsia="en-US"/>
        </w:rPr>
        <w:t>.1</w:t>
      </w:r>
      <w:r>
        <w:rPr>
          <w:rFonts w:eastAsia="Calibri" w:cs="Arial"/>
          <w:color w:val="000000"/>
          <w:lang w:eastAsia="en-US"/>
        </w:rPr>
        <w:tab/>
      </w:r>
      <w:r w:rsidRPr="0034097C">
        <w:rPr>
          <w:rFonts w:eastAsia="Calibri" w:cs="Arial"/>
          <w:color w:val="000000"/>
          <w:lang w:eastAsia="en-US"/>
        </w:rPr>
        <w:t xml:space="preserve">It is key that the </w:t>
      </w:r>
      <w:r w:rsidR="00136BBD">
        <w:rPr>
          <w:rFonts w:eastAsia="Calibri" w:cs="Arial"/>
          <w:color w:val="000000"/>
          <w:lang w:eastAsia="en-US"/>
        </w:rPr>
        <w:t>C</w:t>
      </w:r>
      <w:r w:rsidRPr="0034097C">
        <w:rPr>
          <w:rFonts w:eastAsia="Calibri" w:cs="Arial"/>
          <w:color w:val="000000"/>
          <w:lang w:eastAsia="en-US"/>
        </w:rPr>
        <w:t xml:space="preserve">ouncil holds an appropriate level of reserves to meet known future commitments </w:t>
      </w:r>
      <w:proofErr w:type="gramStart"/>
      <w:r w:rsidRPr="0034097C">
        <w:rPr>
          <w:rFonts w:eastAsia="Calibri" w:cs="Arial"/>
          <w:color w:val="000000"/>
          <w:lang w:eastAsia="en-US"/>
        </w:rPr>
        <w:t>and also</w:t>
      </w:r>
      <w:proofErr w:type="gramEnd"/>
      <w:r w:rsidRPr="0034097C">
        <w:rPr>
          <w:rFonts w:eastAsia="Calibri" w:cs="Arial"/>
          <w:color w:val="000000"/>
          <w:lang w:eastAsia="en-US"/>
        </w:rPr>
        <w:t xml:space="preserve"> an appropriate level to mitigate against unforeseen future events.</w:t>
      </w:r>
      <w:r>
        <w:rPr>
          <w:rFonts w:eastAsia="Calibri" w:cs="Arial"/>
          <w:color w:val="000000"/>
          <w:lang w:eastAsia="en-US"/>
        </w:rPr>
        <w:tab/>
      </w:r>
    </w:p>
    <w:p w14:paraId="77BBABAE" w14:textId="77777777" w:rsidR="0034097C" w:rsidRDefault="0034097C" w:rsidP="0034097C">
      <w:pPr>
        <w:tabs>
          <w:tab w:val="left" w:pos="567"/>
          <w:tab w:val="left" w:pos="1134"/>
        </w:tabs>
        <w:autoSpaceDE w:val="0"/>
        <w:autoSpaceDN w:val="0"/>
        <w:adjustRightInd w:val="0"/>
        <w:ind w:left="567" w:hanging="567"/>
        <w:jc w:val="both"/>
        <w:rPr>
          <w:rFonts w:eastAsia="Calibri" w:cs="Arial"/>
          <w:color w:val="000000"/>
          <w:lang w:eastAsia="en-US"/>
        </w:rPr>
      </w:pPr>
    </w:p>
    <w:p w14:paraId="38D7CB36" w14:textId="684E4667" w:rsidR="0034097C" w:rsidRDefault="004A7A82" w:rsidP="0034097C">
      <w:pPr>
        <w:tabs>
          <w:tab w:val="left" w:pos="567"/>
          <w:tab w:val="left" w:pos="1134"/>
        </w:tabs>
        <w:autoSpaceDE w:val="0"/>
        <w:autoSpaceDN w:val="0"/>
        <w:adjustRightInd w:val="0"/>
        <w:ind w:left="567" w:hanging="567"/>
        <w:jc w:val="both"/>
        <w:rPr>
          <w:rFonts w:eastAsia="Calibri" w:cs="Arial"/>
          <w:color w:val="000000"/>
          <w:lang w:eastAsia="en-US"/>
        </w:rPr>
      </w:pPr>
      <w:r w:rsidRPr="1296B87A">
        <w:rPr>
          <w:rFonts w:eastAsia="Calibri" w:cs="Arial"/>
          <w:color w:val="000000" w:themeColor="text1"/>
          <w:lang w:eastAsia="en-US"/>
        </w:rPr>
        <w:t>1</w:t>
      </w:r>
      <w:r w:rsidR="00DF6D2C">
        <w:rPr>
          <w:rFonts w:eastAsia="Calibri" w:cs="Arial"/>
          <w:color w:val="000000" w:themeColor="text1"/>
          <w:lang w:eastAsia="en-US"/>
        </w:rPr>
        <w:t>2</w:t>
      </w:r>
      <w:r w:rsidR="57DE8EDD" w:rsidRPr="1296B87A">
        <w:rPr>
          <w:rFonts w:eastAsia="Calibri" w:cs="Arial"/>
          <w:color w:val="000000" w:themeColor="text1"/>
          <w:lang w:eastAsia="en-US"/>
        </w:rPr>
        <w:t>.2</w:t>
      </w:r>
      <w:r w:rsidR="00C07D66">
        <w:tab/>
      </w:r>
      <w:r w:rsidR="57DE8EDD" w:rsidRPr="1296B87A">
        <w:rPr>
          <w:rFonts w:eastAsia="Calibri" w:cs="Arial"/>
          <w:color w:val="000000" w:themeColor="text1"/>
          <w:lang w:eastAsia="en-US"/>
        </w:rPr>
        <w:t xml:space="preserve">It is however also important that the </w:t>
      </w:r>
      <w:r w:rsidR="00136BBD">
        <w:rPr>
          <w:rFonts w:eastAsia="Calibri" w:cs="Arial"/>
          <w:color w:val="000000" w:themeColor="text1"/>
          <w:lang w:eastAsia="en-US"/>
        </w:rPr>
        <w:t>C</w:t>
      </w:r>
      <w:r w:rsidR="57DE8EDD" w:rsidRPr="1296B87A">
        <w:rPr>
          <w:rFonts w:eastAsia="Calibri" w:cs="Arial"/>
          <w:color w:val="000000" w:themeColor="text1"/>
          <w:lang w:eastAsia="en-US"/>
        </w:rPr>
        <w:t xml:space="preserve">ouncil doesn’t hold higher than necessary level of reserves at the expense of service delivery.  </w:t>
      </w:r>
      <w:r w:rsidR="00A824B8">
        <w:rPr>
          <w:rFonts w:eastAsia="Calibri" w:cs="Arial"/>
          <w:color w:val="000000" w:themeColor="text1"/>
          <w:lang w:eastAsia="en-US"/>
        </w:rPr>
        <w:t>The total level of reserves forecast to be hel</w:t>
      </w:r>
      <w:r w:rsidR="00174479">
        <w:rPr>
          <w:rFonts w:eastAsia="Calibri" w:cs="Arial"/>
          <w:color w:val="000000" w:themeColor="text1"/>
          <w:lang w:eastAsia="en-US"/>
        </w:rPr>
        <w:t>d</w:t>
      </w:r>
      <w:r w:rsidR="00A824B8">
        <w:rPr>
          <w:rFonts w:eastAsia="Calibri" w:cs="Arial"/>
          <w:color w:val="000000" w:themeColor="text1"/>
          <w:lang w:eastAsia="en-US"/>
        </w:rPr>
        <w:t xml:space="preserve"> by the county council at the end of the 2023/24 financial year </w:t>
      </w:r>
      <w:r w:rsidR="00B31E52">
        <w:rPr>
          <w:rFonts w:eastAsia="Calibri" w:cs="Arial"/>
          <w:color w:val="000000" w:themeColor="text1"/>
          <w:lang w:eastAsia="en-US"/>
        </w:rPr>
        <w:t>is £303</w:t>
      </w:r>
      <w:r w:rsidR="00B65D91">
        <w:rPr>
          <w:rFonts w:eastAsia="Calibri" w:cs="Arial"/>
          <w:color w:val="000000" w:themeColor="text1"/>
          <w:lang w:eastAsia="en-US"/>
        </w:rPr>
        <w:t>m. The county council also holds reserves totalling c£22m that are predominantly partnership</w:t>
      </w:r>
      <w:r w:rsidR="00E91EB0">
        <w:rPr>
          <w:rFonts w:eastAsia="Calibri" w:cs="Arial"/>
          <w:color w:val="000000" w:themeColor="text1"/>
          <w:lang w:eastAsia="en-US"/>
        </w:rPr>
        <w:t>-</w:t>
      </w:r>
      <w:r w:rsidR="000D42FF">
        <w:rPr>
          <w:rFonts w:eastAsia="Calibri" w:cs="Arial"/>
          <w:color w:val="000000" w:themeColor="text1"/>
          <w:lang w:eastAsia="en-US"/>
        </w:rPr>
        <w:t xml:space="preserve">related reserves. </w:t>
      </w:r>
      <w:proofErr w:type="gramStart"/>
      <w:r w:rsidR="000D42FF">
        <w:rPr>
          <w:rFonts w:eastAsia="Calibri" w:cs="Arial"/>
          <w:color w:val="000000" w:themeColor="text1"/>
          <w:lang w:eastAsia="en-US"/>
        </w:rPr>
        <w:t>The majority of</w:t>
      </w:r>
      <w:proofErr w:type="gramEnd"/>
      <w:r w:rsidR="000D42FF">
        <w:rPr>
          <w:rFonts w:eastAsia="Calibri" w:cs="Arial"/>
          <w:color w:val="000000" w:themeColor="text1"/>
          <w:lang w:eastAsia="en-US"/>
        </w:rPr>
        <w:t xml:space="preserve"> the reserves held by the county council are earmarked </w:t>
      </w:r>
      <w:r w:rsidR="00DF0DE2">
        <w:rPr>
          <w:rFonts w:eastAsia="Calibri" w:cs="Arial"/>
          <w:color w:val="000000" w:themeColor="text1"/>
          <w:lang w:eastAsia="en-US"/>
        </w:rPr>
        <w:t xml:space="preserve">for specific purposes and in some cases linked to grant conditions as to how funds should be spent. </w:t>
      </w:r>
    </w:p>
    <w:p w14:paraId="3D108F50" w14:textId="379D80F9" w:rsidR="2165DDB2" w:rsidRDefault="2165DDB2" w:rsidP="00CF5762">
      <w:pPr>
        <w:tabs>
          <w:tab w:val="left" w:pos="567"/>
          <w:tab w:val="left" w:pos="1134"/>
        </w:tabs>
        <w:jc w:val="both"/>
        <w:rPr>
          <w:rFonts w:eastAsia="Calibri" w:cs="Arial"/>
          <w:color w:val="FF0000"/>
          <w:lang w:eastAsia="en-US"/>
        </w:rPr>
      </w:pPr>
    </w:p>
    <w:p w14:paraId="5BFE404B" w14:textId="5BF4B02C" w:rsidR="00A161B2" w:rsidRDefault="004A7A82" w:rsidP="00A161B2">
      <w:pPr>
        <w:ind w:left="567" w:hanging="567"/>
        <w:jc w:val="both"/>
        <w:textAlignment w:val="baseline"/>
        <w:rPr>
          <w:rFonts w:eastAsia="Calibri" w:cs="Arial"/>
          <w:color w:val="000000"/>
          <w:lang w:eastAsia="en-US"/>
        </w:rPr>
      </w:pPr>
      <w:r>
        <w:rPr>
          <w:rFonts w:eastAsia="Calibri" w:cs="Arial"/>
          <w:color w:val="000000"/>
          <w:lang w:eastAsia="en-US"/>
        </w:rPr>
        <w:t>1</w:t>
      </w:r>
      <w:r w:rsidR="00DF6D2C">
        <w:rPr>
          <w:rFonts w:eastAsia="Calibri" w:cs="Arial"/>
          <w:color w:val="000000"/>
          <w:lang w:eastAsia="en-US"/>
        </w:rPr>
        <w:t>2</w:t>
      </w:r>
      <w:r>
        <w:rPr>
          <w:rFonts w:eastAsia="Calibri" w:cs="Arial"/>
          <w:color w:val="000000"/>
          <w:lang w:eastAsia="en-US"/>
        </w:rPr>
        <w:t>.3</w:t>
      </w:r>
      <w:r>
        <w:rPr>
          <w:rFonts w:eastAsia="Calibri" w:cs="Arial"/>
          <w:color w:val="000000"/>
          <w:lang w:eastAsia="en-US"/>
        </w:rPr>
        <w:tab/>
      </w:r>
      <w:r w:rsidRPr="0034097C">
        <w:rPr>
          <w:rFonts w:eastAsia="Calibri" w:cs="Arial"/>
          <w:color w:val="000000"/>
          <w:lang w:eastAsia="en-US"/>
        </w:rPr>
        <w:t xml:space="preserve">The County Fund shown at the top of Table </w:t>
      </w:r>
      <w:r w:rsidR="00BD33D7">
        <w:rPr>
          <w:rFonts w:eastAsia="Calibri" w:cs="Arial"/>
          <w:color w:val="000000"/>
          <w:lang w:eastAsia="en-US"/>
        </w:rPr>
        <w:t>1</w:t>
      </w:r>
      <w:r w:rsidR="006A7473">
        <w:rPr>
          <w:rFonts w:eastAsia="Calibri" w:cs="Arial"/>
          <w:color w:val="000000"/>
          <w:lang w:eastAsia="en-US"/>
        </w:rPr>
        <w:t>1</w:t>
      </w:r>
      <w:r w:rsidRPr="0034097C">
        <w:rPr>
          <w:rFonts w:eastAsia="Calibri" w:cs="Arial"/>
          <w:color w:val="000000"/>
          <w:lang w:eastAsia="en-US"/>
        </w:rPr>
        <w:t xml:space="preserve"> is the balance set aside to cover the authority against a serious emergency situation (</w:t>
      </w:r>
      <w:proofErr w:type="gramStart"/>
      <w:r w:rsidRPr="0034097C">
        <w:rPr>
          <w:rFonts w:eastAsia="Calibri" w:cs="Arial"/>
          <w:color w:val="000000"/>
          <w:lang w:eastAsia="en-US"/>
        </w:rPr>
        <w:t>e.g.</w:t>
      </w:r>
      <w:proofErr w:type="gramEnd"/>
      <w:r w:rsidRPr="0034097C">
        <w:rPr>
          <w:rFonts w:eastAsia="Calibri" w:cs="Arial"/>
          <w:color w:val="000000"/>
          <w:lang w:eastAsia="en-US"/>
        </w:rPr>
        <w:t xml:space="preserve"> widespread flooding); a critical and unexpected loss of income to the authority and for general cash flow purposes. In considering these various factors the county council is forecast to maintain its County Fund balance at £23.437m, equating to circa 2.</w:t>
      </w:r>
      <w:r w:rsidR="0021035B">
        <w:rPr>
          <w:rFonts w:eastAsia="Calibri" w:cs="Arial"/>
          <w:color w:val="000000"/>
          <w:lang w:eastAsia="en-US"/>
        </w:rPr>
        <w:t>1</w:t>
      </w:r>
      <w:r w:rsidRPr="0034097C">
        <w:rPr>
          <w:rFonts w:eastAsia="Calibri" w:cs="Arial"/>
          <w:color w:val="000000"/>
          <w:lang w:eastAsia="en-US"/>
        </w:rPr>
        <w:t>% of net budget.</w:t>
      </w:r>
    </w:p>
    <w:p w14:paraId="38903C58" w14:textId="77777777" w:rsidR="00A161B2" w:rsidRDefault="00A161B2" w:rsidP="00A161B2">
      <w:pPr>
        <w:ind w:left="567" w:hanging="567"/>
        <w:jc w:val="both"/>
        <w:textAlignment w:val="baseline"/>
        <w:rPr>
          <w:rFonts w:eastAsia="Calibri" w:cs="Arial"/>
          <w:color w:val="000000"/>
          <w:lang w:eastAsia="en-US"/>
        </w:rPr>
      </w:pPr>
    </w:p>
    <w:p w14:paraId="46856481" w14:textId="272D363D" w:rsidR="0034097C" w:rsidRPr="00C07D66" w:rsidRDefault="004A7A82" w:rsidP="00C07D66">
      <w:pPr>
        <w:ind w:left="567" w:hanging="567"/>
        <w:jc w:val="both"/>
        <w:textAlignment w:val="baseline"/>
        <w:rPr>
          <w:rFonts w:eastAsia="Arial" w:cs="Arial"/>
        </w:rPr>
      </w:pPr>
      <w:r>
        <w:rPr>
          <w:rFonts w:eastAsia="Arial" w:cs="Arial"/>
        </w:rPr>
        <w:t>1</w:t>
      </w:r>
      <w:r w:rsidR="00DF6D2C">
        <w:rPr>
          <w:rFonts w:eastAsia="Arial" w:cs="Arial"/>
        </w:rPr>
        <w:t>2</w:t>
      </w:r>
      <w:r w:rsidR="00A161B2">
        <w:rPr>
          <w:rFonts w:eastAsia="Arial" w:cs="Arial"/>
        </w:rPr>
        <w:t>.4</w:t>
      </w:r>
      <w:r w:rsidR="00A161B2">
        <w:rPr>
          <w:rFonts w:eastAsia="Arial" w:cs="Arial"/>
        </w:rPr>
        <w:tab/>
      </w:r>
      <w:r w:rsidR="00A161B2" w:rsidRPr="1D499E29">
        <w:rPr>
          <w:rFonts w:eastAsia="Arial" w:cs="Arial"/>
        </w:rPr>
        <w:t xml:space="preserve">The </w:t>
      </w:r>
      <w:r w:rsidR="00136BBD">
        <w:rPr>
          <w:rFonts w:eastAsia="Arial" w:cs="Arial"/>
        </w:rPr>
        <w:t>C</w:t>
      </w:r>
      <w:r w:rsidR="00A161B2" w:rsidRPr="1D499E29">
        <w:rPr>
          <w:rFonts w:eastAsia="Arial" w:cs="Arial"/>
        </w:rPr>
        <w:t xml:space="preserve">ouncil has established a transitional reserve to </w:t>
      </w:r>
      <w:r w:rsidR="00A161B2">
        <w:rPr>
          <w:rFonts w:eastAsia="Arial" w:cs="Arial"/>
        </w:rPr>
        <w:t>support the strategic delivery of a sustainable balanced budget position, including facilitating modernisation and transformation so that services can remain the best in class.</w:t>
      </w:r>
      <w:r w:rsidR="00A161B2" w:rsidRPr="1D499E29">
        <w:rPr>
          <w:rFonts w:eastAsia="Arial" w:cs="Arial"/>
        </w:rPr>
        <w:t xml:space="preserve"> The phasing of </w:t>
      </w:r>
      <w:r w:rsidR="00A161B2">
        <w:rPr>
          <w:rFonts w:eastAsia="Arial" w:cs="Arial"/>
        </w:rPr>
        <w:t xml:space="preserve">the introduction of the </w:t>
      </w:r>
      <w:r w:rsidR="00A161B2" w:rsidRPr="1D499E29">
        <w:rPr>
          <w:rFonts w:eastAsia="Arial" w:cs="Arial"/>
        </w:rPr>
        <w:t xml:space="preserve">savings needed allows the </w:t>
      </w:r>
      <w:r w:rsidR="00E407A6">
        <w:rPr>
          <w:rFonts w:eastAsia="Arial" w:cs="Arial"/>
        </w:rPr>
        <w:t>C</w:t>
      </w:r>
      <w:r w:rsidR="00A161B2" w:rsidRPr="1D499E29">
        <w:rPr>
          <w:rFonts w:eastAsia="Arial" w:cs="Arial"/>
        </w:rPr>
        <w:t xml:space="preserve">ouncil to minimise the impact on residents and service users through the development of </w:t>
      </w:r>
      <w:r w:rsidR="00A161B2">
        <w:rPr>
          <w:rFonts w:eastAsia="Arial" w:cs="Arial"/>
        </w:rPr>
        <w:t xml:space="preserve">fully </w:t>
      </w:r>
      <w:r w:rsidR="00A161B2" w:rsidRPr="1D499E29">
        <w:rPr>
          <w:rFonts w:eastAsia="Arial" w:cs="Arial"/>
        </w:rPr>
        <w:t>thought through proposals</w:t>
      </w:r>
      <w:r w:rsidR="00A161B2">
        <w:rPr>
          <w:rFonts w:eastAsia="Arial" w:cs="Arial"/>
        </w:rPr>
        <w:t xml:space="preserve">, with the transitional reserve supporting the budget whilst these are implemented. </w:t>
      </w:r>
    </w:p>
    <w:p w14:paraId="066D79F1" w14:textId="77777777" w:rsidR="0034097C" w:rsidRPr="0034097C" w:rsidRDefault="0034097C" w:rsidP="0034097C">
      <w:pPr>
        <w:autoSpaceDE w:val="0"/>
        <w:autoSpaceDN w:val="0"/>
        <w:adjustRightInd w:val="0"/>
        <w:ind w:right="-24"/>
        <w:jc w:val="both"/>
        <w:rPr>
          <w:rFonts w:eastAsia="Calibri" w:cs="Arial"/>
          <w:color w:val="000000"/>
          <w:lang w:eastAsia="en-US"/>
        </w:rPr>
      </w:pPr>
    </w:p>
    <w:p w14:paraId="30F1725B" w14:textId="379D6BC0" w:rsidR="0034097C" w:rsidRDefault="004A7A82" w:rsidP="00A161B2">
      <w:pPr>
        <w:autoSpaceDE w:val="0"/>
        <w:autoSpaceDN w:val="0"/>
        <w:adjustRightInd w:val="0"/>
        <w:ind w:left="567" w:right="-24" w:hanging="567"/>
        <w:jc w:val="both"/>
        <w:rPr>
          <w:rFonts w:eastAsia="Calibri" w:cs="Arial"/>
          <w:color w:val="000000"/>
          <w:lang w:eastAsia="en-US"/>
        </w:rPr>
      </w:pPr>
      <w:r w:rsidRPr="31D4F0B1">
        <w:rPr>
          <w:rFonts w:eastAsia="Calibri" w:cs="Arial"/>
          <w:color w:val="000000" w:themeColor="text1"/>
          <w:lang w:eastAsia="en-US"/>
        </w:rPr>
        <w:t>1</w:t>
      </w:r>
      <w:r w:rsidR="00DF6D2C" w:rsidRPr="31D4F0B1">
        <w:rPr>
          <w:rFonts w:eastAsia="Calibri" w:cs="Arial"/>
          <w:color w:val="000000" w:themeColor="text1"/>
          <w:lang w:eastAsia="en-US"/>
        </w:rPr>
        <w:t>2</w:t>
      </w:r>
      <w:r w:rsidRPr="31D4F0B1">
        <w:rPr>
          <w:rFonts w:eastAsia="Calibri" w:cs="Arial"/>
          <w:color w:val="000000" w:themeColor="text1"/>
          <w:lang w:eastAsia="en-US"/>
        </w:rPr>
        <w:t>.</w:t>
      </w:r>
      <w:r w:rsidR="00A161B2" w:rsidRPr="31D4F0B1">
        <w:rPr>
          <w:rFonts w:eastAsia="Calibri" w:cs="Arial"/>
          <w:color w:val="000000" w:themeColor="text1"/>
          <w:lang w:eastAsia="en-US"/>
        </w:rPr>
        <w:t>5</w:t>
      </w:r>
      <w:r>
        <w:tab/>
      </w:r>
      <w:r w:rsidRPr="31D4F0B1">
        <w:rPr>
          <w:rFonts w:eastAsia="Calibri" w:cs="Arial"/>
          <w:color w:val="000000" w:themeColor="text1"/>
          <w:lang w:eastAsia="en-US"/>
        </w:rPr>
        <w:t xml:space="preserve">The value of the uncommitted transitional reserve is currently forecast to be £165.198m by the end of March 2024 but this will also be impacted directly by the value of any final over or underspend for the current financial year. This will be sufficient to meet the currently forecast funding </w:t>
      </w:r>
      <w:r w:rsidR="3AFD7F43" w:rsidRPr="31D4F0B1">
        <w:rPr>
          <w:rFonts w:eastAsia="Calibri" w:cs="Arial"/>
          <w:color w:val="000000" w:themeColor="text1"/>
          <w:lang w:eastAsia="en-US"/>
        </w:rPr>
        <w:t>ga</w:t>
      </w:r>
      <w:r w:rsidR="062F98BF" w:rsidRPr="31D4F0B1">
        <w:rPr>
          <w:rFonts w:eastAsia="Calibri" w:cs="Arial"/>
          <w:color w:val="000000" w:themeColor="text1"/>
          <w:lang w:eastAsia="en-US"/>
        </w:rPr>
        <w:t>p</w:t>
      </w:r>
      <w:r w:rsidRPr="31D4F0B1">
        <w:rPr>
          <w:rFonts w:eastAsia="Calibri" w:cs="Arial"/>
          <w:color w:val="000000" w:themeColor="text1"/>
          <w:lang w:eastAsia="en-US"/>
        </w:rPr>
        <w:t xml:space="preserve"> as shown in Table </w:t>
      </w:r>
      <w:r w:rsidR="005F1638">
        <w:rPr>
          <w:rFonts w:eastAsia="Calibri" w:cs="Arial"/>
          <w:color w:val="000000" w:themeColor="text1"/>
          <w:lang w:eastAsia="en-US"/>
        </w:rPr>
        <w:t>12</w:t>
      </w:r>
      <w:r w:rsidRPr="31D4F0B1">
        <w:rPr>
          <w:rFonts w:eastAsia="Calibri" w:cs="Arial"/>
          <w:color w:val="000000" w:themeColor="text1"/>
          <w:lang w:eastAsia="en-US"/>
        </w:rPr>
        <w:t xml:space="preserve">. </w:t>
      </w:r>
    </w:p>
    <w:p w14:paraId="229A0883" w14:textId="77777777" w:rsidR="00A161B2" w:rsidRPr="0034097C" w:rsidRDefault="00A161B2" w:rsidP="00A161B2">
      <w:pPr>
        <w:autoSpaceDE w:val="0"/>
        <w:autoSpaceDN w:val="0"/>
        <w:adjustRightInd w:val="0"/>
        <w:ind w:left="567" w:right="-24" w:hanging="567"/>
        <w:jc w:val="both"/>
        <w:rPr>
          <w:rFonts w:eastAsia="Calibri" w:cs="Arial"/>
          <w:color w:val="000000"/>
          <w:lang w:eastAsia="en-US"/>
        </w:rPr>
      </w:pPr>
    </w:p>
    <w:p w14:paraId="2CE8C165" w14:textId="0EE99578" w:rsidR="0034097C" w:rsidRPr="0034097C" w:rsidRDefault="004A7A82" w:rsidP="0034097C">
      <w:pPr>
        <w:tabs>
          <w:tab w:val="left" w:pos="567"/>
          <w:tab w:val="left" w:pos="1134"/>
        </w:tabs>
        <w:autoSpaceDE w:val="0"/>
        <w:autoSpaceDN w:val="0"/>
        <w:adjustRightInd w:val="0"/>
        <w:jc w:val="both"/>
        <w:rPr>
          <w:rFonts w:eastAsia="Calibri" w:cs="Arial"/>
          <w:b/>
          <w:i/>
          <w:color w:val="000000"/>
          <w:u w:val="single"/>
          <w:lang w:eastAsia="en-US"/>
        </w:rPr>
      </w:pPr>
      <w:r w:rsidRPr="0034097C">
        <w:rPr>
          <w:rFonts w:eastAsia="Calibri" w:cs="Arial"/>
          <w:b/>
          <w:i/>
          <w:color w:val="000000"/>
          <w:u w:val="single"/>
          <w:lang w:eastAsia="en-US"/>
        </w:rPr>
        <w:t xml:space="preserve">Table </w:t>
      </w:r>
      <w:r w:rsidR="00467834">
        <w:rPr>
          <w:rFonts w:eastAsia="Calibri" w:cs="Arial"/>
          <w:b/>
          <w:i/>
          <w:color w:val="000000"/>
          <w:u w:val="single"/>
          <w:lang w:eastAsia="en-US"/>
        </w:rPr>
        <w:t>1</w:t>
      </w:r>
      <w:r w:rsidR="006A7473">
        <w:rPr>
          <w:rFonts w:eastAsia="Calibri" w:cs="Arial"/>
          <w:b/>
          <w:i/>
          <w:color w:val="000000"/>
          <w:u w:val="single"/>
          <w:lang w:eastAsia="en-US"/>
        </w:rPr>
        <w:t>2</w:t>
      </w:r>
    </w:p>
    <w:p w14:paraId="7850017A" w14:textId="77777777" w:rsidR="0034097C" w:rsidRPr="0034097C" w:rsidRDefault="0034097C" w:rsidP="0034097C">
      <w:pPr>
        <w:tabs>
          <w:tab w:val="left" w:pos="567"/>
          <w:tab w:val="left" w:pos="1134"/>
        </w:tabs>
        <w:autoSpaceDE w:val="0"/>
        <w:autoSpaceDN w:val="0"/>
        <w:adjustRightInd w:val="0"/>
        <w:jc w:val="both"/>
        <w:rPr>
          <w:rFonts w:eastAsia="Calibri" w:cs="Arial"/>
          <w:b/>
          <w:i/>
          <w:color w:val="000000"/>
          <w:u w:val="single"/>
          <w:lang w:eastAsia="en-US"/>
        </w:rPr>
      </w:pPr>
    </w:p>
    <w:tbl>
      <w:tblPr>
        <w:tblW w:w="9067" w:type="dxa"/>
        <w:tblInd w:w="113" w:type="dxa"/>
        <w:tblLook w:val="04A0" w:firstRow="1" w:lastRow="0" w:firstColumn="1" w:lastColumn="0" w:noHBand="0" w:noVBand="1"/>
      </w:tblPr>
      <w:tblGrid>
        <w:gridCol w:w="5320"/>
        <w:gridCol w:w="1249"/>
        <w:gridCol w:w="1249"/>
        <w:gridCol w:w="1249"/>
      </w:tblGrid>
      <w:tr w:rsidR="00C92CD8" w14:paraId="2FC5E326" w14:textId="77777777" w:rsidTr="00502C62">
        <w:trPr>
          <w:trHeight w:val="315"/>
        </w:trPr>
        <w:tc>
          <w:tcPr>
            <w:tcW w:w="532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559198" w14:textId="77777777" w:rsidR="0034097C" w:rsidRPr="0034097C" w:rsidRDefault="004A7A82" w:rsidP="0034097C">
            <w:pPr>
              <w:rPr>
                <w:rFonts w:eastAsia="Times New Roman" w:cs="Arial"/>
                <w:b/>
                <w:bCs/>
                <w:color w:val="000000"/>
              </w:rPr>
            </w:pPr>
            <w:r w:rsidRPr="0034097C">
              <w:rPr>
                <w:rFonts w:eastAsia="Times New Roman" w:cs="Arial"/>
                <w:b/>
                <w:bCs/>
                <w:color w:val="000000"/>
              </w:rPr>
              <w:t> </w:t>
            </w:r>
          </w:p>
        </w:tc>
        <w:tc>
          <w:tcPr>
            <w:tcW w:w="1249" w:type="dxa"/>
            <w:tcBorders>
              <w:top w:val="single" w:sz="4" w:space="0" w:color="auto"/>
              <w:left w:val="nil"/>
              <w:bottom w:val="single" w:sz="4" w:space="0" w:color="auto"/>
              <w:right w:val="single" w:sz="4" w:space="0" w:color="auto"/>
            </w:tcBorders>
            <w:shd w:val="clear" w:color="auto" w:fill="BFBFBF"/>
            <w:vAlign w:val="center"/>
            <w:hideMark/>
          </w:tcPr>
          <w:p w14:paraId="5DBF39D3" w14:textId="77777777" w:rsidR="0034097C" w:rsidRPr="0034097C" w:rsidRDefault="004A7A82" w:rsidP="0034097C">
            <w:pPr>
              <w:jc w:val="right"/>
              <w:rPr>
                <w:rFonts w:eastAsia="Times New Roman" w:cs="Arial"/>
                <w:b/>
                <w:bCs/>
                <w:color w:val="000000"/>
              </w:rPr>
            </w:pPr>
            <w:r w:rsidRPr="0034097C">
              <w:rPr>
                <w:rFonts w:eastAsia="Times New Roman" w:cs="Arial"/>
                <w:b/>
                <w:bCs/>
                <w:color w:val="000000"/>
              </w:rPr>
              <w:t>2024/25</w:t>
            </w:r>
          </w:p>
        </w:tc>
        <w:tc>
          <w:tcPr>
            <w:tcW w:w="1249" w:type="dxa"/>
            <w:tcBorders>
              <w:top w:val="single" w:sz="4" w:space="0" w:color="auto"/>
              <w:left w:val="nil"/>
              <w:bottom w:val="single" w:sz="4" w:space="0" w:color="auto"/>
              <w:right w:val="single" w:sz="4" w:space="0" w:color="auto"/>
            </w:tcBorders>
            <w:shd w:val="clear" w:color="auto" w:fill="BFBFBF"/>
            <w:vAlign w:val="center"/>
            <w:hideMark/>
          </w:tcPr>
          <w:p w14:paraId="0C1A4A0B" w14:textId="77777777" w:rsidR="0034097C" w:rsidRPr="0034097C" w:rsidRDefault="004A7A82" w:rsidP="0034097C">
            <w:pPr>
              <w:jc w:val="right"/>
              <w:rPr>
                <w:rFonts w:eastAsia="Times New Roman" w:cs="Arial"/>
                <w:b/>
                <w:bCs/>
                <w:color w:val="000000"/>
              </w:rPr>
            </w:pPr>
            <w:r w:rsidRPr="0034097C">
              <w:rPr>
                <w:rFonts w:eastAsia="Times New Roman" w:cs="Arial"/>
                <w:b/>
                <w:bCs/>
                <w:color w:val="000000"/>
              </w:rPr>
              <w:t>2025/26</w:t>
            </w:r>
          </w:p>
        </w:tc>
        <w:tc>
          <w:tcPr>
            <w:tcW w:w="1249" w:type="dxa"/>
            <w:tcBorders>
              <w:top w:val="single" w:sz="4" w:space="0" w:color="auto"/>
              <w:left w:val="nil"/>
              <w:bottom w:val="single" w:sz="4" w:space="0" w:color="auto"/>
              <w:right w:val="single" w:sz="4" w:space="0" w:color="auto"/>
            </w:tcBorders>
            <w:shd w:val="clear" w:color="auto" w:fill="BFBFBF"/>
            <w:vAlign w:val="center"/>
            <w:hideMark/>
          </w:tcPr>
          <w:p w14:paraId="67973B2C" w14:textId="77777777" w:rsidR="0034097C" w:rsidRPr="0034097C" w:rsidRDefault="004A7A82" w:rsidP="0034097C">
            <w:pPr>
              <w:jc w:val="right"/>
              <w:rPr>
                <w:rFonts w:eastAsia="Times New Roman" w:cs="Arial"/>
                <w:b/>
                <w:bCs/>
                <w:color w:val="000000"/>
              </w:rPr>
            </w:pPr>
            <w:r w:rsidRPr="0034097C">
              <w:rPr>
                <w:rFonts w:eastAsia="Times New Roman" w:cs="Arial"/>
                <w:b/>
                <w:bCs/>
                <w:color w:val="000000"/>
              </w:rPr>
              <w:t>2026/27</w:t>
            </w:r>
          </w:p>
        </w:tc>
      </w:tr>
      <w:tr w:rsidR="00C92CD8" w14:paraId="0F742699" w14:textId="77777777" w:rsidTr="00502C62">
        <w:trPr>
          <w:trHeight w:val="315"/>
        </w:trPr>
        <w:tc>
          <w:tcPr>
            <w:tcW w:w="5320" w:type="dxa"/>
            <w:tcBorders>
              <w:top w:val="nil"/>
              <w:left w:val="single" w:sz="4" w:space="0" w:color="auto"/>
              <w:bottom w:val="single" w:sz="4" w:space="0" w:color="auto"/>
              <w:right w:val="single" w:sz="4" w:space="0" w:color="auto"/>
            </w:tcBorders>
            <w:shd w:val="clear" w:color="auto" w:fill="BFBFBF"/>
            <w:vAlign w:val="center"/>
            <w:hideMark/>
          </w:tcPr>
          <w:p w14:paraId="55A7EC50" w14:textId="77777777" w:rsidR="0034097C" w:rsidRPr="0034097C" w:rsidRDefault="004A7A82" w:rsidP="0034097C">
            <w:pPr>
              <w:rPr>
                <w:rFonts w:eastAsia="Times New Roman" w:cs="Arial"/>
                <w:b/>
                <w:bCs/>
                <w:color w:val="000000"/>
              </w:rPr>
            </w:pPr>
            <w:r w:rsidRPr="0034097C">
              <w:rPr>
                <w:rFonts w:eastAsia="Times New Roman" w:cs="Arial"/>
                <w:b/>
                <w:bCs/>
                <w:color w:val="000000"/>
              </w:rPr>
              <w:t> </w:t>
            </w:r>
          </w:p>
        </w:tc>
        <w:tc>
          <w:tcPr>
            <w:tcW w:w="1249" w:type="dxa"/>
            <w:tcBorders>
              <w:top w:val="nil"/>
              <w:left w:val="nil"/>
              <w:bottom w:val="single" w:sz="4" w:space="0" w:color="auto"/>
              <w:right w:val="single" w:sz="4" w:space="0" w:color="auto"/>
            </w:tcBorders>
            <w:shd w:val="clear" w:color="auto" w:fill="BFBFBF"/>
            <w:vAlign w:val="center"/>
            <w:hideMark/>
          </w:tcPr>
          <w:p w14:paraId="2621AC27" w14:textId="77777777" w:rsidR="0034097C" w:rsidRPr="0034097C" w:rsidRDefault="004A7A82" w:rsidP="0034097C">
            <w:pPr>
              <w:jc w:val="center"/>
              <w:rPr>
                <w:rFonts w:eastAsia="Times New Roman" w:cs="Arial"/>
                <w:b/>
                <w:bCs/>
                <w:color w:val="000000"/>
              </w:rPr>
            </w:pPr>
            <w:r w:rsidRPr="0034097C">
              <w:rPr>
                <w:rFonts w:eastAsia="Times New Roman" w:cs="Arial"/>
                <w:b/>
                <w:bCs/>
                <w:color w:val="000000"/>
              </w:rPr>
              <w:t>£m</w:t>
            </w:r>
          </w:p>
        </w:tc>
        <w:tc>
          <w:tcPr>
            <w:tcW w:w="1249" w:type="dxa"/>
            <w:tcBorders>
              <w:top w:val="nil"/>
              <w:left w:val="nil"/>
              <w:bottom w:val="single" w:sz="4" w:space="0" w:color="auto"/>
              <w:right w:val="single" w:sz="4" w:space="0" w:color="auto"/>
            </w:tcBorders>
            <w:shd w:val="clear" w:color="auto" w:fill="BFBFBF"/>
            <w:vAlign w:val="center"/>
            <w:hideMark/>
          </w:tcPr>
          <w:p w14:paraId="74D62E01" w14:textId="77777777" w:rsidR="0034097C" w:rsidRPr="0034097C" w:rsidRDefault="004A7A82" w:rsidP="0034097C">
            <w:pPr>
              <w:jc w:val="center"/>
              <w:rPr>
                <w:rFonts w:eastAsia="Times New Roman" w:cs="Arial"/>
                <w:b/>
                <w:bCs/>
                <w:color w:val="000000"/>
              </w:rPr>
            </w:pPr>
            <w:r w:rsidRPr="0034097C">
              <w:rPr>
                <w:rFonts w:eastAsia="Times New Roman" w:cs="Arial"/>
                <w:b/>
                <w:bCs/>
                <w:color w:val="000000"/>
              </w:rPr>
              <w:t>£m</w:t>
            </w:r>
          </w:p>
        </w:tc>
        <w:tc>
          <w:tcPr>
            <w:tcW w:w="1249" w:type="dxa"/>
            <w:tcBorders>
              <w:top w:val="nil"/>
              <w:left w:val="nil"/>
              <w:bottom w:val="single" w:sz="4" w:space="0" w:color="auto"/>
              <w:right w:val="single" w:sz="4" w:space="0" w:color="auto"/>
            </w:tcBorders>
            <w:shd w:val="clear" w:color="auto" w:fill="BFBFBF"/>
            <w:vAlign w:val="center"/>
            <w:hideMark/>
          </w:tcPr>
          <w:p w14:paraId="57AFD466" w14:textId="77777777" w:rsidR="0034097C" w:rsidRPr="0034097C" w:rsidRDefault="004A7A82" w:rsidP="0034097C">
            <w:pPr>
              <w:jc w:val="center"/>
              <w:rPr>
                <w:rFonts w:eastAsia="Times New Roman" w:cs="Arial"/>
                <w:b/>
                <w:bCs/>
                <w:color w:val="000000"/>
              </w:rPr>
            </w:pPr>
            <w:r w:rsidRPr="0034097C">
              <w:rPr>
                <w:rFonts w:eastAsia="Times New Roman" w:cs="Arial"/>
                <w:b/>
                <w:bCs/>
                <w:color w:val="000000"/>
              </w:rPr>
              <w:t>£m</w:t>
            </w:r>
          </w:p>
        </w:tc>
      </w:tr>
      <w:tr w:rsidR="00C92CD8" w14:paraId="59CA6125" w14:textId="77777777" w:rsidTr="00502C62">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5F97161" w14:textId="77777777" w:rsidR="0034097C" w:rsidRPr="0034097C" w:rsidRDefault="004A7A82" w:rsidP="0034097C">
            <w:pPr>
              <w:rPr>
                <w:rFonts w:eastAsia="Times New Roman" w:cs="Arial"/>
                <w:b/>
                <w:bCs/>
                <w:color w:val="000000"/>
              </w:rPr>
            </w:pPr>
            <w:r w:rsidRPr="0034097C">
              <w:rPr>
                <w:rFonts w:eastAsia="Times New Roman" w:cs="Arial"/>
                <w:b/>
                <w:bCs/>
                <w:color w:val="000000"/>
              </w:rPr>
              <w:t>Opening Balance</w:t>
            </w:r>
          </w:p>
        </w:tc>
        <w:tc>
          <w:tcPr>
            <w:tcW w:w="1249" w:type="dxa"/>
            <w:tcBorders>
              <w:top w:val="nil"/>
              <w:left w:val="nil"/>
              <w:bottom w:val="single" w:sz="4" w:space="0" w:color="auto"/>
              <w:right w:val="single" w:sz="4" w:space="0" w:color="auto"/>
            </w:tcBorders>
            <w:shd w:val="clear" w:color="auto" w:fill="auto"/>
            <w:vAlign w:val="center"/>
            <w:hideMark/>
          </w:tcPr>
          <w:p w14:paraId="7D7F801C" w14:textId="77777777" w:rsidR="0034097C" w:rsidRPr="0034097C" w:rsidRDefault="004A7A82" w:rsidP="0034097C">
            <w:pPr>
              <w:jc w:val="right"/>
              <w:rPr>
                <w:rFonts w:eastAsia="Times New Roman" w:cs="Arial"/>
                <w:color w:val="000000"/>
              </w:rPr>
            </w:pPr>
            <w:r w:rsidRPr="0034097C">
              <w:rPr>
                <w:rFonts w:eastAsia="Times New Roman" w:cs="Arial"/>
                <w:color w:val="000000"/>
              </w:rPr>
              <w:t>165.198</w:t>
            </w:r>
          </w:p>
        </w:tc>
        <w:tc>
          <w:tcPr>
            <w:tcW w:w="1249" w:type="dxa"/>
            <w:tcBorders>
              <w:top w:val="nil"/>
              <w:left w:val="nil"/>
              <w:bottom w:val="single" w:sz="4" w:space="0" w:color="auto"/>
              <w:right w:val="single" w:sz="4" w:space="0" w:color="auto"/>
            </w:tcBorders>
            <w:shd w:val="clear" w:color="auto" w:fill="auto"/>
            <w:vAlign w:val="center"/>
            <w:hideMark/>
          </w:tcPr>
          <w:p w14:paraId="1F62A557" w14:textId="5D912712" w:rsidR="0034097C" w:rsidRPr="0034097C" w:rsidRDefault="004A7A82" w:rsidP="0034097C">
            <w:pPr>
              <w:jc w:val="right"/>
              <w:rPr>
                <w:rFonts w:eastAsia="Times New Roman" w:cs="Arial"/>
                <w:color w:val="000000"/>
              </w:rPr>
            </w:pPr>
            <w:r w:rsidRPr="0034097C">
              <w:rPr>
                <w:rFonts w:eastAsia="Times New Roman" w:cs="Arial"/>
                <w:color w:val="000000"/>
              </w:rPr>
              <w:t>16</w:t>
            </w:r>
            <w:r w:rsidR="00547938">
              <w:rPr>
                <w:rFonts w:eastAsia="Times New Roman" w:cs="Arial"/>
                <w:color w:val="000000"/>
              </w:rPr>
              <w:t>5.283</w:t>
            </w:r>
          </w:p>
        </w:tc>
        <w:tc>
          <w:tcPr>
            <w:tcW w:w="1249" w:type="dxa"/>
            <w:tcBorders>
              <w:top w:val="nil"/>
              <w:left w:val="nil"/>
              <w:bottom w:val="single" w:sz="4" w:space="0" w:color="auto"/>
              <w:right w:val="single" w:sz="4" w:space="0" w:color="auto"/>
            </w:tcBorders>
            <w:shd w:val="clear" w:color="auto" w:fill="auto"/>
            <w:vAlign w:val="center"/>
            <w:hideMark/>
          </w:tcPr>
          <w:p w14:paraId="266DB520" w14:textId="4DB81A75" w:rsidR="0034097C" w:rsidRPr="0034097C" w:rsidRDefault="004A7A82" w:rsidP="0034097C">
            <w:pPr>
              <w:jc w:val="right"/>
              <w:rPr>
                <w:rFonts w:eastAsia="Times New Roman" w:cs="Arial"/>
                <w:color w:val="000000"/>
              </w:rPr>
            </w:pPr>
            <w:r>
              <w:rPr>
                <w:rFonts w:eastAsia="Times New Roman" w:cs="Arial"/>
                <w:color w:val="000000"/>
              </w:rPr>
              <w:t>157.502</w:t>
            </w:r>
          </w:p>
        </w:tc>
      </w:tr>
      <w:tr w:rsidR="00C92CD8" w14:paraId="688486AF" w14:textId="77777777" w:rsidTr="00D72E32">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3FD9E16" w14:textId="77777777" w:rsidR="0034097C" w:rsidRPr="0034097C" w:rsidRDefault="004A7A82" w:rsidP="0034097C">
            <w:pPr>
              <w:rPr>
                <w:rFonts w:eastAsia="Times New Roman" w:cs="Arial"/>
                <w:b/>
                <w:bCs/>
                <w:color w:val="000000"/>
              </w:rPr>
            </w:pPr>
            <w:r w:rsidRPr="0034097C">
              <w:rPr>
                <w:rFonts w:eastAsia="Times New Roman" w:cs="Arial"/>
                <w:b/>
                <w:bCs/>
                <w:color w:val="000000"/>
              </w:rPr>
              <w:t>Gap funding</w:t>
            </w:r>
          </w:p>
        </w:tc>
        <w:tc>
          <w:tcPr>
            <w:tcW w:w="1249" w:type="dxa"/>
            <w:tcBorders>
              <w:top w:val="nil"/>
              <w:left w:val="nil"/>
              <w:bottom w:val="single" w:sz="4" w:space="0" w:color="auto"/>
              <w:right w:val="single" w:sz="4" w:space="0" w:color="auto"/>
            </w:tcBorders>
            <w:shd w:val="clear" w:color="auto" w:fill="auto"/>
            <w:vAlign w:val="center"/>
          </w:tcPr>
          <w:p w14:paraId="73A67D11" w14:textId="440293A6" w:rsidR="0034097C" w:rsidRPr="0034097C" w:rsidRDefault="004A7A82" w:rsidP="0034097C">
            <w:pPr>
              <w:jc w:val="right"/>
              <w:rPr>
                <w:rFonts w:eastAsia="Times New Roman" w:cs="Arial"/>
                <w:color w:val="000000"/>
              </w:rPr>
            </w:pPr>
            <w:r>
              <w:rPr>
                <w:rFonts w:eastAsia="Times New Roman" w:cs="Arial"/>
                <w:color w:val="000000"/>
              </w:rPr>
              <w:t>-0.856</w:t>
            </w:r>
          </w:p>
        </w:tc>
        <w:tc>
          <w:tcPr>
            <w:tcW w:w="1249" w:type="dxa"/>
            <w:tcBorders>
              <w:top w:val="nil"/>
              <w:left w:val="nil"/>
              <w:bottom w:val="single" w:sz="4" w:space="0" w:color="auto"/>
              <w:right w:val="single" w:sz="4" w:space="0" w:color="auto"/>
            </w:tcBorders>
            <w:shd w:val="clear" w:color="auto" w:fill="auto"/>
            <w:vAlign w:val="center"/>
          </w:tcPr>
          <w:p w14:paraId="5518F587" w14:textId="71337998" w:rsidR="0034097C" w:rsidRPr="0034097C" w:rsidRDefault="004A7A82" w:rsidP="0034097C">
            <w:pPr>
              <w:jc w:val="right"/>
              <w:rPr>
                <w:rFonts w:eastAsia="Times New Roman" w:cs="Arial"/>
                <w:color w:val="000000"/>
              </w:rPr>
            </w:pPr>
            <w:r>
              <w:rPr>
                <w:rFonts w:eastAsia="Times New Roman" w:cs="Arial"/>
                <w:color w:val="000000"/>
              </w:rPr>
              <w:t>-10.488</w:t>
            </w:r>
          </w:p>
        </w:tc>
        <w:tc>
          <w:tcPr>
            <w:tcW w:w="1249" w:type="dxa"/>
            <w:tcBorders>
              <w:top w:val="nil"/>
              <w:left w:val="nil"/>
              <w:bottom w:val="single" w:sz="4" w:space="0" w:color="auto"/>
              <w:right w:val="single" w:sz="4" w:space="0" w:color="auto"/>
            </w:tcBorders>
            <w:shd w:val="clear" w:color="auto" w:fill="auto"/>
            <w:vAlign w:val="center"/>
          </w:tcPr>
          <w:p w14:paraId="39901BBA" w14:textId="0AA09E1C" w:rsidR="0034097C" w:rsidRPr="0034097C" w:rsidRDefault="004A7A82" w:rsidP="0034097C">
            <w:pPr>
              <w:jc w:val="right"/>
              <w:rPr>
                <w:rFonts w:eastAsia="Times New Roman" w:cs="Arial"/>
                <w:color w:val="000000"/>
              </w:rPr>
            </w:pPr>
            <w:r>
              <w:rPr>
                <w:rFonts w:eastAsia="Times New Roman" w:cs="Arial"/>
                <w:color w:val="000000"/>
              </w:rPr>
              <w:t>-3.351</w:t>
            </w:r>
          </w:p>
        </w:tc>
      </w:tr>
      <w:tr w:rsidR="00C92CD8" w14:paraId="5369575D" w14:textId="77777777" w:rsidTr="00502C62">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F2FD8CB" w14:textId="77777777" w:rsidR="0034097C" w:rsidRPr="0034097C" w:rsidRDefault="004A7A82" w:rsidP="0034097C">
            <w:pPr>
              <w:rPr>
                <w:rFonts w:eastAsia="Times New Roman" w:cs="Arial"/>
                <w:b/>
                <w:bCs/>
                <w:color w:val="000000"/>
              </w:rPr>
            </w:pPr>
            <w:r w:rsidRPr="0034097C">
              <w:rPr>
                <w:rFonts w:eastAsia="Times New Roman" w:cs="Arial"/>
                <w:b/>
                <w:bCs/>
                <w:color w:val="000000"/>
              </w:rPr>
              <w:t>Commitments</w:t>
            </w:r>
          </w:p>
        </w:tc>
        <w:tc>
          <w:tcPr>
            <w:tcW w:w="1249" w:type="dxa"/>
            <w:tcBorders>
              <w:top w:val="nil"/>
              <w:left w:val="nil"/>
              <w:bottom w:val="single" w:sz="4" w:space="0" w:color="auto"/>
              <w:right w:val="single" w:sz="4" w:space="0" w:color="auto"/>
            </w:tcBorders>
            <w:shd w:val="clear" w:color="auto" w:fill="auto"/>
            <w:vAlign w:val="center"/>
            <w:hideMark/>
          </w:tcPr>
          <w:p w14:paraId="299CA8D5" w14:textId="77777777" w:rsidR="0034097C" w:rsidRPr="0034097C" w:rsidRDefault="004A7A82" w:rsidP="0034097C">
            <w:pPr>
              <w:jc w:val="right"/>
              <w:rPr>
                <w:rFonts w:eastAsia="Times New Roman" w:cs="Arial"/>
                <w:color w:val="000000"/>
              </w:rPr>
            </w:pPr>
            <w:r w:rsidRPr="0034097C">
              <w:rPr>
                <w:rFonts w:eastAsia="Times New Roman" w:cs="Arial"/>
                <w:color w:val="000000"/>
              </w:rPr>
              <w:t>0.941</w:t>
            </w:r>
          </w:p>
        </w:tc>
        <w:tc>
          <w:tcPr>
            <w:tcW w:w="1249" w:type="dxa"/>
            <w:tcBorders>
              <w:top w:val="nil"/>
              <w:left w:val="nil"/>
              <w:bottom w:val="single" w:sz="4" w:space="0" w:color="auto"/>
              <w:right w:val="single" w:sz="4" w:space="0" w:color="auto"/>
            </w:tcBorders>
            <w:shd w:val="clear" w:color="auto" w:fill="auto"/>
            <w:vAlign w:val="center"/>
            <w:hideMark/>
          </w:tcPr>
          <w:p w14:paraId="7A05B8FC" w14:textId="77777777" w:rsidR="0034097C" w:rsidRPr="0034097C" w:rsidRDefault="004A7A82" w:rsidP="0034097C">
            <w:pPr>
              <w:jc w:val="right"/>
              <w:rPr>
                <w:rFonts w:eastAsia="Times New Roman" w:cs="Arial"/>
                <w:color w:val="000000"/>
              </w:rPr>
            </w:pPr>
            <w:r w:rsidRPr="0034097C">
              <w:rPr>
                <w:rFonts w:eastAsia="Times New Roman" w:cs="Arial"/>
                <w:color w:val="000000"/>
              </w:rPr>
              <w:t>2.707</w:t>
            </w:r>
          </w:p>
        </w:tc>
        <w:tc>
          <w:tcPr>
            <w:tcW w:w="1249" w:type="dxa"/>
            <w:tcBorders>
              <w:top w:val="nil"/>
              <w:left w:val="nil"/>
              <w:bottom w:val="single" w:sz="4" w:space="0" w:color="auto"/>
              <w:right w:val="single" w:sz="4" w:space="0" w:color="auto"/>
            </w:tcBorders>
            <w:shd w:val="clear" w:color="auto" w:fill="auto"/>
            <w:vAlign w:val="center"/>
            <w:hideMark/>
          </w:tcPr>
          <w:p w14:paraId="489691EF" w14:textId="77777777" w:rsidR="0034097C" w:rsidRPr="0034097C" w:rsidRDefault="004A7A82" w:rsidP="0034097C">
            <w:pPr>
              <w:jc w:val="right"/>
              <w:rPr>
                <w:rFonts w:eastAsia="Times New Roman" w:cs="Arial"/>
                <w:color w:val="000000"/>
              </w:rPr>
            </w:pPr>
            <w:r w:rsidRPr="0034097C">
              <w:rPr>
                <w:rFonts w:eastAsia="Times New Roman" w:cs="Arial"/>
                <w:color w:val="000000"/>
              </w:rPr>
              <w:t>3.680</w:t>
            </w:r>
          </w:p>
        </w:tc>
      </w:tr>
      <w:tr w:rsidR="00C92CD8" w14:paraId="1035E9D7" w14:textId="77777777" w:rsidTr="00502C62">
        <w:trPr>
          <w:trHeight w:val="315"/>
        </w:trPr>
        <w:tc>
          <w:tcPr>
            <w:tcW w:w="5320" w:type="dxa"/>
            <w:tcBorders>
              <w:top w:val="nil"/>
              <w:left w:val="single" w:sz="4" w:space="0" w:color="auto"/>
              <w:bottom w:val="single" w:sz="4" w:space="0" w:color="auto"/>
              <w:right w:val="single" w:sz="4" w:space="0" w:color="auto"/>
            </w:tcBorders>
            <w:shd w:val="clear" w:color="auto" w:fill="BFBFBF"/>
            <w:vAlign w:val="center"/>
            <w:hideMark/>
          </w:tcPr>
          <w:p w14:paraId="0B4966F3" w14:textId="77777777" w:rsidR="0034097C" w:rsidRPr="0034097C" w:rsidRDefault="004A7A82" w:rsidP="0034097C">
            <w:pPr>
              <w:rPr>
                <w:rFonts w:eastAsia="Times New Roman" w:cs="Arial"/>
                <w:b/>
                <w:bCs/>
                <w:color w:val="000000"/>
              </w:rPr>
            </w:pPr>
            <w:r w:rsidRPr="0034097C">
              <w:rPr>
                <w:rFonts w:eastAsia="Times New Roman" w:cs="Arial"/>
                <w:b/>
                <w:bCs/>
                <w:color w:val="000000"/>
              </w:rPr>
              <w:t>Closing balance</w:t>
            </w:r>
          </w:p>
        </w:tc>
        <w:tc>
          <w:tcPr>
            <w:tcW w:w="1249" w:type="dxa"/>
            <w:tcBorders>
              <w:top w:val="nil"/>
              <w:left w:val="nil"/>
              <w:bottom w:val="single" w:sz="4" w:space="0" w:color="auto"/>
              <w:right w:val="single" w:sz="4" w:space="0" w:color="auto"/>
            </w:tcBorders>
            <w:shd w:val="clear" w:color="auto" w:fill="BFBFBF"/>
            <w:vAlign w:val="center"/>
          </w:tcPr>
          <w:p w14:paraId="19FF3BCA" w14:textId="288C4AF7" w:rsidR="0034097C" w:rsidRPr="0034097C" w:rsidRDefault="004A7A82" w:rsidP="0034097C">
            <w:pPr>
              <w:jc w:val="right"/>
              <w:rPr>
                <w:rFonts w:eastAsia="Times New Roman" w:cs="Arial"/>
                <w:b/>
                <w:bCs/>
                <w:color w:val="000000"/>
              </w:rPr>
            </w:pPr>
            <w:r w:rsidRPr="0034097C">
              <w:rPr>
                <w:rFonts w:eastAsia="Times New Roman" w:cs="Arial"/>
                <w:b/>
                <w:bCs/>
                <w:color w:val="000000"/>
              </w:rPr>
              <w:t>16</w:t>
            </w:r>
            <w:r w:rsidR="00710DFD">
              <w:rPr>
                <w:rFonts w:eastAsia="Times New Roman" w:cs="Arial"/>
                <w:b/>
                <w:bCs/>
                <w:color w:val="000000"/>
              </w:rPr>
              <w:t>5.283</w:t>
            </w:r>
          </w:p>
        </w:tc>
        <w:tc>
          <w:tcPr>
            <w:tcW w:w="1249" w:type="dxa"/>
            <w:tcBorders>
              <w:top w:val="nil"/>
              <w:left w:val="nil"/>
              <w:bottom w:val="single" w:sz="4" w:space="0" w:color="auto"/>
              <w:right w:val="single" w:sz="4" w:space="0" w:color="auto"/>
            </w:tcBorders>
            <w:shd w:val="clear" w:color="auto" w:fill="BFBFBF"/>
            <w:vAlign w:val="center"/>
          </w:tcPr>
          <w:p w14:paraId="6FA5811B" w14:textId="56C59748" w:rsidR="0034097C" w:rsidRPr="0034097C" w:rsidRDefault="004A7A82" w:rsidP="0034097C">
            <w:pPr>
              <w:jc w:val="right"/>
              <w:rPr>
                <w:rFonts w:eastAsia="Times New Roman" w:cs="Arial"/>
                <w:b/>
                <w:bCs/>
                <w:color w:val="000000"/>
              </w:rPr>
            </w:pPr>
            <w:r>
              <w:rPr>
                <w:rFonts w:eastAsia="Times New Roman" w:cs="Arial"/>
                <w:b/>
                <w:bCs/>
                <w:color w:val="000000"/>
              </w:rPr>
              <w:t>157.502</w:t>
            </w:r>
          </w:p>
        </w:tc>
        <w:tc>
          <w:tcPr>
            <w:tcW w:w="1249" w:type="dxa"/>
            <w:tcBorders>
              <w:top w:val="nil"/>
              <w:left w:val="nil"/>
              <w:bottom w:val="single" w:sz="4" w:space="0" w:color="auto"/>
              <w:right w:val="single" w:sz="4" w:space="0" w:color="auto"/>
            </w:tcBorders>
            <w:shd w:val="clear" w:color="auto" w:fill="BFBFBF"/>
            <w:vAlign w:val="center"/>
          </w:tcPr>
          <w:p w14:paraId="3B56E903" w14:textId="57B2DE3F" w:rsidR="0034097C" w:rsidRPr="0034097C" w:rsidRDefault="004A7A82" w:rsidP="0034097C">
            <w:pPr>
              <w:jc w:val="right"/>
              <w:rPr>
                <w:rFonts w:eastAsia="Times New Roman" w:cs="Arial"/>
                <w:b/>
                <w:bCs/>
                <w:color w:val="000000"/>
              </w:rPr>
            </w:pPr>
            <w:r>
              <w:rPr>
                <w:rFonts w:eastAsia="Times New Roman" w:cs="Arial"/>
                <w:b/>
                <w:bCs/>
                <w:color w:val="000000"/>
              </w:rPr>
              <w:t>157.831</w:t>
            </w:r>
          </w:p>
        </w:tc>
      </w:tr>
    </w:tbl>
    <w:p w14:paraId="3E0758AD" w14:textId="71479CE7" w:rsidR="2165DDB2" w:rsidRDefault="2165DDB2" w:rsidP="2165DDB2">
      <w:pPr>
        <w:tabs>
          <w:tab w:val="left" w:pos="567"/>
          <w:tab w:val="left" w:pos="1134"/>
        </w:tabs>
        <w:jc w:val="both"/>
        <w:rPr>
          <w:rFonts w:eastAsia="Calibri" w:cs="Arial"/>
          <w:color w:val="000000" w:themeColor="text1"/>
          <w:highlight w:val="yellow"/>
          <w:lang w:eastAsia="en-US"/>
        </w:rPr>
      </w:pPr>
    </w:p>
    <w:p w14:paraId="2BE65BB5" w14:textId="3526C72C" w:rsidR="00C07D66" w:rsidRDefault="004A7A82" w:rsidP="00C07D66">
      <w:pPr>
        <w:autoSpaceDE w:val="0"/>
        <w:autoSpaceDN w:val="0"/>
        <w:adjustRightInd w:val="0"/>
        <w:jc w:val="both"/>
        <w:rPr>
          <w:rFonts w:eastAsia="Calibri" w:cs="Helvetica-Light"/>
          <w:b/>
          <w:color w:val="000000"/>
        </w:rPr>
      </w:pPr>
      <w:r>
        <w:rPr>
          <w:rFonts w:eastAsia="Calibri" w:cs="Helvetica-Light"/>
          <w:b/>
          <w:color w:val="000000"/>
        </w:rPr>
        <w:t>1</w:t>
      </w:r>
      <w:r w:rsidR="000C3EB5">
        <w:rPr>
          <w:rFonts w:eastAsia="Calibri" w:cs="Helvetica-Light"/>
          <w:b/>
          <w:color w:val="000000"/>
        </w:rPr>
        <w:t>3</w:t>
      </w:r>
      <w:r>
        <w:rPr>
          <w:rFonts w:eastAsia="Calibri" w:cs="Helvetica-Light"/>
          <w:b/>
          <w:color w:val="000000"/>
        </w:rPr>
        <w:t>.</w:t>
      </w:r>
      <w:r>
        <w:rPr>
          <w:rFonts w:eastAsia="Calibri" w:cs="Helvetica-Light"/>
          <w:b/>
          <w:color w:val="000000"/>
        </w:rPr>
        <w:tab/>
        <w:t>Fees and Charges</w:t>
      </w:r>
    </w:p>
    <w:p w14:paraId="57373779" w14:textId="77777777" w:rsidR="0024728D" w:rsidRDefault="0024728D" w:rsidP="00C07D66">
      <w:pPr>
        <w:autoSpaceDE w:val="0"/>
        <w:autoSpaceDN w:val="0"/>
        <w:adjustRightInd w:val="0"/>
        <w:jc w:val="both"/>
        <w:rPr>
          <w:rFonts w:eastAsia="Calibri" w:cs="Helvetica-Light"/>
          <w:b/>
          <w:color w:val="000000"/>
        </w:rPr>
      </w:pPr>
    </w:p>
    <w:p w14:paraId="5A536D8A" w14:textId="5338664F" w:rsidR="00AB07B6" w:rsidRDefault="004A7A82" w:rsidP="00AB07B6">
      <w:pPr>
        <w:autoSpaceDE w:val="0"/>
        <w:autoSpaceDN w:val="0"/>
        <w:adjustRightInd w:val="0"/>
        <w:ind w:left="720" w:hanging="720"/>
        <w:jc w:val="both"/>
        <w:rPr>
          <w:rFonts w:eastAsia="Calibri" w:cs="Helvetica-Light"/>
          <w:bCs/>
          <w:color w:val="000000"/>
        </w:rPr>
      </w:pPr>
      <w:r>
        <w:rPr>
          <w:rFonts w:eastAsia="Calibri" w:cs="Helvetica-Light"/>
          <w:bCs/>
          <w:color w:val="000000"/>
        </w:rPr>
        <w:t>13.1</w:t>
      </w:r>
      <w:r>
        <w:rPr>
          <w:rFonts w:eastAsia="Calibri" w:cs="Helvetica-Light"/>
          <w:bCs/>
          <w:color w:val="000000"/>
        </w:rPr>
        <w:tab/>
        <w:t xml:space="preserve">Fees and charges are </w:t>
      </w:r>
      <w:r w:rsidR="00C1248D">
        <w:rPr>
          <w:rFonts w:eastAsia="Calibri" w:cs="Helvetica-Light"/>
          <w:bCs/>
          <w:color w:val="000000"/>
        </w:rPr>
        <w:t>permissible charges for services</w:t>
      </w:r>
      <w:r>
        <w:rPr>
          <w:rFonts w:eastAsia="Calibri" w:cs="Helvetica-Light"/>
          <w:bCs/>
          <w:color w:val="000000"/>
        </w:rPr>
        <w:t xml:space="preserve"> provided by the county council.</w:t>
      </w:r>
    </w:p>
    <w:p w14:paraId="4926E251" w14:textId="77777777" w:rsidR="00AB07B6" w:rsidRDefault="00AB07B6" w:rsidP="00AB07B6">
      <w:pPr>
        <w:autoSpaceDE w:val="0"/>
        <w:autoSpaceDN w:val="0"/>
        <w:adjustRightInd w:val="0"/>
        <w:ind w:left="720" w:hanging="720"/>
        <w:jc w:val="both"/>
        <w:rPr>
          <w:rFonts w:eastAsia="Calibri" w:cs="Helvetica-Light"/>
          <w:bCs/>
          <w:color w:val="000000"/>
        </w:rPr>
      </w:pPr>
    </w:p>
    <w:p w14:paraId="59B732D6" w14:textId="6901E8B8" w:rsidR="0024728D" w:rsidRDefault="004A7A82" w:rsidP="00AB07B6">
      <w:pPr>
        <w:autoSpaceDE w:val="0"/>
        <w:autoSpaceDN w:val="0"/>
        <w:adjustRightInd w:val="0"/>
        <w:ind w:left="720" w:hanging="720"/>
        <w:jc w:val="both"/>
        <w:rPr>
          <w:rFonts w:eastAsia="Calibri" w:cs="Helvetica-Light"/>
          <w:bCs/>
          <w:color w:val="000000"/>
        </w:rPr>
      </w:pPr>
      <w:r>
        <w:rPr>
          <w:rFonts w:eastAsia="Calibri" w:cs="Helvetica-Light"/>
          <w:bCs/>
          <w:color w:val="000000"/>
        </w:rPr>
        <w:t>13.2</w:t>
      </w:r>
      <w:r>
        <w:rPr>
          <w:rFonts w:eastAsia="Calibri" w:cs="Helvetica-Light"/>
          <w:bCs/>
          <w:color w:val="000000"/>
        </w:rPr>
        <w:tab/>
        <w:t xml:space="preserve">The policy in place states that </w:t>
      </w:r>
      <w:r w:rsidR="00B62BF2">
        <w:rPr>
          <w:rFonts w:eastAsia="Calibri" w:cs="Helvetica-Light"/>
          <w:bCs/>
          <w:color w:val="000000"/>
        </w:rPr>
        <w:t xml:space="preserve">each year the fees and charges schedule will be </w:t>
      </w:r>
      <w:r w:rsidRPr="00AB07B6">
        <w:rPr>
          <w:rFonts w:eastAsia="Calibri" w:cs="Helvetica-Light"/>
          <w:bCs/>
          <w:color w:val="000000"/>
        </w:rPr>
        <w:t xml:space="preserve">updated </w:t>
      </w:r>
      <w:r w:rsidR="00B62BF2">
        <w:rPr>
          <w:rFonts w:eastAsia="Calibri" w:cs="Helvetica-Light"/>
          <w:bCs/>
          <w:color w:val="000000"/>
        </w:rPr>
        <w:t xml:space="preserve">using the </w:t>
      </w:r>
      <w:r w:rsidRPr="00AB07B6">
        <w:rPr>
          <w:rFonts w:eastAsia="Calibri" w:cs="Helvetica-Light"/>
          <w:bCs/>
          <w:color w:val="000000"/>
        </w:rPr>
        <w:t xml:space="preserve">Consumer Price Index </w:t>
      </w:r>
      <w:r w:rsidR="0062406A">
        <w:rPr>
          <w:rFonts w:eastAsia="Calibri" w:cs="Helvetica-Light"/>
          <w:bCs/>
          <w:color w:val="000000"/>
        </w:rPr>
        <w:t xml:space="preserve">(CPI) </w:t>
      </w:r>
      <w:r w:rsidRPr="00AB07B6">
        <w:rPr>
          <w:rFonts w:eastAsia="Calibri" w:cs="Helvetica-Light"/>
          <w:bCs/>
          <w:color w:val="000000"/>
        </w:rPr>
        <w:t xml:space="preserve">as at </w:t>
      </w:r>
      <w:r w:rsidR="00B62BF2">
        <w:rPr>
          <w:rFonts w:eastAsia="Calibri" w:cs="Helvetica-Light"/>
          <w:bCs/>
          <w:color w:val="000000"/>
        </w:rPr>
        <w:t>the September of the prior year</w:t>
      </w:r>
      <w:r w:rsidR="00904A06">
        <w:rPr>
          <w:rFonts w:eastAsia="Calibri" w:cs="Helvetica-Light"/>
          <w:bCs/>
          <w:color w:val="000000"/>
        </w:rPr>
        <w:t xml:space="preserve"> as this is the value used to inflate </w:t>
      </w:r>
      <w:r w:rsidR="00626D0A">
        <w:rPr>
          <w:rFonts w:eastAsia="Calibri" w:cs="Helvetica-Light"/>
          <w:bCs/>
          <w:color w:val="000000"/>
        </w:rPr>
        <w:t xml:space="preserve">pensions and benefit payments by the </w:t>
      </w:r>
      <w:r w:rsidR="00B83289">
        <w:rPr>
          <w:rFonts w:eastAsia="Calibri" w:cs="Helvetica-Light"/>
          <w:bCs/>
          <w:color w:val="000000"/>
        </w:rPr>
        <w:t>G</w:t>
      </w:r>
      <w:r w:rsidR="00626D0A">
        <w:rPr>
          <w:rFonts w:eastAsia="Calibri" w:cs="Helvetica-Light"/>
          <w:bCs/>
          <w:color w:val="000000"/>
        </w:rPr>
        <w:t xml:space="preserve">overnment. </w:t>
      </w:r>
      <w:r w:rsidR="003F6A55">
        <w:rPr>
          <w:rFonts w:eastAsia="Calibri" w:cs="Helvetica-Light"/>
          <w:bCs/>
          <w:color w:val="000000"/>
        </w:rPr>
        <w:t xml:space="preserve">The </w:t>
      </w:r>
      <w:r w:rsidR="003F6A55" w:rsidRPr="00AB07B6">
        <w:rPr>
          <w:rFonts w:eastAsia="Calibri" w:cs="Helvetica-Light"/>
          <w:bCs/>
          <w:color w:val="000000"/>
        </w:rPr>
        <w:t>value</w:t>
      </w:r>
      <w:r w:rsidR="003F6A55">
        <w:rPr>
          <w:rFonts w:eastAsia="Calibri" w:cs="Helvetica-Light"/>
          <w:bCs/>
          <w:color w:val="000000"/>
        </w:rPr>
        <w:t xml:space="preserve"> of CPI in September 2023 was 6.7%. </w:t>
      </w:r>
    </w:p>
    <w:p w14:paraId="55DB12FC" w14:textId="77777777" w:rsidR="003F6A55" w:rsidRDefault="003F6A55" w:rsidP="00AB07B6">
      <w:pPr>
        <w:autoSpaceDE w:val="0"/>
        <w:autoSpaceDN w:val="0"/>
        <w:adjustRightInd w:val="0"/>
        <w:ind w:left="720" w:hanging="720"/>
        <w:jc w:val="both"/>
        <w:rPr>
          <w:rFonts w:eastAsia="Calibri" w:cs="Helvetica-Light"/>
          <w:bCs/>
          <w:color w:val="000000"/>
        </w:rPr>
      </w:pPr>
    </w:p>
    <w:p w14:paraId="00F791A0" w14:textId="54535539" w:rsidR="003F6A55" w:rsidRDefault="004A7A82" w:rsidP="00AB07B6">
      <w:pPr>
        <w:autoSpaceDE w:val="0"/>
        <w:autoSpaceDN w:val="0"/>
        <w:adjustRightInd w:val="0"/>
        <w:ind w:left="720" w:hanging="720"/>
        <w:jc w:val="both"/>
        <w:rPr>
          <w:rFonts w:eastAsia="Calibri" w:cs="Helvetica-Light"/>
          <w:bCs/>
          <w:color w:val="000000"/>
        </w:rPr>
      </w:pPr>
      <w:r>
        <w:rPr>
          <w:rFonts w:eastAsia="Calibri" w:cs="Helvetica-Light"/>
          <w:bCs/>
          <w:color w:val="000000"/>
        </w:rPr>
        <w:t>13.3</w:t>
      </w:r>
      <w:r>
        <w:rPr>
          <w:rFonts w:eastAsia="Calibri" w:cs="Helvetica-Light"/>
          <w:bCs/>
          <w:color w:val="000000"/>
        </w:rPr>
        <w:tab/>
        <w:t>The</w:t>
      </w:r>
      <w:r w:rsidR="00B23ECE">
        <w:rPr>
          <w:rFonts w:eastAsia="Calibri" w:cs="Helvetica-Light"/>
          <w:bCs/>
          <w:color w:val="000000"/>
        </w:rPr>
        <w:t xml:space="preserve"> updated schedule for 2024/25 will be published on the county council website. </w:t>
      </w:r>
    </w:p>
    <w:p w14:paraId="44F39D46" w14:textId="77777777" w:rsidR="00B23ECE" w:rsidRDefault="00B23ECE" w:rsidP="00AB07B6">
      <w:pPr>
        <w:autoSpaceDE w:val="0"/>
        <w:autoSpaceDN w:val="0"/>
        <w:adjustRightInd w:val="0"/>
        <w:ind w:left="720" w:hanging="720"/>
        <w:jc w:val="both"/>
        <w:rPr>
          <w:rFonts w:eastAsia="Calibri" w:cs="Helvetica-Light"/>
          <w:bCs/>
          <w:color w:val="000000"/>
        </w:rPr>
      </w:pPr>
    </w:p>
    <w:p w14:paraId="095D97BE" w14:textId="7B230AD3" w:rsidR="00B23ECE" w:rsidRDefault="004A7A82" w:rsidP="00AB07B6">
      <w:pPr>
        <w:autoSpaceDE w:val="0"/>
        <w:autoSpaceDN w:val="0"/>
        <w:adjustRightInd w:val="0"/>
        <w:ind w:left="720" w:hanging="720"/>
        <w:jc w:val="both"/>
        <w:rPr>
          <w:rFonts w:eastAsia="Calibri" w:cs="Helvetica-Light"/>
          <w:bCs/>
          <w:color w:val="000000"/>
        </w:rPr>
      </w:pPr>
      <w:r>
        <w:rPr>
          <w:rFonts w:eastAsia="Calibri" w:cs="Helvetica-Light"/>
          <w:bCs/>
          <w:color w:val="000000"/>
        </w:rPr>
        <w:t>13.4</w:t>
      </w:r>
      <w:r>
        <w:rPr>
          <w:rFonts w:eastAsia="Calibri" w:cs="Helvetica-Light"/>
          <w:bCs/>
          <w:color w:val="000000"/>
        </w:rPr>
        <w:tab/>
        <w:t>The</w:t>
      </w:r>
      <w:r w:rsidR="00331E3F">
        <w:rPr>
          <w:rFonts w:eastAsia="Calibri" w:cs="Helvetica-Light"/>
          <w:bCs/>
          <w:color w:val="000000"/>
        </w:rPr>
        <w:t xml:space="preserve">re are minor exceptions </w:t>
      </w:r>
      <w:r w:rsidR="00677DA9">
        <w:rPr>
          <w:rFonts w:eastAsia="Calibri" w:cs="Helvetica-Light"/>
          <w:bCs/>
          <w:color w:val="000000"/>
        </w:rPr>
        <w:t xml:space="preserve">within the schedule where the increase of 6.7% has not been applied such as adult social care fees (as this links to a wider </w:t>
      </w:r>
      <w:r w:rsidR="00E042B9">
        <w:rPr>
          <w:rFonts w:eastAsia="Calibri" w:cs="Helvetica-Light"/>
          <w:bCs/>
          <w:color w:val="000000"/>
        </w:rPr>
        <w:t xml:space="preserve">review of provider fees that form part of a separate report to Cabinet) and those fees where </w:t>
      </w:r>
      <w:r w:rsidR="0011414A">
        <w:rPr>
          <w:rFonts w:eastAsia="Calibri" w:cs="Helvetica-Light"/>
          <w:bCs/>
          <w:color w:val="000000"/>
        </w:rPr>
        <w:t xml:space="preserve">the level is nationally set. </w:t>
      </w:r>
    </w:p>
    <w:p w14:paraId="1E489176" w14:textId="77777777" w:rsidR="0011414A" w:rsidRDefault="0011414A" w:rsidP="00AB07B6">
      <w:pPr>
        <w:autoSpaceDE w:val="0"/>
        <w:autoSpaceDN w:val="0"/>
        <w:adjustRightInd w:val="0"/>
        <w:ind w:left="720" w:hanging="720"/>
        <w:jc w:val="both"/>
        <w:rPr>
          <w:rFonts w:eastAsia="Calibri" w:cs="Helvetica-Light"/>
          <w:bCs/>
          <w:color w:val="000000"/>
        </w:rPr>
      </w:pPr>
    </w:p>
    <w:p w14:paraId="02B33DC1" w14:textId="03AF6A89" w:rsidR="0011414A" w:rsidRDefault="004A7A82" w:rsidP="00AB07B6">
      <w:pPr>
        <w:autoSpaceDE w:val="0"/>
        <w:autoSpaceDN w:val="0"/>
        <w:adjustRightInd w:val="0"/>
        <w:ind w:left="720" w:hanging="720"/>
        <w:jc w:val="both"/>
        <w:rPr>
          <w:rFonts w:eastAsia="Calibri" w:cs="Helvetica-Light"/>
          <w:bCs/>
          <w:color w:val="000000"/>
        </w:rPr>
      </w:pPr>
      <w:r>
        <w:rPr>
          <w:rFonts w:eastAsia="Calibri" w:cs="Helvetica-Light"/>
          <w:bCs/>
          <w:color w:val="000000"/>
        </w:rPr>
        <w:lastRenderedPageBreak/>
        <w:t>13.5</w:t>
      </w:r>
      <w:r>
        <w:rPr>
          <w:rFonts w:eastAsia="Calibri" w:cs="Helvetica-Light"/>
          <w:bCs/>
          <w:color w:val="000000"/>
        </w:rPr>
        <w:tab/>
        <w:t xml:space="preserve">Whilst an increase of 6.7% </w:t>
      </w:r>
      <w:r w:rsidR="002D2C3F">
        <w:rPr>
          <w:rFonts w:eastAsia="Calibri" w:cs="Helvetica-Light"/>
          <w:bCs/>
          <w:color w:val="000000"/>
        </w:rPr>
        <w:t xml:space="preserve">has been applied </w:t>
      </w:r>
      <w:r>
        <w:rPr>
          <w:rFonts w:eastAsia="Calibri" w:cs="Helvetica-Light"/>
          <w:bCs/>
          <w:color w:val="000000"/>
        </w:rPr>
        <w:t xml:space="preserve">across almost all services, </w:t>
      </w:r>
      <w:r w:rsidR="002356D6">
        <w:rPr>
          <w:rFonts w:eastAsia="Calibri" w:cs="Helvetica-Light"/>
          <w:bCs/>
          <w:color w:val="000000"/>
        </w:rPr>
        <w:t xml:space="preserve">amounts have been rounded to more feasible cashable and marketable values therefore in some cases meaning the increase will be more than the outlined inflationary increase. </w:t>
      </w:r>
    </w:p>
    <w:p w14:paraId="538A3A2E" w14:textId="77777777" w:rsidR="002356D6" w:rsidRDefault="002356D6" w:rsidP="00AB07B6">
      <w:pPr>
        <w:autoSpaceDE w:val="0"/>
        <w:autoSpaceDN w:val="0"/>
        <w:adjustRightInd w:val="0"/>
        <w:ind w:left="720" w:hanging="720"/>
        <w:jc w:val="both"/>
        <w:rPr>
          <w:rFonts w:eastAsia="Calibri" w:cs="Helvetica-Light"/>
          <w:bCs/>
          <w:color w:val="000000"/>
        </w:rPr>
      </w:pPr>
    </w:p>
    <w:p w14:paraId="4975F962" w14:textId="77777777" w:rsidR="00F15BEA" w:rsidRDefault="004A7A82" w:rsidP="00AB07B6">
      <w:pPr>
        <w:autoSpaceDE w:val="0"/>
        <w:autoSpaceDN w:val="0"/>
        <w:adjustRightInd w:val="0"/>
        <w:ind w:left="720" w:hanging="720"/>
        <w:jc w:val="both"/>
        <w:rPr>
          <w:rFonts w:eastAsia="Calibri" w:cs="Helvetica-Light"/>
          <w:bCs/>
          <w:color w:val="000000"/>
        </w:rPr>
      </w:pPr>
      <w:r>
        <w:rPr>
          <w:rFonts w:eastAsia="Calibri" w:cs="Helvetica-Light"/>
          <w:bCs/>
          <w:color w:val="000000"/>
        </w:rPr>
        <w:t>13.6</w:t>
      </w:r>
      <w:r>
        <w:rPr>
          <w:rFonts w:eastAsia="Calibri" w:cs="Helvetica-Light"/>
          <w:bCs/>
          <w:color w:val="000000"/>
        </w:rPr>
        <w:tab/>
        <w:t xml:space="preserve">The schedule contains </w:t>
      </w:r>
      <w:r w:rsidR="00815EA3">
        <w:rPr>
          <w:rFonts w:eastAsia="Calibri" w:cs="Helvetica-Light"/>
          <w:bCs/>
          <w:color w:val="000000"/>
        </w:rPr>
        <w:t xml:space="preserve">fees and charges for the </w:t>
      </w:r>
      <w:proofErr w:type="gramStart"/>
      <w:r w:rsidR="00815EA3">
        <w:rPr>
          <w:rFonts w:eastAsia="Calibri" w:cs="Helvetica-Light"/>
          <w:bCs/>
          <w:color w:val="000000"/>
        </w:rPr>
        <w:t>registrars</w:t>
      </w:r>
      <w:proofErr w:type="gramEnd"/>
      <w:r w:rsidR="00815EA3">
        <w:rPr>
          <w:rFonts w:eastAsia="Calibri" w:cs="Helvetica-Light"/>
          <w:bCs/>
          <w:color w:val="000000"/>
        </w:rPr>
        <w:t xml:space="preserve"> service and the trading standards service that were omitted from the previous published schedule. These are not new fees and charges but are included within the schedule for completeness. </w:t>
      </w:r>
    </w:p>
    <w:p w14:paraId="193777B9" w14:textId="77777777" w:rsidR="00F15BEA" w:rsidRDefault="00F15BEA" w:rsidP="00AB07B6">
      <w:pPr>
        <w:autoSpaceDE w:val="0"/>
        <w:autoSpaceDN w:val="0"/>
        <w:adjustRightInd w:val="0"/>
        <w:ind w:left="720" w:hanging="720"/>
        <w:jc w:val="both"/>
        <w:rPr>
          <w:rFonts w:eastAsia="Calibri" w:cs="Helvetica-Light"/>
          <w:bCs/>
          <w:color w:val="000000"/>
        </w:rPr>
      </w:pPr>
    </w:p>
    <w:p w14:paraId="09F5E33C" w14:textId="0BAAD9CE" w:rsidR="00EF24CD" w:rsidRDefault="004A7A82" w:rsidP="00EF24CD">
      <w:pPr>
        <w:ind w:left="720" w:hanging="720"/>
        <w:jc w:val="both"/>
        <w:rPr>
          <w:bCs/>
        </w:rPr>
      </w:pPr>
      <w:r>
        <w:rPr>
          <w:rFonts w:eastAsia="Calibri" w:cs="Helvetica-Light"/>
          <w:bCs/>
          <w:color w:val="000000"/>
        </w:rPr>
        <w:t>13.7</w:t>
      </w:r>
      <w:r>
        <w:rPr>
          <w:rFonts w:eastAsia="Calibri" w:cs="Helvetica-Light"/>
          <w:bCs/>
          <w:color w:val="000000"/>
        </w:rPr>
        <w:tab/>
      </w:r>
      <w:r w:rsidR="004F7B7C">
        <w:rPr>
          <w:rFonts w:eastAsia="Calibri" w:cs="Helvetica-Light"/>
          <w:bCs/>
          <w:color w:val="000000"/>
        </w:rPr>
        <w:t xml:space="preserve">The fee charged for inter library loans as been increased from </w:t>
      </w:r>
      <w:r w:rsidR="00543FAF">
        <w:rPr>
          <w:rFonts w:eastAsia="Calibri" w:cs="Helvetica-Light"/>
          <w:bCs/>
          <w:color w:val="000000"/>
        </w:rPr>
        <w:t>80 pence per loan to £5</w:t>
      </w:r>
      <w:r w:rsidR="002C0AA8">
        <w:rPr>
          <w:rFonts w:eastAsia="Calibri" w:cs="Helvetica-Light"/>
          <w:bCs/>
          <w:color w:val="000000"/>
        </w:rPr>
        <w:t xml:space="preserve">.00. </w:t>
      </w:r>
      <w:r>
        <w:rPr>
          <w:bCs/>
        </w:rPr>
        <w:t xml:space="preserve">The average charge for an </w:t>
      </w:r>
      <w:r w:rsidR="00314801">
        <w:rPr>
          <w:bCs/>
        </w:rPr>
        <w:t>i</w:t>
      </w:r>
      <w:r>
        <w:rPr>
          <w:bCs/>
        </w:rPr>
        <w:t>nter-</w:t>
      </w:r>
      <w:r w:rsidR="00314801">
        <w:rPr>
          <w:bCs/>
        </w:rPr>
        <w:t>l</w:t>
      </w:r>
      <w:r>
        <w:rPr>
          <w:bCs/>
        </w:rPr>
        <w:t>ibrary loan, based on a survey of 26 other local authorities who continue to offer this service is £6.25. Charges vary between £1.15 and £12.50. The proposed charge of £5.00 is felt to be fair and proportionate given the cost of processing these requests in staff time, courier charges and loan fees charged between some authorities.</w:t>
      </w:r>
      <w:r w:rsidR="00FA58EF">
        <w:rPr>
          <w:bCs/>
        </w:rPr>
        <w:t xml:space="preserve"> An equality impact assessment has been undertaken and considered as part of the increase to this specific fee. </w:t>
      </w:r>
    </w:p>
    <w:p w14:paraId="23D690EE" w14:textId="77777777" w:rsidR="006C2C9C" w:rsidRDefault="006C2C9C" w:rsidP="00320643">
      <w:pPr>
        <w:autoSpaceDE w:val="0"/>
        <w:autoSpaceDN w:val="0"/>
        <w:adjustRightInd w:val="0"/>
        <w:jc w:val="both"/>
        <w:rPr>
          <w:rFonts w:eastAsia="Calibri" w:cs="Helvetica-Light"/>
          <w:b/>
          <w:bCs/>
          <w:color w:val="000000"/>
          <w:highlight w:val="yellow"/>
        </w:rPr>
      </w:pPr>
    </w:p>
    <w:p w14:paraId="5D35C757" w14:textId="1F1BF6A2" w:rsidR="008F3B53" w:rsidRDefault="004A7A82" w:rsidP="008F3B53">
      <w:pPr>
        <w:autoSpaceDE w:val="0"/>
        <w:autoSpaceDN w:val="0"/>
        <w:adjustRightInd w:val="0"/>
        <w:jc w:val="both"/>
        <w:rPr>
          <w:rFonts w:eastAsia="Calibri" w:cs="Helvetica-Light"/>
          <w:b/>
          <w:color w:val="000000"/>
        </w:rPr>
      </w:pPr>
      <w:r>
        <w:rPr>
          <w:rFonts w:eastAsia="Calibri" w:cs="Helvetica-Light"/>
          <w:b/>
          <w:color w:val="000000"/>
        </w:rPr>
        <w:t>1</w:t>
      </w:r>
      <w:r w:rsidR="00DF6D2C">
        <w:rPr>
          <w:rFonts w:eastAsia="Calibri" w:cs="Helvetica-Light"/>
          <w:b/>
          <w:color w:val="000000"/>
        </w:rPr>
        <w:t>4</w:t>
      </w:r>
      <w:r>
        <w:rPr>
          <w:rFonts w:eastAsia="Calibri" w:cs="Helvetica-Light"/>
          <w:b/>
          <w:color w:val="000000"/>
        </w:rPr>
        <w:t>.</w:t>
      </w:r>
      <w:r>
        <w:rPr>
          <w:rFonts w:eastAsia="Calibri" w:cs="Helvetica-Light"/>
          <w:b/>
          <w:color w:val="000000"/>
        </w:rPr>
        <w:tab/>
        <w:t>Risks and Uncertainty</w:t>
      </w:r>
    </w:p>
    <w:p w14:paraId="3C39AABB" w14:textId="77777777" w:rsidR="006C2C9C" w:rsidRDefault="006C2C9C" w:rsidP="00320643">
      <w:pPr>
        <w:autoSpaceDE w:val="0"/>
        <w:autoSpaceDN w:val="0"/>
        <w:adjustRightInd w:val="0"/>
        <w:jc w:val="both"/>
        <w:rPr>
          <w:rFonts w:eastAsia="Calibri" w:cs="Helvetica-Light"/>
          <w:b/>
          <w:bCs/>
          <w:color w:val="000000"/>
          <w:highlight w:val="yellow"/>
        </w:rPr>
      </w:pPr>
    </w:p>
    <w:p w14:paraId="7286D1EC" w14:textId="133F0590" w:rsidR="00D237D6" w:rsidRDefault="004A7A82" w:rsidP="00D237D6">
      <w:pPr>
        <w:autoSpaceDE w:val="0"/>
        <w:autoSpaceDN w:val="0"/>
        <w:adjustRightInd w:val="0"/>
        <w:ind w:left="720" w:hanging="720"/>
        <w:jc w:val="both"/>
        <w:rPr>
          <w:rFonts w:eastAsia="Calibri" w:cs="Helvetica-Light"/>
          <w:color w:val="000000"/>
        </w:rPr>
      </w:pPr>
      <w:r w:rsidRPr="31D4F0B1">
        <w:rPr>
          <w:rFonts w:eastAsia="Calibri" w:cs="Helvetica-Light"/>
          <w:color w:val="000000" w:themeColor="text1"/>
        </w:rPr>
        <w:t>14.1</w:t>
      </w:r>
      <w:r>
        <w:tab/>
      </w:r>
      <w:r w:rsidR="0003053C" w:rsidRPr="31D4F0B1">
        <w:rPr>
          <w:rFonts w:eastAsia="Calibri" w:cs="Helvetica-Light"/>
          <w:color w:val="000000" w:themeColor="text1"/>
        </w:rPr>
        <w:t xml:space="preserve">There are </w:t>
      </w:r>
      <w:proofErr w:type="gramStart"/>
      <w:r w:rsidR="0003053C" w:rsidRPr="31D4F0B1">
        <w:rPr>
          <w:rFonts w:eastAsia="Calibri" w:cs="Helvetica-Light"/>
          <w:color w:val="000000" w:themeColor="text1"/>
        </w:rPr>
        <w:t>a number of</w:t>
      </w:r>
      <w:proofErr w:type="gramEnd"/>
      <w:r w:rsidR="0003053C" w:rsidRPr="31D4F0B1">
        <w:rPr>
          <w:rFonts w:eastAsia="Calibri" w:cs="Helvetica-Light"/>
          <w:color w:val="000000" w:themeColor="text1"/>
        </w:rPr>
        <w:t xml:space="preserve"> risks and uncertainties that could impact on the 2024/25 budget, these are detailed within </w:t>
      </w:r>
      <w:r w:rsidR="351B1B01" w:rsidRPr="31D4F0B1">
        <w:rPr>
          <w:rFonts w:eastAsia="Calibri" w:cs="Helvetica-Light"/>
          <w:color w:val="000000" w:themeColor="text1"/>
        </w:rPr>
        <w:t xml:space="preserve">and throughout </w:t>
      </w:r>
      <w:r w:rsidRPr="31D4F0B1">
        <w:rPr>
          <w:rFonts w:eastAsia="Calibri" w:cs="Helvetica-Light"/>
          <w:color w:val="000000" w:themeColor="text1"/>
        </w:rPr>
        <w:t xml:space="preserve">this report. </w:t>
      </w:r>
    </w:p>
    <w:p w14:paraId="5B62AF73" w14:textId="77777777" w:rsidR="00942BB7" w:rsidRDefault="00942BB7" w:rsidP="008F3B53">
      <w:pPr>
        <w:autoSpaceDE w:val="0"/>
        <w:autoSpaceDN w:val="0"/>
        <w:adjustRightInd w:val="0"/>
        <w:ind w:left="720" w:hanging="720"/>
        <w:jc w:val="both"/>
        <w:rPr>
          <w:rFonts w:eastAsia="Calibri" w:cs="Helvetica-Light"/>
          <w:color w:val="000000"/>
        </w:rPr>
      </w:pPr>
    </w:p>
    <w:p w14:paraId="6EB32841" w14:textId="77777777" w:rsidR="00D237D6" w:rsidRDefault="00D237D6" w:rsidP="008F3B53">
      <w:pPr>
        <w:autoSpaceDE w:val="0"/>
        <w:autoSpaceDN w:val="0"/>
        <w:adjustRightInd w:val="0"/>
        <w:ind w:left="720" w:hanging="720"/>
        <w:jc w:val="both"/>
        <w:rPr>
          <w:rFonts w:eastAsia="Calibri" w:cs="Helvetica-Light"/>
          <w:color w:val="000000"/>
        </w:rPr>
      </w:pPr>
    </w:p>
    <w:p w14:paraId="58564431" w14:textId="77777777" w:rsidR="00D237D6" w:rsidRDefault="00D237D6" w:rsidP="008F3B53">
      <w:pPr>
        <w:autoSpaceDE w:val="0"/>
        <w:autoSpaceDN w:val="0"/>
        <w:adjustRightInd w:val="0"/>
        <w:ind w:left="720" w:hanging="720"/>
        <w:jc w:val="both"/>
        <w:rPr>
          <w:rFonts w:eastAsia="Calibri" w:cs="Helvetica-Light"/>
          <w:color w:val="000000"/>
        </w:rPr>
      </w:pPr>
    </w:p>
    <w:p w14:paraId="3909B23E" w14:textId="77777777" w:rsidR="00D237D6" w:rsidRDefault="00D237D6" w:rsidP="008F3B53">
      <w:pPr>
        <w:autoSpaceDE w:val="0"/>
        <w:autoSpaceDN w:val="0"/>
        <w:adjustRightInd w:val="0"/>
        <w:ind w:left="720" w:hanging="720"/>
        <w:jc w:val="both"/>
        <w:rPr>
          <w:rFonts w:eastAsia="Calibri" w:cs="Helvetica-Light"/>
          <w:color w:val="000000"/>
        </w:rPr>
      </w:pPr>
    </w:p>
    <w:p w14:paraId="788D998D" w14:textId="77777777" w:rsidR="00D237D6" w:rsidRDefault="00D237D6" w:rsidP="008F3B53">
      <w:pPr>
        <w:autoSpaceDE w:val="0"/>
        <w:autoSpaceDN w:val="0"/>
        <w:adjustRightInd w:val="0"/>
        <w:ind w:left="720" w:hanging="720"/>
        <w:jc w:val="both"/>
        <w:rPr>
          <w:rFonts w:eastAsia="Calibri" w:cs="Helvetica-Light"/>
          <w:color w:val="000000"/>
        </w:rPr>
      </w:pPr>
    </w:p>
    <w:p w14:paraId="5D1E6147" w14:textId="77777777" w:rsidR="00D237D6" w:rsidRDefault="00D237D6" w:rsidP="008F3B53">
      <w:pPr>
        <w:autoSpaceDE w:val="0"/>
        <w:autoSpaceDN w:val="0"/>
        <w:adjustRightInd w:val="0"/>
        <w:ind w:left="720" w:hanging="720"/>
        <w:jc w:val="both"/>
        <w:rPr>
          <w:rFonts w:eastAsia="Calibri" w:cs="Helvetica-Light"/>
          <w:color w:val="000000"/>
        </w:rPr>
      </w:pPr>
    </w:p>
    <w:p w14:paraId="5ADA91B1" w14:textId="77777777" w:rsidR="00D237D6" w:rsidRDefault="00D237D6" w:rsidP="008F3B53">
      <w:pPr>
        <w:autoSpaceDE w:val="0"/>
        <w:autoSpaceDN w:val="0"/>
        <w:adjustRightInd w:val="0"/>
        <w:ind w:left="720" w:hanging="720"/>
        <w:jc w:val="both"/>
        <w:rPr>
          <w:rFonts w:eastAsia="Calibri" w:cs="Helvetica-Light"/>
          <w:color w:val="000000"/>
        </w:rPr>
      </w:pPr>
    </w:p>
    <w:p w14:paraId="34655770" w14:textId="77777777" w:rsidR="00D237D6" w:rsidRDefault="00D237D6" w:rsidP="008F3B53">
      <w:pPr>
        <w:autoSpaceDE w:val="0"/>
        <w:autoSpaceDN w:val="0"/>
        <w:adjustRightInd w:val="0"/>
        <w:ind w:left="720" w:hanging="720"/>
        <w:jc w:val="both"/>
        <w:rPr>
          <w:rFonts w:eastAsia="Calibri" w:cs="Helvetica-Light"/>
          <w:color w:val="000000"/>
        </w:rPr>
      </w:pPr>
    </w:p>
    <w:p w14:paraId="378C836D" w14:textId="77777777" w:rsidR="00D237D6" w:rsidRDefault="00D237D6" w:rsidP="008F3B53">
      <w:pPr>
        <w:autoSpaceDE w:val="0"/>
        <w:autoSpaceDN w:val="0"/>
        <w:adjustRightInd w:val="0"/>
        <w:ind w:left="720" w:hanging="720"/>
        <w:jc w:val="both"/>
        <w:rPr>
          <w:rFonts w:eastAsia="Calibri" w:cs="Helvetica-Light"/>
          <w:color w:val="000000"/>
        </w:rPr>
      </w:pPr>
    </w:p>
    <w:p w14:paraId="5D23B1BE" w14:textId="77777777" w:rsidR="00D237D6" w:rsidRDefault="00D237D6" w:rsidP="008F3B53">
      <w:pPr>
        <w:autoSpaceDE w:val="0"/>
        <w:autoSpaceDN w:val="0"/>
        <w:adjustRightInd w:val="0"/>
        <w:ind w:left="720" w:hanging="720"/>
        <w:jc w:val="both"/>
        <w:rPr>
          <w:rFonts w:eastAsia="Calibri" w:cs="Helvetica-Light"/>
          <w:color w:val="000000"/>
        </w:rPr>
      </w:pPr>
    </w:p>
    <w:p w14:paraId="27265AE7" w14:textId="77777777" w:rsidR="00D237D6" w:rsidRDefault="00D237D6" w:rsidP="008F3B53">
      <w:pPr>
        <w:autoSpaceDE w:val="0"/>
        <w:autoSpaceDN w:val="0"/>
        <w:adjustRightInd w:val="0"/>
        <w:ind w:left="720" w:hanging="720"/>
        <w:jc w:val="both"/>
        <w:rPr>
          <w:rFonts w:eastAsia="Calibri" w:cs="Helvetica-Light"/>
          <w:color w:val="000000"/>
        </w:rPr>
      </w:pPr>
    </w:p>
    <w:p w14:paraId="3AAC48A2" w14:textId="77777777" w:rsidR="00D237D6" w:rsidRDefault="00D237D6" w:rsidP="008F3B53">
      <w:pPr>
        <w:autoSpaceDE w:val="0"/>
        <w:autoSpaceDN w:val="0"/>
        <w:adjustRightInd w:val="0"/>
        <w:ind w:left="720" w:hanging="720"/>
        <w:jc w:val="both"/>
        <w:rPr>
          <w:rFonts w:eastAsia="Calibri" w:cs="Helvetica-Light"/>
          <w:color w:val="000000"/>
        </w:rPr>
      </w:pPr>
    </w:p>
    <w:p w14:paraId="7246DD33" w14:textId="77777777" w:rsidR="00D237D6" w:rsidRDefault="00D237D6" w:rsidP="008F3B53">
      <w:pPr>
        <w:autoSpaceDE w:val="0"/>
        <w:autoSpaceDN w:val="0"/>
        <w:adjustRightInd w:val="0"/>
        <w:ind w:left="720" w:hanging="720"/>
        <w:jc w:val="both"/>
        <w:rPr>
          <w:rFonts w:eastAsia="Calibri" w:cs="Helvetica-Light"/>
          <w:color w:val="000000"/>
        </w:rPr>
      </w:pPr>
    </w:p>
    <w:p w14:paraId="6B94214E" w14:textId="77777777" w:rsidR="00D237D6" w:rsidRDefault="00D237D6" w:rsidP="008F3B53">
      <w:pPr>
        <w:autoSpaceDE w:val="0"/>
        <w:autoSpaceDN w:val="0"/>
        <w:adjustRightInd w:val="0"/>
        <w:ind w:left="720" w:hanging="720"/>
        <w:jc w:val="both"/>
        <w:rPr>
          <w:rFonts w:eastAsia="Calibri" w:cs="Helvetica-Light"/>
          <w:color w:val="000000"/>
        </w:rPr>
      </w:pPr>
    </w:p>
    <w:p w14:paraId="0D5D960E" w14:textId="77777777" w:rsidR="00D237D6" w:rsidRDefault="00D237D6" w:rsidP="008F3B53">
      <w:pPr>
        <w:autoSpaceDE w:val="0"/>
        <w:autoSpaceDN w:val="0"/>
        <w:adjustRightInd w:val="0"/>
        <w:ind w:left="720" w:hanging="720"/>
        <w:jc w:val="both"/>
        <w:rPr>
          <w:rFonts w:eastAsia="Calibri" w:cs="Helvetica-Light"/>
          <w:color w:val="000000"/>
        </w:rPr>
      </w:pPr>
    </w:p>
    <w:p w14:paraId="2502C575" w14:textId="77777777" w:rsidR="00D237D6" w:rsidRDefault="00D237D6" w:rsidP="008F3B53">
      <w:pPr>
        <w:autoSpaceDE w:val="0"/>
        <w:autoSpaceDN w:val="0"/>
        <w:adjustRightInd w:val="0"/>
        <w:ind w:left="720" w:hanging="720"/>
        <w:jc w:val="both"/>
        <w:rPr>
          <w:rFonts w:eastAsia="Calibri" w:cs="Helvetica-Light"/>
          <w:color w:val="000000"/>
        </w:rPr>
      </w:pPr>
    </w:p>
    <w:p w14:paraId="0950D68E" w14:textId="77777777" w:rsidR="00D237D6" w:rsidRDefault="00D237D6" w:rsidP="008F3B53">
      <w:pPr>
        <w:autoSpaceDE w:val="0"/>
        <w:autoSpaceDN w:val="0"/>
        <w:adjustRightInd w:val="0"/>
        <w:ind w:left="720" w:hanging="720"/>
        <w:jc w:val="both"/>
        <w:rPr>
          <w:rFonts w:eastAsia="Calibri" w:cs="Helvetica-Light"/>
          <w:color w:val="000000"/>
        </w:rPr>
      </w:pPr>
    </w:p>
    <w:p w14:paraId="2AD76436" w14:textId="77777777" w:rsidR="00D237D6" w:rsidRDefault="00D237D6" w:rsidP="008F3B53">
      <w:pPr>
        <w:autoSpaceDE w:val="0"/>
        <w:autoSpaceDN w:val="0"/>
        <w:adjustRightInd w:val="0"/>
        <w:ind w:left="720" w:hanging="720"/>
        <w:jc w:val="both"/>
        <w:rPr>
          <w:rFonts w:eastAsia="Calibri" w:cs="Helvetica-Light"/>
          <w:color w:val="000000"/>
        </w:rPr>
      </w:pPr>
    </w:p>
    <w:p w14:paraId="4C5E25A1" w14:textId="77777777" w:rsidR="00D237D6" w:rsidRDefault="00D237D6" w:rsidP="008F3B53">
      <w:pPr>
        <w:autoSpaceDE w:val="0"/>
        <w:autoSpaceDN w:val="0"/>
        <w:adjustRightInd w:val="0"/>
        <w:ind w:left="720" w:hanging="720"/>
        <w:jc w:val="both"/>
        <w:rPr>
          <w:rFonts w:eastAsia="Calibri" w:cs="Helvetica-Light"/>
          <w:color w:val="000000"/>
        </w:rPr>
      </w:pPr>
    </w:p>
    <w:p w14:paraId="09FF633D" w14:textId="77777777" w:rsidR="00D237D6" w:rsidRDefault="00D237D6" w:rsidP="008F3B53">
      <w:pPr>
        <w:autoSpaceDE w:val="0"/>
        <w:autoSpaceDN w:val="0"/>
        <w:adjustRightInd w:val="0"/>
        <w:ind w:left="720" w:hanging="720"/>
        <w:jc w:val="both"/>
        <w:rPr>
          <w:rFonts w:eastAsia="Calibri" w:cs="Helvetica-Light"/>
          <w:color w:val="000000"/>
        </w:rPr>
      </w:pPr>
    </w:p>
    <w:p w14:paraId="73520C9B" w14:textId="77777777" w:rsidR="00D237D6" w:rsidRDefault="00D237D6" w:rsidP="008F3B53">
      <w:pPr>
        <w:autoSpaceDE w:val="0"/>
        <w:autoSpaceDN w:val="0"/>
        <w:adjustRightInd w:val="0"/>
        <w:ind w:left="720" w:hanging="720"/>
        <w:jc w:val="both"/>
        <w:rPr>
          <w:rFonts w:eastAsia="Calibri" w:cs="Helvetica-Light"/>
          <w:color w:val="000000"/>
        </w:rPr>
      </w:pPr>
    </w:p>
    <w:p w14:paraId="6AD3A9D5" w14:textId="77777777" w:rsidR="00D237D6" w:rsidRDefault="00D237D6" w:rsidP="008F3B53">
      <w:pPr>
        <w:autoSpaceDE w:val="0"/>
        <w:autoSpaceDN w:val="0"/>
        <w:adjustRightInd w:val="0"/>
        <w:ind w:left="720" w:hanging="720"/>
        <w:jc w:val="both"/>
        <w:rPr>
          <w:rFonts w:eastAsia="Calibri" w:cs="Helvetica-Light"/>
          <w:color w:val="000000"/>
        </w:rPr>
      </w:pPr>
    </w:p>
    <w:p w14:paraId="5FF219CF" w14:textId="77777777" w:rsidR="00D237D6" w:rsidRDefault="00D237D6" w:rsidP="008F3B53">
      <w:pPr>
        <w:autoSpaceDE w:val="0"/>
        <w:autoSpaceDN w:val="0"/>
        <w:adjustRightInd w:val="0"/>
        <w:ind w:left="720" w:hanging="720"/>
        <w:jc w:val="both"/>
        <w:rPr>
          <w:rFonts w:eastAsia="Calibri" w:cs="Helvetica-Light"/>
          <w:color w:val="000000"/>
        </w:rPr>
      </w:pPr>
    </w:p>
    <w:p w14:paraId="7FC00BB2" w14:textId="77777777" w:rsidR="00384C86" w:rsidRDefault="00384C86" w:rsidP="008F3B53">
      <w:pPr>
        <w:autoSpaceDE w:val="0"/>
        <w:autoSpaceDN w:val="0"/>
        <w:adjustRightInd w:val="0"/>
        <w:ind w:left="720" w:hanging="720"/>
        <w:jc w:val="both"/>
        <w:rPr>
          <w:rFonts w:eastAsia="Calibri" w:cs="Helvetica-Light"/>
          <w:color w:val="000000"/>
        </w:rPr>
      </w:pPr>
    </w:p>
    <w:p w14:paraId="34AB6B21" w14:textId="77777777" w:rsidR="00D237D6" w:rsidRDefault="00D237D6" w:rsidP="00043E5E">
      <w:pPr>
        <w:autoSpaceDE w:val="0"/>
        <w:autoSpaceDN w:val="0"/>
        <w:adjustRightInd w:val="0"/>
        <w:jc w:val="both"/>
        <w:rPr>
          <w:rFonts w:eastAsia="Calibri" w:cs="Helvetica-Light"/>
          <w:color w:val="000000"/>
        </w:rPr>
      </w:pPr>
    </w:p>
    <w:p w14:paraId="142C9E39" w14:textId="77777777" w:rsidR="00AA2B8E" w:rsidRDefault="00AA2B8E" w:rsidP="00043E5E">
      <w:pPr>
        <w:autoSpaceDE w:val="0"/>
        <w:autoSpaceDN w:val="0"/>
        <w:adjustRightInd w:val="0"/>
        <w:jc w:val="both"/>
        <w:rPr>
          <w:rFonts w:eastAsia="Calibri" w:cs="Helvetica-Light"/>
          <w:color w:val="000000"/>
        </w:rPr>
      </w:pPr>
    </w:p>
    <w:p w14:paraId="1670681B" w14:textId="77777777" w:rsidR="00D237D6" w:rsidRDefault="00D237D6" w:rsidP="008F3B53">
      <w:pPr>
        <w:autoSpaceDE w:val="0"/>
        <w:autoSpaceDN w:val="0"/>
        <w:adjustRightInd w:val="0"/>
        <w:ind w:left="720" w:hanging="720"/>
        <w:jc w:val="both"/>
        <w:rPr>
          <w:rFonts w:eastAsia="Calibri" w:cs="Helvetica-Light"/>
          <w:color w:val="000000"/>
        </w:rPr>
      </w:pPr>
    </w:p>
    <w:p w14:paraId="312277C8" w14:textId="73F1AA0A" w:rsidR="00CF5762" w:rsidRDefault="004A7A82" w:rsidP="1296B87A">
      <w:pPr>
        <w:autoSpaceDE w:val="0"/>
        <w:autoSpaceDN w:val="0"/>
        <w:adjustRightInd w:val="0"/>
        <w:ind w:left="720" w:hanging="720"/>
        <w:jc w:val="both"/>
        <w:rPr>
          <w:rFonts w:eastAsia="Calibri" w:cs="Helvetica-Light"/>
          <w:b/>
          <w:bCs/>
          <w:color w:val="000000"/>
        </w:rPr>
      </w:pPr>
      <w:r w:rsidRPr="1296B87A">
        <w:rPr>
          <w:rFonts w:eastAsia="Calibri" w:cs="Helvetica-Light"/>
          <w:b/>
          <w:bCs/>
          <w:color w:val="000000" w:themeColor="text1"/>
        </w:rPr>
        <w:lastRenderedPageBreak/>
        <w:t>1</w:t>
      </w:r>
      <w:r w:rsidR="00DF6D2C">
        <w:rPr>
          <w:rFonts w:eastAsia="Calibri" w:cs="Helvetica-Light"/>
          <w:b/>
          <w:bCs/>
          <w:color w:val="000000" w:themeColor="text1"/>
        </w:rPr>
        <w:t>5</w:t>
      </w:r>
      <w:r w:rsidR="00942BB7">
        <w:rPr>
          <w:rFonts w:eastAsia="Calibri" w:cs="Helvetica-Light"/>
          <w:b/>
          <w:bCs/>
          <w:color w:val="000000" w:themeColor="text1"/>
        </w:rPr>
        <w:t>.</w:t>
      </w:r>
      <w:r>
        <w:tab/>
      </w:r>
      <w:r w:rsidRPr="1296B87A">
        <w:rPr>
          <w:rFonts w:eastAsia="Calibri" w:cs="Helvetica-Light"/>
          <w:b/>
          <w:bCs/>
          <w:color w:val="000000" w:themeColor="text1"/>
        </w:rPr>
        <w:t>Capital</w:t>
      </w:r>
      <w:r w:rsidR="00B37321" w:rsidRPr="1296B87A">
        <w:rPr>
          <w:rFonts w:eastAsia="Calibri" w:cs="Helvetica-Light"/>
          <w:b/>
          <w:bCs/>
          <w:color w:val="000000" w:themeColor="text1"/>
        </w:rPr>
        <w:t xml:space="preserve"> Delivery</w:t>
      </w:r>
      <w:r w:rsidRPr="1296B87A">
        <w:rPr>
          <w:rFonts w:eastAsia="Calibri" w:cs="Helvetica-Light"/>
          <w:b/>
          <w:bCs/>
          <w:color w:val="000000" w:themeColor="text1"/>
        </w:rPr>
        <w:t xml:space="preserve"> Programme</w:t>
      </w:r>
    </w:p>
    <w:p w14:paraId="694F8B8A" w14:textId="72F64E10" w:rsidR="00426757" w:rsidRDefault="00426757" w:rsidP="1296B87A">
      <w:pPr>
        <w:autoSpaceDE w:val="0"/>
        <w:autoSpaceDN w:val="0"/>
        <w:adjustRightInd w:val="0"/>
        <w:ind w:left="720" w:hanging="720"/>
        <w:jc w:val="both"/>
        <w:rPr>
          <w:rFonts w:eastAsia="Calibri" w:cs="Helvetica-Light"/>
          <w:b/>
          <w:bCs/>
          <w:color w:val="000000"/>
        </w:rPr>
      </w:pPr>
    </w:p>
    <w:p w14:paraId="1E6106FF" w14:textId="1F94E648" w:rsidR="00BD4155" w:rsidRDefault="004A7A82" w:rsidP="008B7964">
      <w:pPr>
        <w:ind w:left="720" w:hanging="720"/>
        <w:jc w:val="both"/>
      </w:pPr>
      <w:r w:rsidRPr="1296B87A">
        <w:rPr>
          <w:rFonts w:cs="Arial"/>
        </w:rPr>
        <w:t>1</w:t>
      </w:r>
      <w:r w:rsidR="00DF6D2C">
        <w:rPr>
          <w:rFonts w:cs="Arial"/>
        </w:rPr>
        <w:t>5</w:t>
      </w:r>
      <w:r w:rsidRPr="1296B87A">
        <w:rPr>
          <w:rFonts w:cs="Arial"/>
        </w:rPr>
        <w:t>.1</w:t>
      </w:r>
      <w:r>
        <w:tab/>
        <w:t xml:space="preserve">The </w:t>
      </w:r>
      <w:r w:rsidR="00E407A6">
        <w:t>C</w:t>
      </w:r>
      <w:r>
        <w:t xml:space="preserve">ouncil plans </w:t>
      </w:r>
      <w:r w:rsidR="00EA2B96">
        <w:t xml:space="preserve">to spend around £500m of capital investment over the next 3 years. </w:t>
      </w:r>
    </w:p>
    <w:p w14:paraId="056E6518" w14:textId="77777777" w:rsidR="00BD4155" w:rsidRDefault="00BD4155" w:rsidP="008B7964">
      <w:pPr>
        <w:ind w:left="720" w:hanging="720"/>
        <w:jc w:val="both"/>
      </w:pPr>
    </w:p>
    <w:p w14:paraId="5C8FED45" w14:textId="59236411" w:rsidR="008B7964" w:rsidRDefault="004A7A82" w:rsidP="00BD4155">
      <w:pPr>
        <w:ind w:left="720" w:hanging="720"/>
        <w:jc w:val="both"/>
        <w:rPr>
          <w:rFonts w:cs="Arial"/>
        </w:rPr>
      </w:pPr>
      <w:r>
        <w:t>15.2</w:t>
      </w:r>
      <w:r>
        <w:tab/>
      </w:r>
      <w:r w:rsidRPr="1296B87A">
        <w:rPr>
          <w:rFonts w:cs="Arial"/>
        </w:rPr>
        <w:t xml:space="preserve">An indicative </w:t>
      </w:r>
      <w:r>
        <w:rPr>
          <w:rFonts w:cs="Arial"/>
        </w:rPr>
        <w:t>c</w:t>
      </w:r>
      <w:r w:rsidRPr="1296B87A">
        <w:rPr>
          <w:rFonts w:cs="Arial"/>
        </w:rPr>
        <w:t>apital delivery programme has been drawn up for 2024/25 to 2026/27 using approved annual budgets in addition to the forecast delivery of any remaining prior year slippage less any future year budget already delivered. These figures are shown in Table 1</w:t>
      </w:r>
      <w:r w:rsidR="006A7473">
        <w:rPr>
          <w:rFonts w:cs="Arial"/>
        </w:rPr>
        <w:t>3</w:t>
      </w:r>
      <w:r w:rsidRPr="1296B87A">
        <w:rPr>
          <w:rFonts w:cs="Arial"/>
        </w:rPr>
        <w:t xml:space="preserve"> below, with the funding streams for the delivery programme then shown in Table </w:t>
      </w:r>
      <w:r w:rsidR="00467834">
        <w:rPr>
          <w:rFonts w:cs="Arial"/>
        </w:rPr>
        <w:t>1</w:t>
      </w:r>
      <w:r w:rsidR="006A7473">
        <w:rPr>
          <w:rFonts w:cs="Arial"/>
        </w:rPr>
        <w:t>4</w:t>
      </w:r>
      <w:r w:rsidRPr="1296B87A">
        <w:rPr>
          <w:rFonts w:cs="Arial"/>
        </w:rPr>
        <w:t xml:space="preserve">. </w:t>
      </w:r>
    </w:p>
    <w:p w14:paraId="333DC8AC" w14:textId="3B00ACF6" w:rsidR="008B7964" w:rsidRDefault="008B7964" w:rsidP="008B7964">
      <w:pPr>
        <w:ind w:left="720" w:hanging="720"/>
        <w:jc w:val="both"/>
        <w:rPr>
          <w:rFonts w:cs="Arial"/>
        </w:rPr>
      </w:pPr>
    </w:p>
    <w:p w14:paraId="38DA06E8" w14:textId="07358586" w:rsidR="00426757" w:rsidRPr="002E27CC" w:rsidRDefault="004A7A82" w:rsidP="1296B87A">
      <w:pPr>
        <w:ind w:left="720" w:hanging="720"/>
        <w:jc w:val="both"/>
        <w:rPr>
          <w:rFonts w:eastAsia="Calibri" w:cs="Helvetica-Light"/>
          <w:b/>
          <w:bCs/>
          <w:color w:val="000000"/>
        </w:rPr>
      </w:pPr>
      <w:r w:rsidRPr="1296B87A">
        <w:rPr>
          <w:rFonts w:cs="Arial"/>
        </w:rPr>
        <w:t>1</w:t>
      </w:r>
      <w:r w:rsidR="00DF6D2C">
        <w:rPr>
          <w:rFonts w:cs="Arial"/>
        </w:rPr>
        <w:t>5</w:t>
      </w:r>
      <w:r w:rsidRPr="1296B87A">
        <w:rPr>
          <w:rFonts w:cs="Arial"/>
        </w:rPr>
        <w:t>.</w:t>
      </w:r>
      <w:r w:rsidR="00BD4155">
        <w:rPr>
          <w:rFonts w:cs="Arial"/>
        </w:rPr>
        <w:t>3</w:t>
      </w:r>
      <w:r>
        <w:tab/>
      </w:r>
      <w:r w:rsidRPr="1296B87A">
        <w:rPr>
          <w:rFonts w:cs="Arial"/>
        </w:rPr>
        <w:t xml:space="preserve">The detailed capital programme with supporting narrative to describe the areas the funding will support is provided in Annex E. </w:t>
      </w:r>
    </w:p>
    <w:p w14:paraId="1259FE37" w14:textId="747A6C0A" w:rsidR="00CF5762" w:rsidRDefault="00CF5762" w:rsidP="00CF5762">
      <w:pPr>
        <w:autoSpaceDE w:val="0"/>
        <w:autoSpaceDN w:val="0"/>
        <w:adjustRightInd w:val="0"/>
        <w:jc w:val="both"/>
        <w:rPr>
          <w:rFonts w:eastAsia="Calibri" w:cs="Helvetica-Light"/>
          <w:color w:val="000000"/>
          <w:highlight w:val="yellow"/>
        </w:rPr>
      </w:pPr>
    </w:p>
    <w:p w14:paraId="512F27EC" w14:textId="596793C0" w:rsidR="00426757" w:rsidRPr="00467834" w:rsidRDefault="004A7A82" w:rsidP="1296B87A">
      <w:pPr>
        <w:jc w:val="both"/>
        <w:rPr>
          <w:rFonts w:cs="Arial"/>
          <w:b/>
          <w:bCs/>
          <w:i/>
          <w:iCs/>
          <w:color w:val="000000" w:themeColor="text1"/>
          <w:u w:val="single"/>
        </w:rPr>
      </w:pPr>
      <w:r w:rsidRPr="00467834">
        <w:rPr>
          <w:rFonts w:cs="Arial"/>
          <w:b/>
          <w:bCs/>
          <w:i/>
          <w:iCs/>
          <w:color w:val="000000" w:themeColor="text1"/>
          <w:u w:val="single"/>
        </w:rPr>
        <w:t>Table 1</w:t>
      </w:r>
      <w:r w:rsidR="006A7473">
        <w:rPr>
          <w:rFonts w:cs="Arial"/>
          <w:b/>
          <w:bCs/>
          <w:i/>
          <w:iCs/>
          <w:color w:val="000000" w:themeColor="text1"/>
          <w:u w:val="single"/>
        </w:rPr>
        <w:t>3</w:t>
      </w:r>
      <w:r w:rsidRPr="00467834">
        <w:rPr>
          <w:rFonts w:cs="Arial"/>
          <w:b/>
          <w:bCs/>
          <w:i/>
          <w:iCs/>
          <w:color w:val="000000" w:themeColor="text1"/>
          <w:u w:val="single"/>
        </w:rPr>
        <w:t xml:space="preserve"> – Capital delivery programme by block</w:t>
      </w:r>
    </w:p>
    <w:p w14:paraId="191B6473" w14:textId="21640226" w:rsidR="00426757" w:rsidRDefault="00426757" w:rsidP="1296B87A">
      <w:pPr>
        <w:jc w:val="both"/>
        <w:rPr>
          <w:rFonts w:cs="Arial"/>
          <w:b/>
          <w:bCs/>
          <w:color w:val="000000" w:themeColor="text1"/>
        </w:rPr>
      </w:pPr>
    </w:p>
    <w:tbl>
      <w:tblPr>
        <w:tblW w:w="9366" w:type="dxa"/>
        <w:tblLayout w:type="fixed"/>
        <w:tblLook w:val="04A0" w:firstRow="1" w:lastRow="0" w:firstColumn="1" w:lastColumn="0" w:noHBand="0" w:noVBand="1"/>
      </w:tblPr>
      <w:tblGrid>
        <w:gridCol w:w="3551"/>
        <w:gridCol w:w="1843"/>
        <w:gridCol w:w="1843"/>
        <w:gridCol w:w="1843"/>
        <w:gridCol w:w="286"/>
      </w:tblGrid>
      <w:tr w:rsidR="00C92CD8" w14:paraId="4D3E1330" w14:textId="77777777">
        <w:trPr>
          <w:gridAfter w:val="1"/>
          <w:wAfter w:w="286" w:type="dxa"/>
          <w:trHeight w:val="478"/>
        </w:trPr>
        <w:tc>
          <w:tcPr>
            <w:tcW w:w="355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E94FD7" w14:textId="77777777" w:rsidR="00426757" w:rsidRPr="00A621B5" w:rsidRDefault="004A7A82">
            <w:pPr>
              <w:jc w:val="both"/>
              <w:rPr>
                <w:rFonts w:eastAsia="Times New Roman" w:cs="Arial"/>
                <w:b/>
                <w:bCs/>
                <w:color w:val="000000"/>
              </w:rPr>
            </w:pPr>
            <w:r w:rsidRPr="00A621B5">
              <w:rPr>
                <w:rFonts w:eastAsia="Times New Roman" w:cs="Arial"/>
                <w:b/>
                <w:bCs/>
                <w:color w:val="000000"/>
              </w:rPr>
              <w:t>Service Area</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3A8D08E" w14:textId="77777777" w:rsidR="00426757" w:rsidRDefault="004A7A82">
            <w:pPr>
              <w:jc w:val="center"/>
              <w:rPr>
                <w:rFonts w:eastAsia="Times New Roman" w:cs="Arial"/>
                <w:b/>
                <w:bCs/>
                <w:color w:val="000000"/>
              </w:rPr>
            </w:pPr>
            <w:r>
              <w:rPr>
                <w:rFonts w:eastAsia="Times New Roman" w:cs="Arial"/>
                <w:b/>
                <w:bCs/>
                <w:color w:val="000000"/>
              </w:rPr>
              <w:t>20</w:t>
            </w:r>
            <w:r w:rsidRPr="00A621B5">
              <w:rPr>
                <w:rFonts w:eastAsia="Times New Roman" w:cs="Arial"/>
                <w:b/>
                <w:bCs/>
                <w:color w:val="000000"/>
              </w:rPr>
              <w:t>24/25 delivery plan</w:t>
            </w:r>
          </w:p>
          <w:p w14:paraId="2E55D58B" w14:textId="77777777" w:rsidR="00426757" w:rsidRPr="00A621B5" w:rsidRDefault="004A7A82">
            <w:pPr>
              <w:jc w:val="center"/>
              <w:rPr>
                <w:rFonts w:eastAsia="Times New Roman" w:cs="Arial"/>
                <w:b/>
                <w:bCs/>
                <w:color w:val="000000"/>
              </w:rPr>
            </w:pPr>
            <w:r>
              <w:rPr>
                <w:rFonts w:eastAsia="Times New Roman" w:cs="Arial"/>
                <w:b/>
                <w:bCs/>
                <w:color w:val="000000"/>
              </w:rPr>
              <w:t>(£m)</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DEDF603" w14:textId="77777777" w:rsidR="00426757" w:rsidRDefault="004A7A82">
            <w:pPr>
              <w:jc w:val="center"/>
              <w:rPr>
                <w:rFonts w:eastAsia="Times New Roman" w:cs="Arial"/>
                <w:b/>
                <w:bCs/>
                <w:color w:val="000000"/>
              </w:rPr>
            </w:pPr>
            <w:r>
              <w:rPr>
                <w:rFonts w:eastAsia="Times New Roman" w:cs="Arial"/>
                <w:b/>
                <w:bCs/>
                <w:color w:val="000000"/>
              </w:rPr>
              <w:t>20</w:t>
            </w:r>
            <w:r w:rsidRPr="00A621B5">
              <w:rPr>
                <w:rFonts w:eastAsia="Times New Roman" w:cs="Arial"/>
                <w:b/>
                <w:bCs/>
                <w:color w:val="000000"/>
              </w:rPr>
              <w:t>25/26 delivery plan</w:t>
            </w:r>
          </w:p>
          <w:p w14:paraId="1D0393A1" w14:textId="77777777" w:rsidR="00426757" w:rsidRPr="00A621B5" w:rsidRDefault="004A7A82">
            <w:pPr>
              <w:jc w:val="center"/>
              <w:rPr>
                <w:rFonts w:eastAsia="Times New Roman" w:cs="Arial"/>
                <w:b/>
                <w:bCs/>
                <w:color w:val="000000"/>
              </w:rPr>
            </w:pPr>
            <w:r>
              <w:rPr>
                <w:rFonts w:eastAsia="Times New Roman" w:cs="Arial"/>
                <w:b/>
                <w:bCs/>
                <w:color w:val="000000"/>
              </w:rPr>
              <w:t>(£m)</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D43465B" w14:textId="77777777" w:rsidR="00426757" w:rsidRDefault="004A7A82">
            <w:pPr>
              <w:jc w:val="center"/>
              <w:rPr>
                <w:rFonts w:eastAsia="Times New Roman" w:cs="Arial"/>
                <w:b/>
                <w:bCs/>
                <w:color w:val="000000"/>
              </w:rPr>
            </w:pPr>
            <w:r>
              <w:rPr>
                <w:rFonts w:eastAsia="Times New Roman" w:cs="Arial"/>
                <w:b/>
                <w:bCs/>
                <w:color w:val="000000"/>
              </w:rPr>
              <w:t>20</w:t>
            </w:r>
            <w:r w:rsidRPr="00A621B5">
              <w:rPr>
                <w:rFonts w:eastAsia="Times New Roman" w:cs="Arial"/>
                <w:b/>
                <w:bCs/>
                <w:color w:val="000000"/>
              </w:rPr>
              <w:t>26/27 delivery plan</w:t>
            </w:r>
          </w:p>
          <w:p w14:paraId="08EED3C0" w14:textId="77777777" w:rsidR="00426757" w:rsidRPr="00A621B5" w:rsidRDefault="004A7A82">
            <w:pPr>
              <w:jc w:val="center"/>
              <w:rPr>
                <w:rFonts w:eastAsia="Times New Roman" w:cs="Arial"/>
                <w:b/>
                <w:bCs/>
                <w:color w:val="000000"/>
              </w:rPr>
            </w:pPr>
            <w:r>
              <w:rPr>
                <w:rFonts w:eastAsia="Times New Roman" w:cs="Arial"/>
                <w:b/>
                <w:bCs/>
                <w:color w:val="000000"/>
              </w:rPr>
              <w:t>(£m)</w:t>
            </w:r>
          </w:p>
        </w:tc>
      </w:tr>
      <w:tr w:rsidR="00C92CD8" w14:paraId="7F1D92E7" w14:textId="77777777">
        <w:trPr>
          <w:trHeight w:val="313"/>
        </w:trPr>
        <w:tc>
          <w:tcPr>
            <w:tcW w:w="3551" w:type="dxa"/>
            <w:vMerge/>
            <w:tcBorders>
              <w:top w:val="single" w:sz="4" w:space="0" w:color="auto"/>
              <w:left w:val="single" w:sz="4" w:space="0" w:color="auto"/>
              <w:bottom w:val="single" w:sz="4" w:space="0" w:color="auto"/>
              <w:right w:val="single" w:sz="4" w:space="0" w:color="auto"/>
            </w:tcBorders>
            <w:vAlign w:val="center"/>
            <w:hideMark/>
          </w:tcPr>
          <w:p w14:paraId="6172F93E" w14:textId="77777777" w:rsidR="00426757" w:rsidRPr="00A621B5" w:rsidRDefault="00426757">
            <w:pPr>
              <w:jc w:val="both"/>
              <w:rPr>
                <w:rFonts w:eastAsia="Times New Roman" w:cs="Arial"/>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2D0B371" w14:textId="77777777" w:rsidR="00426757" w:rsidRPr="00A621B5" w:rsidRDefault="00426757">
            <w:pPr>
              <w:jc w:val="both"/>
              <w:rPr>
                <w:rFonts w:eastAsia="Times New Roman" w:cs="Arial"/>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B80A973" w14:textId="77777777" w:rsidR="00426757" w:rsidRPr="00A621B5" w:rsidRDefault="00426757">
            <w:pPr>
              <w:jc w:val="both"/>
              <w:rPr>
                <w:rFonts w:eastAsia="Times New Roman" w:cs="Arial"/>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1F191D8" w14:textId="77777777" w:rsidR="00426757" w:rsidRPr="00A621B5" w:rsidRDefault="00426757">
            <w:pPr>
              <w:jc w:val="both"/>
              <w:rPr>
                <w:rFonts w:eastAsia="Times New Roman" w:cs="Arial"/>
                <w:b/>
                <w:bCs/>
                <w:color w:val="000000"/>
              </w:rPr>
            </w:pPr>
          </w:p>
        </w:tc>
        <w:tc>
          <w:tcPr>
            <w:tcW w:w="286" w:type="dxa"/>
            <w:tcBorders>
              <w:top w:val="nil"/>
              <w:left w:val="nil"/>
              <w:bottom w:val="nil"/>
              <w:right w:val="nil"/>
            </w:tcBorders>
            <w:shd w:val="clear" w:color="auto" w:fill="auto"/>
            <w:noWrap/>
            <w:vAlign w:val="bottom"/>
            <w:hideMark/>
          </w:tcPr>
          <w:p w14:paraId="6B74E90D" w14:textId="77777777" w:rsidR="00426757" w:rsidRPr="00A621B5" w:rsidRDefault="00426757">
            <w:pPr>
              <w:jc w:val="both"/>
              <w:rPr>
                <w:rFonts w:eastAsia="Times New Roman" w:cs="Arial"/>
                <w:b/>
                <w:bCs/>
                <w:color w:val="000000"/>
              </w:rPr>
            </w:pPr>
          </w:p>
        </w:tc>
      </w:tr>
      <w:tr w:rsidR="00C92CD8" w14:paraId="3B7AFB69" w14:textId="77777777">
        <w:trPr>
          <w:trHeight w:val="313"/>
        </w:trPr>
        <w:tc>
          <w:tcPr>
            <w:tcW w:w="3551" w:type="dxa"/>
            <w:vMerge/>
            <w:tcBorders>
              <w:top w:val="single" w:sz="4" w:space="0" w:color="auto"/>
              <w:left w:val="single" w:sz="4" w:space="0" w:color="auto"/>
              <w:bottom w:val="single" w:sz="4" w:space="0" w:color="auto"/>
              <w:right w:val="single" w:sz="4" w:space="0" w:color="auto"/>
            </w:tcBorders>
            <w:vAlign w:val="center"/>
            <w:hideMark/>
          </w:tcPr>
          <w:p w14:paraId="2C999970" w14:textId="77777777" w:rsidR="00426757" w:rsidRPr="00A621B5" w:rsidRDefault="00426757">
            <w:pPr>
              <w:jc w:val="both"/>
              <w:rPr>
                <w:rFonts w:eastAsia="Times New Roman" w:cs="Arial"/>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A0185C" w14:textId="77777777" w:rsidR="00426757" w:rsidRPr="00A621B5" w:rsidRDefault="00426757">
            <w:pPr>
              <w:jc w:val="both"/>
              <w:rPr>
                <w:rFonts w:eastAsia="Times New Roman" w:cs="Arial"/>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7D33D83" w14:textId="77777777" w:rsidR="00426757" w:rsidRPr="00A621B5" w:rsidRDefault="00426757">
            <w:pPr>
              <w:jc w:val="both"/>
              <w:rPr>
                <w:rFonts w:eastAsia="Times New Roman" w:cs="Arial"/>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EBBE5B" w14:textId="77777777" w:rsidR="00426757" w:rsidRPr="00A621B5" w:rsidRDefault="00426757">
            <w:pPr>
              <w:jc w:val="both"/>
              <w:rPr>
                <w:rFonts w:eastAsia="Times New Roman" w:cs="Arial"/>
                <w:b/>
                <w:bCs/>
                <w:color w:val="000000"/>
              </w:rPr>
            </w:pPr>
          </w:p>
        </w:tc>
        <w:tc>
          <w:tcPr>
            <w:tcW w:w="286" w:type="dxa"/>
            <w:tcBorders>
              <w:top w:val="nil"/>
              <w:left w:val="nil"/>
              <w:bottom w:val="nil"/>
              <w:right w:val="nil"/>
            </w:tcBorders>
            <w:shd w:val="clear" w:color="auto" w:fill="auto"/>
            <w:noWrap/>
            <w:vAlign w:val="bottom"/>
            <w:hideMark/>
          </w:tcPr>
          <w:p w14:paraId="47F274E3" w14:textId="77777777" w:rsidR="00426757" w:rsidRPr="00A621B5" w:rsidRDefault="00426757">
            <w:pPr>
              <w:jc w:val="both"/>
              <w:rPr>
                <w:rFonts w:eastAsia="Times New Roman" w:cs="Arial"/>
              </w:rPr>
            </w:pPr>
          </w:p>
        </w:tc>
      </w:tr>
      <w:tr w:rsidR="00C92CD8" w14:paraId="7D5C2D9D"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780BC7E7" w14:textId="77777777" w:rsidR="00426757" w:rsidRPr="00A621B5" w:rsidRDefault="004A7A82">
            <w:pPr>
              <w:jc w:val="both"/>
              <w:rPr>
                <w:rFonts w:eastAsia="Times New Roman" w:cs="Arial"/>
                <w:color w:val="000000"/>
              </w:rPr>
            </w:pPr>
            <w:r w:rsidRPr="00A621B5">
              <w:rPr>
                <w:rFonts w:eastAsia="Times New Roman" w:cs="Arial"/>
                <w:color w:val="000000"/>
              </w:rPr>
              <w:t>Schools (</w:t>
            </w:r>
            <w:proofErr w:type="spellStart"/>
            <w:r w:rsidRPr="00A621B5">
              <w:rPr>
                <w:rFonts w:eastAsia="Times New Roman" w:cs="Arial"/>
                <w:color w:val="000000"/>
              </w:rPr>
              <w:t>excl</w:t>
            </w:r>
            <w:proofErr w:type="spellEnd"/>
            <w:r w:rsidRPr="00A621B5">
              <w:rPr>
                <w:rFonts w:eastAsia="Times New Roman" w:cs="Arial"/>
                <w:color w:val="000000"/>
              </w:rPr>
              <w:t xml:space="preserve"> DFC)</w:t>
            </w:r>
          </w:p>
        </w:tc>
        <w:tc>
          <w:tcPr>
            <w:tcW w:w="1843" w:type="dxa"/>
            <w:tcBorders>
              <w:top w:val="nil"/>
              <w:left w:val="nil"/>
              <w:bottom w:val="single" w:sz="4" w:space="0" w:color="auto"/>
              <w:right w:val="single" w:sz="4" w:space="0" w:color="auto"/>
            </w:tcBorders>
            <w:shd w:val="clear" w:color="auto" w:fill="auto"/>
            <w:noWrap/>
            <w:vAlign w:val="center"/>
            <w:hideMark/>
          </w:tcPr>
          <w:p w14:paraId="7700E42C" w14:textId="77777777" w:rsidR="00426757" w:rsidRPr="00A621B5" w:rsidRDefault="004A7A82">
            <w:pPr>
              <w:jc w:val="right"/>
              <w:rPr>
                <w:rFonts w:eastAsia="Times New Roman" w:cs="Arial"/>
                <w:color w:val="000000"/>
              </w:rPr>
            </w:pPr>
            <w:r w:rsidRPr="00A621B5">
              <w:rPr>
                <w:rFonts w:eastAsia="Times New Roman" w:cs="Arial"/>
                <w:color w:val="000000"/>
              </w:rPr>
              <w:t>30.429</w:t>
            </w:r>
          </w:p>
        </w:tc>
        <w:tc>
          <w:tcPr>
            <w:tcW w:w="1843" w:type="dxa"/>
            <w:tcBorders>
              <w:top w:val="nil"/>
              <w:left w:val="nil"/>
              <w:bottom w:val="single" w:sz="4" w:space="0" w:color="auto"/>
              <w:right w:val="single" w:sz="4" w:space="0" w:color="auto"/>
            </w:tcBorders>
            <w:shd w:val="clear" w:color="auto" w:fill="auto"/>
            <w:noWrap/>
            <w:vAlign w:val="center"/>
            <w:hideMark/>
          </w:tcPr>
          <w:p w14:paraId="783E648A" w14:textId="77777777" w:rsidR="00426757" w:rsidRPr="00A621B5" w:rsidRDefault="004A7A82">
            <w:pPr>
              <w:jc w:val="right"/>
              <w:rPr>
                <w:rFonts w:eastAsia="Times New Roman" w:cs="Arial"/>
                <w:color w:val="000000"/>
              </w:rPr>
            </w:pPr>
            <w:r w:rsidRPr="00A621B5">
              <w:rPr>
                <w:rFonts w:eastAsia="Times New Roman" w:cs="Arial"/>
                <w:color w:val="000000"/>
              </w:rPr>
              <w:t>29.068</w:t>
            </w:r>
          </w:p>
        </w:tc>
        <w:tc>
          <w:tcPr>
            <w:tcW w:w="1843" w:type="dxa"/>
            <w:tcBorders>
              <w:top w:val="nil"/>
              <w:left w:val="nil"/>
              <w:bottom w:val="single" w:sz="4" w:space="0" w:color="auto"/>
              <w:right w:val="single" w:sz="4" w:space="0" w:color="auto"/>
            </w:tcBorders>
            <w:shd w:val="clear" w:color="auto" w:fill="auto"/>
            <w:noWrap/>
            <w:vAlign w:val="center"/>
            <w:hideMark/>
          </w:tcPr>
          <w:p w14:paraId="0CA40C61" w14:textId="77777777" w:rsidR="00426757" w:rsidRPr="00A621B5" w:rsidRDefault="004A7A82">
            <w:pPr>
              <w:jc w:val="right"/>
              <w:rPr>
                <w:rFonts w:eastAsia="Times New Roman" w:cs="Arial"/>
                <w:color w:val="000000"/>
              </w:rPr>
            </w:pPr>
            <w:r w:rsidRPr="00A621B5">
              <w:rPr>
                <w:rFonts w:eastAsia="Times New Roman" w:cs="Arial"/>
                <w:color w:val="000000"/>
              </w:rPr>
              <w:t>21.514</w:t>
            </w:r>
          </w:p>
        </w:tc>
        <w:tc>
          <w:tcPr>
            <w:tcW w:w="286" w:type="dxa"/>
            <w:vAlign w:val="center"/>
            <w:hideMark/>
          </w:tcPr>
          <w:p w14:paraId="0C7B9DAA" w14:textId="77777777" w:rsidR="00426757" w:rsidRPr="00A621B5" w:rsidRDefault="00426757">
            <w:pPr>
              <w:jc w:val="both"/>
              <w:rPr>
                <w:rFonts w:eastAsia="Times New Roman" w:cs="Arial"/>
              </w:rPr>
            </w:pPr>
          </w:p>
        </w:tc>
      </w:tr>
      <w:tr w:rsidR="00C92CD8" w14:paraId="6BEC6D7E"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544EDC57" w14:textId="77777777" w:rsidR="00426757" w:rsidRPr="00A621B5" w:rsidRDefault="004A7A82">
            <w:pPr>
              <w:jc w:val="both"/>
              <w:rPr>
                <w:rFonts w:eastAsia="Times New Roman" w:cs="Arial"/>
                <w:color w:val="000000"/>
              </w:rPr>
            </w:pPr>
            <w:r w:rsidRPr="00A621B5">
              <w:rPr>
                <w:rFonts w:eastAsia="Times New Roman" w:cs="Arial"/>
                <w:color w:val="000000"/>
              </w:rPr>
              <w:t>Schools (DFC)</w:t>
            </w:r>
          </w:p>
        </w:tc>
        <w:tc>
          <w:tcPr>
            <w:tcW w:w="1843" w:type="dxa"/>
            <w:tcBorders>
              <w:top w:val="nil"/>
              <w:left w:val="nil"/>
              <w:bottom w:val="single" w:sz="4" w:space="0" w:color="auto"/>
              <w:right w:val="single" w:sz="4" w:space="0" w:color="auto"/>
            </w:tcBorders>
            <w:shd w:val="clear" w:color="auto" w:fill="auto"/>
            <w:noWrap/>
            <w:vAlign w:val="center"/>
            <w:hideMark/>
          </w:tcPr>
          <w:p w14:paraId="7067DCA1" w14:textId="77777777" w:rsidR="00426757" w:rsidRPr="00A621B5" w:rsidRDefault="004A7A82">
            <w:pPr>
              <w:jc w:val="right"/>
              <w:rPr>
                <w:rFonts w:eastAsia="Times New Roman" w:cs="Arial"/>
                <w:color w:val="000000"/>
              </w:rPr>
            </w:pPr>
            <w:r w:rsidRPr="00A621B5">
              <w:rPr>
                <w:rFonts w:eastAsia="Times New Roman" w:cs="Arial"/>
                <w:color w:val="000000"/>
              </w:rPr>
              <w:t>2.388</w:t>
            </w:r>
          </w:p>
        </w:tc>
        <w:tc>
          <w:tcPr>
            <w:tcW w:w="1843" w:type="dxa"/>
            <w:tcBorders>
              <w:top w:val="nil"/>
              <w:left w:val="nil"/>
              <w:bottom w:val="single" w:sz="4" w:space="0" w:color="auto"/>
              <w:right w:val="single" w:sz="4" w:space="0" w:color="auto"/>
            </w:tcBorders>
            <w:shd w:val="clear" w:color="auto" w:fill="auto"/>
            <w:noWrap/>
            <w:vAlign w:val="center"/>
            <w:hideMark/>
          </w:tcPr>
          <w:p w14:paraId="5B880353" w14:textId="77777777" w:rsidR="00426757" w:rsidRPr="00A621B5" w:rsidRDefault="004A7A82">
            <w:pPr>
              <w:jc w:val="right"/>
              <w:rPr>
                <w:rFonts w:eastAsia="Times New Roman" w:cs="Arial"/>
                <w:color w:val="000000"/>
              </w:rPr>
            </w:pPr>
            <w:r w:rsidRPr="00A621B5">
              <w:rPr>
                <w:rFonts w:eastAsia="Times New Roman" w:cs="Arial"/>
                <w:color w:val="000000"/>
              </w:rPr>
              <w:t>2.429</w:t>
            </w:r>
          </w:p>
        </w:tc>
        <w:tc>
          <w:tcPr>
            <w:tcW w:w="1843" w:type="dxa"/>
            <w:tcBorders>
              <w:top w:val="nil"/>
              <w:left w:val="nil"/>
              <w:bottom w:val="single" w:sz="4" w:space="0" w:color="auto"/>
              <w:right w:val="single" w:sz="4" w:space="0" w:color="auto"/>
            </w:tcBorders>
            <w:shd w:val="clear" w:color="auto" w:fill="auto"/>
            <w:noWrap/>
            <w:vAlign w:val="center"/>
            <w:hideMark/>
          </w:tcPr>
          <w:p w14:paraId="0BF4644B" w14:textId="77777777" w:rsidR="00426757" w:rsidRPr="00A621B5" w:rsidRDefault="004A7A82">
            <w:pPr>
              <w:jc w:val="right"/>
              <w:rPr>
                <w:rFonts w:eastAsia="Times New Roman" w:cs="Arial"/>
                <w:color w:val="000000"/>
              </w:rPr>
            </w:pPr>
            <w:r w:rsidRPr="00A621B5">
              <w:rPr>
                <w:rFonts w:eastAsia="Times New Roman" w:cs="Arial"/>
                <w:color w:val="000000"/>
              </w:rPr>
              <w:t>2.400</w:t>
            </w:r>
          </w:p>
        </w:tc>
        <w:tc>
          <w:tcPr>
            <w:tcW w:w="286" w:type="dxa"/>
            <w:vAlign w:val="center"/>
            <w:hideMark/>
          </w:tcPr>
          <w:p w14:paraId="39B83C41" w14:textId="77777777" w:rsidR="00426757" w:rsidRPr="00A621B5" w:rsidRDefault="00426757">
            <w:pPr>
              <w:jc w:val="both"/>
              <w:rPr>
                <w:rFonts w:eastAsia="Times New Roman" w:cs="Arial"/>
              </w:rPr>
            </w:pPr>
          </w:p>
        </w:tc>
      </w:tr>
      <w:tr w:rsidR="00C92CD8" w14:paraId="4ED79345"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6831597B" w14:textId="77777777" w:rsidR="00426757" w:rsidRPr="00A621B5" w:rsidRDefault="004A7A82">
            <w:pPr>
              <w:jc w:val="both"/>
              <w:rPr>
                <w:rFonts w:eastAsia="Times New Roman" w:cs="Arial"/>
                <w:color w:val="000000"/>
              </w:rPr>
            </w:pPr>
            <w:r w:rsidRPr="00A621B5">
              <w:rPr>
                <w:rFonts w:eastAsia="Times New Roman" w:cs="Arial"/>
                <w:color w:val="000000"/>
              </w:rPr>
              <w:t>Highways</w:t>
            </w:r>
          </w:p>
        </w:tc>
        <w:tc>
          <w:tcPr>
            <w:tcW w:w="1843" w:type="dxa"/>
            <w:tcBorders>
              <w:top w:val="nil"/>
              <w:left w:val="nil"/>
              <w:bottom w:val="single" w:sz="4" w:space="0" w:color="auto"/>
              <w:right w:val="single" w:sz="4" w:space="0" w:color="auto"/>
            </w:tcBorders>
            <w:shd w:val="clear" w:color="auto" w:fill="auto"/>
            <w:noWrap/>
            <w:vAlign w:val="center"/>
            <w:hideMark/>
          </w:tcPr>
          <w:p w14:paraId="4842B44D" w14:textId="77777777" w:rsidR="00426757" w:rsidRPr="00A621B5" w:rsidRDefault="004A7A82">
            <w:pPr>
              <w:jc w:val="right"/>
              <w:rPr>
                <w:rFonts w:eastAsia="Times New Roman" w:cs="Arial"/>
                <w:color w:val="000000"/>
              </w:rPr>
            </w:pPr>
            <w:r w:rsidRPr="00A621B5">
              <w:rPr>
                <w:rFonts w:eastAsia="Times New Roman" w:cs="Arial"/>
                <w:color w:val="000000"/>
              </w:rPr>
              <w:t>51.129</w:t>
            </w:r>
          </w:p>
        </w:tc>
        <w:tc>
          <w:tcPr>
            <w:tcW w:w="1843" w:type="dxa"/>
            <w:tcBorders>
              <w:top w:val="nil"/>
              <w:left w:val="nil"/>
              <w:bottom w:val="single" w:sz="4" w:space="0" w:color="auto"/>
              <w:right w:val="single" w:sz="4" w:space="0" w:color="auto"/>
            </w:tcBorders>
            <w:shd w:val="clear" w:color="auto" w:fill="auto"/>
            <w:noWrap/>
            <w:vAlign w:val="center"/>
            <w:hideMark/>
          </w:tcPr>
          <w:p w14:paraId="420BC809" w14:textId="77777777" w:rsidR="00426757" w:rsidRPr="00A621B5" w:rsidRDefault="004A7A82">
            <w:pPr>
              <w:jc w:val="right"/>
              <w:rPr>
                <w:rFonts w:eastAsia="Times New Roman" w:cs="Arial"/>
                <w:color w:val="000000"/>
              </w:rPr>
            </w:pPr>
            <w:r w:rsidRPr="00A621B5">
              <w:rPr>
                <w:rFonts w:eastAsia="Times New Roman" w:cs="Arial"/>
                <w:color w:val="000000"/>
              </w:rPr>
              <w:t>50.713</w:t>
            </w:r>
          </w:p>
        </w:tc>
        <w:tc>
          <w:tcPr>
            <w:tcW w:w="1843" w:type="dxa"/>
            <w:tcBorders>
              <w:top w:val="nil"/>
              <w:left w:val="nil"/>
              <w:bottom w:val="single" w:sz="4" w:space="0" w:color="auto"/>
              <w:right w:val="single" w:sz="4" w:space="0" w:color="auto"/>
            </w:tcBorders>
            <w:shd w:val="clear" w:color="auto" w:fill="auto"/>
            <w:noWrap/>
            <w:vAlign w:val="center"/>
            <w:hideMark/>
          </w:tcPr>
          <w:p w14:paraId="5905E7D8" w14:textId="77777777" w:rsidR="00426757" w:rsidRPr="00A621B5" w:rsidRDefault="004A7A82">
            <w:pPr>
              <w:jc w:val="right"/>
              <w:rPr>
                <w:rFonts w:eastAsia="Times New Roman" w:cs="Arial"/>
                <w:color w:val="000000"/>
              </w:rPr>
            </w:pPr>
            <w:r w:rsidRPr="00A621B5">
              <w:rPr>
                <w:rFonts w:eastAsia="Times New Roman" w:cs="Arial"/>
                <w:color w:val="000000"/>
              </w:rPr>
              <w:t>48.772</w:t>
            </w:r>
          </w:p>
        </w:tc>
        <w:tc>
          <w:tcPr>
            <w:tcW w:w="286" w:type="dxa"/>
            <w:vAlign w:val="center"/>
            <w:hideMark/>
          </w:tcPr>
          <w:p w14:paraId="529C3CDC" w14:textId="77777777" w:rsidR="00426757" w:rsidRPr="00A621B5" w:rsidRDefault="00426757">
            <w:pPr>
              <w:jc w:val="both"/>
              <w:rPr>
                <w:rFonts w:eastAsia="Times New Roman" w:cs="Arial"/>
              </w:rPr>
            </w:pPr>
          </w:p>
        </w:tc>
      </w:tr>
      <w:tr w:rsidR="00C92CD8" w14:paraId="1A05CAAB"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3F39A59E" w14:textId="77777777" w:rsidR="00426757" w:rsidRPr="00A621B5" w:rsidRDefault="004A7A82">
            <w:pPr>
              <w:jc w:val="both"/>
              <w:rPr>
                <w:rFonts w:eastAsia="Times New Roman" w:cs="Arial"/>
                <w:color w:val="000000"/>
              </w:rPr>
            </w:pPr>
            <w:r w:rsidRPr="00A621B5">
              <w:rPr>
                <w:rFonts w:eastAsia="Times New Roman" w:cs="Arial"/>
                <w:color w:val="000000"/>
              </w:rPr>
              <w:t>Transport</w:t>
            </w:r>
          </w:p>
        </w:tc>
        <w:tc>
          <w:tcPr>
            <w:tcW w:w="1843" w:type="dxa"/>
            <w:tcBorders>
              <w:top w:val="nil"/>
              <w:left w:val="nil"/>
              <w:bottom w:val="single" w:sz="4" w:space="0" w:color="auto"/>
              <w:right w:val="single" w:sz="4" w:space="0" w:color="auto"/>
            </w:tcBorders>
            <w:shd w:val="clear" w:color="auto" w:fill="auto"/>
            <w:noWrap/>
            <w:vAlign w:val="center"/>
            <w:hideMark/>
          </w:tcPr>
          <w:p w14:paraId="2193794A" w14:textId="77777777" w:rsidR="00426757" w:rsidRPr="00A621B5" w:rsidRDefault="004A7A82">
            <w:pPr>
              <w:jc w:val="right"/>
              <w:rPr>
                <w:rFonts w:eastAsia="Times New Roman" w:cs="Arial"/>
                <w:color w:val="000000"/>
              </w:rPr>
            </w:pPr>
            <w:r w:rsidRPr="00A621B5">
              <w:rPr>
                <w:rFonts w:eastAsia="Times New Roman" w:cs="Arial"/>
                <w:color w:val="000000"/>
              </w:rPr>
              <w:t>27.889</w:t>
            </w:r>
          </w:p>
        </w:tc>
        <w:tc>
          <w:tcPr>
            <w:tcW w:w="1843" w:type="dxa"/>
            <w:tcBorders>
              <w:top w:val="nil"/>
              <w:left w:val="nil"/>
              <w:bottom w:val="single" w:sz="4" w:space="0" w:color="auto"/>
              <w:right w:val="single" w:sz="4" w:space="0" w:color="auto"/>
            </w:tcBorders>
            <w:shd w:val="clear" w:color="auto" w:fill="auto"/>
            <w:noWrap/>
            <w:vAlign w:val="center"/>
            <w:hideMark/>
          </w:tcPr>
          <w:p w14:paraId="31A0CC06" w14:textId="77777777" w:rsidR="00426757" w:rsidRPr="00A621B5" w:rsidRDefault="004A7A82">
            <w:pPr>
              <w:jc w:val="right"/>
              <w:rPr>
                <w:rFonts w:eastAsia="Times New Roman" w:cs="Arial"/>
                <w:color w:val="000000"/>
              </w:rPr>
            </w:pPr>
            <w:r w:rsidRPr="00A621B5">
              <w:rPr>
                <w:rFonts w:eastAsia="Times New Roman" w:cs="Arial"/>
                <w:color w:val="000000"/>
              </w:rPr>
              <w:t>12.101</w:t>
            </w:r>
          </w:p>
        </w:tc>
        <w:tc>
          <w:tcPr>
            <w:tcW w:w="1843" w:type="dxa"/>
            <w:tcBorders>
              <w:top w:val="nil"/>
              <w:left w:val="nil"/>
              <w:bottom w:val="single" w:sz="4" w:space="0" w:color="auto"/>
              <w:right w:val="single" w:sz="4" w:space="0" w:color="auto"/>
            </w:tcBorders>
            <w:shd w:val="clear" w:color="auto" w:fill="auto"/>
            <w:noWrap/>
            <w:vAlign w:val="center"/>
            <w:hideMark/>
          </w:tcPr>
          <w:p w14:paraId="00BFC83E" w14:textId="77777777" w:rsidR="00426757" w:rsidRPr="00A621B5" w:rsidRDefault="004A7A82">
            <w:pPr>
              <w:jc w:val="right"/>
              <w:rPr>
                <w:rFonts w:eastAsia="Times New Roman" w:cs="Arial"/>
                <w:color w:val="000000"/>
              </w:rPr>
            </w:pPr>
            <w:r w:rsidRPr="00A621B5">
              <w:rPr>
                <w:rFonts w:eastAsia="Times New Roman" w:cs="Arial"/>
                <w:color w:val="000000"/>
              </w:rPr>
              <w:t>11.439</w:t>
            </w:r>
          </w:p>
        </w:tc>
        <w:tc>
          <w:tcPr>
            <w:tcW w:w="286" w:type="dxa"/>
            <w:vAlign w:val="center"/>
            <w:hideMark/>
          </w:tcPr>
          <w:p w14:paraId="58719FA1" w14:textId="77777777" w:rsidR="00426757" w:rsidRPr="00A621B5" w:rsidRDefault="00426757">
            <w:pPr>
              <w:jc w:val="both"/>
              <w:rPr>
                <w:rFonts w:eastAsia="Times New Roman" w:cs="Arial"/>
              </w:rPr>
            </w:pPr>
          </w:p>
        </w:tc>
      </w:tr>
      <w:tr w:rsidR="00C92CD8" w14:paraId="06665DB5"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6B3CC5A1" w14:textId="77777777" w:rsidR="00426757" w:rsidRPr="00A621B5" w:rsidRDefault="004A7A82">
            <w:pPr>
              <w:jc w:val="both"/>
              <w:rPr>
                <w:rFonts w:eastAsia="Times New Roman" w:cs="Arial"/>
                <w:color w:val="000000"/>
              </w:rPr>
            </w:pPr>
            <w:r w:rsidRPr="00A621B5">
              <w:rPr>
                <w:rFonts w:eastAsia="Times New Roman" w:cs="Arial"/>
                <w:color w:val="000000"/>
              </w:rPr>
              <w:t>Externally Funded</w:t>
            </w:r>
          </w:p>
        </w:tc>
        <w:tc>
          <w:tcPr>
            <w:tcW w:w="1843" w:type="dxa"/>
            <w:tcBorders>
              <w:top w:val="nil"/>
              <w:left w:val="nil"/>
              <w:bottom w:val="single" w:sz="4" w:space="0" w:color="auto"/>
              <w:right w:val="single" w:sz="4" w:space="0" w:color="auto"/>
            </w:tcBorders>
            <w:shd w:val="clear" w:color="auto" w:fill="auto"/>
            <w:noWrap/>
            <w:vAlign w:val="center"/>
            <w:hideMark/>
          </w:tcPr>
          <w:p w14:paraId="1576A495" w14:textId="77777777" w:rsidR="00426757" w:rsidRPr="00A621B5" w:rsidRDefault="004A7A82">
            <w:pPr>
              <w:jc w:val="right"/>
              <w:rPr>
                <w:rFonts w:eastAsia="Times New Roman" w:cs="Arial"/>
                <w:color w:val="000000"/>
              </w:rPr>
            </w:pPr>
            <w:r w:rsidRPr="00A621B5">
              <w:rPr>
                <w:rFonts w:eastAsia="Times New Roman" w:cs="Arial"/>
                <w:color w:val="000000"/>
              </w:rPr>
              <w:t>3.137</w:t>
            </w:r>
          </w:p>
        </w:tc>
        <w:tc>
          <w:tcPr>
            <w:tcW w:w="1843" w:type="dxa"/>
            <w:tcBorders>
              <w:top w:val="nil"/>
              <w:left w:val="nil"/>
              <w:bottom w:val="single" w:sz="4" w:space="0" w:color="auto"/>
              <w:right w:val="single" w:sz="4" w:space="0" w:color="auto"/>
            </w:tcBorders>
            <w:shd w:val="clear" w:color="auto" w:fill="auto"/>
            <w:noWrap/>
            <w:vAlign w:val="center"/>
            <w:hideMark/>
          </w:tcPr>
          <w:p w14:paraId="03949B9C" w14:textId="77777777" w:rsidR="00426757" w:rsidRPr="00A621B5" w:rsidRDefault="004A7A82">
            <w:pPr>
              <w:jc w:val="right"/>
              <w:rPr>
                <w:rFonts w:eastAsia="Times New Roman" w:cs="Arial"/>
                <w:color w:val="000000"/>
              </w:rPr>
            </w:pPr>
            <w:r w:rsidRPr="00A621B5">
              <w:rPr>
                <w:rFonts w:eastAsia="Times New Roman" w:cs="Arial"/>
                <w:color w:val="000000"/>
              </w:rPr>
              <w:t>0.000</w:t>
            </w:r>
          </w:p>
        </w:tc>
        <w:tc>
          <w:tcPr>
            <w:tcW w:w="1843" w:type="dxa"/>
            <w:tcBorders>
              <w:top w:val="nil"/>
              <w:left w:val="nil"/>
              <w:bottom w:val="single" w:sz="4" w:space="0" w:color="auto"/>
              <w:right w:val="single" w:sz="4" w:space="0" w:color="auto"/>
            </w:tcBorders>
            <w:shd w:val="clear" w:color="auto" w:fill="auto"/>
            <w:noWrap/>
            <w:vAlign w:val="center"/>
            <w:hideMark/>
          </w:tcPr>
          <w:p w14:paraId="77225AFA" w14:textId="77777777" w:rsidR="00426757" w:rsidRPr="00A621B5" w:rsidRDefault="004A7A82">
            <w:pPr>
              <w:jc w:val="right"/>
              <w:rPr>
                <w:rFonts w:eastAsia="Times New Roman" w:cs="Arial"/>
                <w:color w:val="000000"/>
              </w:rPr>
            </w:pPr>
            <w:r w:rsidRPr="00A621B5">
              <w:rPr>
                <w:rFonts w:eastAsia="Times New Roman" w:cs="Arial"/>
                <w:color w:val="000000"/>
              </w:rPr>
              <w:t>0.000</w:t>
            </w:r>
          </w:p>
        </w:tc>
        <w:tc>
          <w:tcPr>
            <w:tcW w:w="286" w:type="dxa"/>
            <w:vAlign w:val="center"/>
            <w:hideMark/>
          </w:tcPr>
          <w:p w14:paraId="7C092892" w14:textId="77777777" w:rsidR="00426757" w:rsidRPr="00A621B5" w:rsidRDefault="00426757">
            <w:pPr>
              <w:jc w:val="both"/>
              <w:rPr>
                <w:rFonts w:eastAsia="Times New Roman" w:cs="Arial"/>
              </w:rPr>
            </w:pPr>
          </w:p>
        </w:tc>
      </w:tr>
      <w:tr w:rsidR="00C92CD8" w14:paraId="54765A6B"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20259530" w14:textId="77777777" w:rsidR="00426757" w:rsidRPr="00A621B5" w:rsidRDefault="004A7A82">
            <w:pPr>
              <w:jc w:val="both"/>
              <w:rPr>
                <w:rFonts w:eastAsia="Times New Roman" w:cs="Arial"/>
                <w:color w:val="000000"/>
              </w:rPr>
            </w:pPr>
            <w:r w:rsidRPr="00A621B5">
              <w:rPr>
                <w:rFonts w:eastAsia="Times New Roman" w:cs="Arial"/>
                <w:color w:val="000000"/>
              </w:rPr>
              <w:t>Central Systems &amp; ICT</w:t>
            </w:r>
          </w:p>
        </w:tc>
        <w:tc>
          <w:tcPr>
            <w:tcW w:w="1843" w:type="dxa"/>
            <w:tcBorders>
              <w:top w:val="nil"/>
              <w:left w:val="nil"/>
              <w:bottom w:val="single" w:sz="4" w:space="0" w:color="auto"/>
              <w:right w:val="single" w:sz="4" w:space="0" w:color="auto"/>
            </w:tcBorders>
            <w:shd w:val="clear" w:color="auto" w:fill="auto"/>
            <w:noWrap/>
            <w:vAlign w:val="center"/>
            <w:hideMark/>
          </w:tcPr>
          <w:p w14:paraId="5CD92143" w14:textId="77777777" w:rsidR="00426757" w:rsidRPr="00A621B5" w:rsidRDefault="004A7A82">
            <w:pPr>
              <w:jc w:val="right"/>
              <w:rPr>
                <w:rFonts w:eastAsia="Times New Roman" w:cs="Arial"/>
                <w:color w:val="000000"/>
              </w:rPr>
            </w:pPr>
            <w:r w:rsidRPr="00A621B5">
              <w:rPr>
                <w:rFonts w:eastAsia="Times New Roman" w:cs="Arial"/>
                <w:color w:val="000000"/>
              </w:rPr>
              <w:t>2.596</w:t>
            </w:r>
          </w:p>
        </w:tc>
        <w:tc>
          <w:tcPr>
            <w:tcW w:w="1843" w:type="dxa"/>
            <w:tcBorders>
              <w:top w:val="nil"/>
              <w:left w:val="nil"/>
              <w:bottom w:val="single" w:sz="4" w:space="0" w:color="auto"/>
              <w:right w:val="single" w:sz="4" w:space="0" w:color="auto"/>
            </w:tcBorders>
            <w:shd w:val="clear" w:color="auto" w:fill="auto"/>
            <w:noWrap/>
            <w:vAlign w:val="center"/>
            <w:hideMark/>
          </w:tcPr>
          <w:p w14:paraId="10DDE47B" w14:textId="77777777" w:rsidR="00426757" w:rsidRPr="00A621B5" w:rsidRDefault="004A7A82">
            <w:pPr>
              <w:jc w:val="right"/>
              <w:rPr>
                <w:rFonts w:eastAsia="Times New Roman" w:cs="Arial"/>
                <w:color w:val="000000"/>
              </w:rPr>
            </w:pPr>
            <w:r w:rsidRPr="00A621B5">
              <w:rPr>
                <w:rFonts w:eastAsia="Times New Roman" w:cs="Arial"/>
                <w:color w:val="000000"/>
              </w:rPr>
              <w:t>0.800</w:t>
            </w:r>
          </w:p>
        </w:tc>
        <w:tc>
          <w:tcPr>
            <w:tcW w:w="1843" w:type="dxa"/>
            <w:tcBorders>
              <w:top w:val="nil"/>
              <w:left w:val="nil"/>
              <w:bottom w:val="single" w:sz="4" w:space="0" w:color="auto"/>
              <w:right w:val="single" w:sz="4" w:space="0" w:color="auto"/>
            </w:tcBorders>
            <w:shd w:val="clear" w:color="auto" w:fill="auto"/>
            <w:noWrap/>
            <w:vAlign w:val="center"/>
            <w:hideMark/>
          </w:tcPr>
          <w:p w14:paraId="2B92EDB2" w14:textId="77777777" w:rsidR="00426757" w:rsidRPr="00A621B5" w:rsidRDefault="004A7A82">
            <w:pPr>
              <w:jc w:val="right"/>
              <w:rPr>
                <w:rFonts w:eastAsia="Times New Roman" w:cs="Arial"/>
                <w:color w:val="000000"/>
              </w:rPr>
            </w:pPr>
            <w:r w:rsidRPr="00A621B5">
              <w:rPr>
                <w:rFonts w:eastAsia="Times New Roman" w:cs="Arial"/>
                <w:color w:val="000000"/>
              </w:rPr>
              <w:t>0.000</w:t>
            </w:r>
          </w:p>
        </w:tc>
        <w:tc>
          <w:tcPr>
            <w:tcW w:w="286" w:type="dxa"/>
            <w:vAlign w:val="center"/>
            <w:hideMark/>
          </w:tcPr>
          <w:p w14:paraId="3EB5832E" w14:textId="77777777" w:rsidR="00426757" w:rsidRPr="00A621B5" w:rsidRDefault="00426757">
            <w:pPr>
              <w:jc w:val="both"/>
              <w:rPr>
                <w:rFonts w:eastAsia="Times New Roman" w:cs="Arial"/>
              </w:rPr>
            </w:pPr>
          </w:p>
        </w:tc>
      </w:tr>
      <w:tr w:rsidR="00C92CD8" w14:paraId="1F69BD0F"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5B77AB7D" w14:textId="77777777" w:rsidR="00426757" w:rsidRPr="00A621B5" w:rsidRDefault="004A7A82">
            <w:pPr>
              <w:jc w:val="both"/>
              <w:rPr>
                <w:rFonts w:eastAsia="Times New Roman" w:cs="Arial"/>
                <w:color w:val="000000"/>
              </w:rPr>
            </w:pPr>
            <w:r w:rsidRPr="00A621B5">
              <w:rPr>
                <w:rFonts w:eastAsia="Times New Roman" w:cs="Arial"/>
                <w:color w:val="000000"/>
              </w:rPr>
              <w:t>Adults</w:t>
            </w:r>
          </w:p>
        </w:tc>
        <w:tc>
          <w:tcPr>
            <w:tcW w:w="1843" w:type="dxa"/>
            <w:tcBorders>
              <w:top w:val="nil"/>
              <w:left w:val="nil"/>
              <w:bottom w:val="single" w:sz="4" w:space="0" w:color="auto"/>
              <w:right w:val="single" w:sz="4" w:space="0" w:color="auto"/>
            </w:tcBorders>
            <w:shd w:val="clear" w:color="auto" w:fill="auto"/>
            <w:noWrap/>
            <w:vAlign w:val="center"/>
            <w:hideMark/>
          </w:tcPr>
          <w:p w14:paraId="18FAB47A" w14:textId="77777777" w:rsidR="00426757" w:rsidRPr="00A621B5" w:rsidRDefault="004A7A82">
            <w:pPr>
              <w:jc w:val="right"/>
              <w:rPr>
                <w:rFonts w:eastAsia="Times New Roman" w:cs="Arial"/>
                <w:color w:val="000000"/>
              </w:rPr>
            </w:pPr>
            <w:r w:rsidRPr="00A621B5">
              <w:rPr>
                <w:rFonts w:eastAsia="Times New Roman" w:cs="Arial"/>
                <w:color w:val="000000"/>
              </w:rPr>
              <w:t>18.174</w:t>
            </w:r>
          </w:p>
        </w:tc>
        <w:tc>
          <w:tcPr>
            <w:tcW w:w="1843" w:type="dxa"/>
            <w:tcBorders>
              <w:top w:val="nil"/>
              <w:left w:val="nil"/>
              <w:bottom w:val="single" w:sz="4" w:space="0" w:color="auto"/>
              <w:right w:val="single" w:sz="4" w:space="0" w:color="auto"/>
            </w:tcBorders>
            <w:shd w:val="clear" w:color="auto" w:fill="auto"/>
            <w:noWrap/>
            <w:vAlign w:val="center"/>
            <w:hideMark/>
          </w:tcPr>
          <w:p w14:paraId="64EA6C88" w14:textId="77777777" w:rsidR="00426757" w:rsidRPr="00A621B5" w:rsidRDefault="004A7A82">
            <w:pPr>
              <w:jc w:val="right"/>
              <w:rPr>
                <w:rFonts w:eastAsia="Times New Roman" w:cs="Arial"/>
                <w:color w:val="000000"/>
              </w:rPr>
            </w:pPr>
            <w:r w:rsidRPr="00A621B5">
              <w:rPr>
                <w:rFonts w:eastAsia="Times New Roman" w:cs="Arial"/>
                <w:color w:val="000000"/>
              </w:rPr>
              <w:t>18.174</w:t>
            </w:r>
          </w:p>
        </w:tc>
        <w:tc>
          <w:tcPr>
            <w:tcW w:w="1843" w:type="dxa"/>
            <w:tcBorders>
              <w:top w:val="nil"/>
              <w:left w:val="nil"/>
              <w:bottom w:val="single" w:sz="4" w:space="0" w:color="auto"/>
              <w:right w:val="single" w:sz="4" w:space="0" w:color="auto"/>
            </w:tcBorders>
            <w:shd w:val="clear" w:color="auto" w:fill="auto"/>
            <w:noWrap/>
            <w:vAlign w:val="center"/>
            <w:hideMark/>
          </w:tcPr>
          <w:p w14:paraId="105290CD" w14:textId="77777777" w:rsidR="00426757" w:rsidRPr="00A621B5" w:rsidRDefault="004A7A82">
            <w:pPr>
              <w:jc w:val="right"/>
              <w:rPr>
                <w:rFonts w:eastAsia="Times New Roman" w:cs="Arial"/>
                <w:color w:val="000000"/>
              </w:rPr>
            </w:pPr>
            <w:r w:rsidRPr="00A621B5">
              <w:rPr>
                <w:rFonts w:eastAsia="Times New Roman" w:cs="Arial"/>
                <w:color w:val="000000"/>
              </w:rPr>
              <w:t>18.174</w:t>
            </w:r>
          </w:p>
        </w:tc>
        <w:tc>
          <w:tcPr>
            <w:tcW w:w="286" w:type="dxa"/>
            <w:vAlign w:val="center"/>
            <w:hideMark/>
          </w:tcPr>
          <w:p w14:paraId="4A89B175" w14:textId="77777777" w:rsidR="00426757" w:rsidRPr="00A621B5" w:rsidRDefault="00426757">
            <w:pPr>
              <w:jc w:val="both"/>
              <w:rPr>
                <w:rFonts w:eastAsia="Times New Roman" w:cs="Arial"/>
              </w:rPr>
            </w:pPr>
          </w:p>
        </w:tc>
      </w:tr>
      <w:tr w:rsidR="00C92CD8" w14:paraId="502A041B"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36869CFA" w14:textId="256D7E71" w:rsidR="00426757" w:rsidRPr="00A621B5" w:rsidRDefault="004A7A82">
            <w:pPr>
              <w:jc w:val="both"/>
              <w:rPr>
                <w:rFonts w:eastAsia="Times New Roman" w:cs="Arial"/>
                <w:color w:val="000000"/>
              </w:rPr>
            </w:pPr>
            <w:r w:rsidRPr="00A621B5">
              <w:rPr>
                <w:rFonts w:eastAsia="Times New Roman" w:cs="Arial"/>
                <w:color w:val="000000"/>
              </w:rPr>
              <w:t xml:space="preserve">Corporate </w:t>
            </w:r>
            <w:r w:rsidR="001550EE">
              <w:rPr>
                <w:rFonts w:eastAsia="Times New Roman" w:cs="Arial"/>
                <w:color w:val="000000"/>
              </w:rPr>
              <w:t>–</w:t>
            </w:r>
            <w:r w:rsidRPr="00A621B5">
              <w:rPr>
                <w:rFonts w:eastAsia="Times New Roman" w:cs="Arial"/>
                <w:color w:val="000000"/>
              </w:rPr>
              <w:t xml:space="preserve"> Property</w:t>
            </w:r>
          </w:p>
        </w:tc>
        <w:tc>
          <w:tcPr>
            <w:tcW w:w="1843" w:type="dxa"/>
            <w:tcBorders>
              <w:top w:val="nil"/>
              <w:left w:val="nil"/>
              <w:bottom w:val="single" w:sz="4" w:space="0" w:color="auto"/>
              <w:right w:val="single" w:sz="4" w:space="0" w:color="auto"/>
            </w:tcBorders>
            <w:shd w:val="clear" w:color="auto" w:fill="auto"/>
            <w:noWrap/>
            <w:vAlign w:val="center"/>
            <w:hideMark/>
          </w:tcPr>
          <w:p w14:paraId="6540E2F5" w14:textId="77777777" w:rsidR="00426757" w:rsidRPr="00A621B5" w:rsidRDefault="004A7A82">
            <w:pPr>
              <w:jc w:val="right"/>
              <w:rPr>
                <w:rFonts w:eastAsia="Times New Roman" w:cs="Arial"/>
                <w:color w:val="000000"/>
              </w:rPr>
            </w:pPr>
            <w:r w:rsidRPr="00A621B5">
              <w:rPr>
                <w:rFonts w:eastAsia="Times New Roman" w:cs="Arial"/>
                <w:color w:val="000000"/>
              </w:rPr>
              <w:t>10.513</w:t>
            </w:r>
          </w:p>
        </w:tc>
        <w:tc>
          <w:tcPr>
            <w:tcW w:w="1843" w:type="dxa"/>
            <w:tcBorders>
              <w:top w:val="nil"/>
              <w:left w:val="nil"/>
              <w:bottom w:val="single" w:sz="4" w:space="0" w:color="auto"/>
              <w:right w:val="single" w:sz="4" w:space="0" w:color="auto"/>
            </w:tcBorders>
            <w:shd w:val="clear" w:color="auto" w:fill="auto"/>
            <w:noWrap/>
            <w:vAlign w:val="center"/>
            <w:hideMark/>
          </w:tcPr>
          <w:p w14:paraId="054FBD6E" w14:textId="77777777" w:rsidR="00426757" w:rsidRPr="00A621B5" w:rsidRDefault="004A7A82">
            <w:pPr>
              <w:jc w:val="right"/>
              <w:rPr>
                <w:rFonts w:eastAsia="Times New Roman" w:cs="Arial"/>
                <w:color w:val="000000"/>
              </w:rPr>
            </w:pPr>
            <w:r w:rsidRPr="00A621B5">
              <w:rPr>
                <w:rFonts w:eastAsia="Times New Roman" w:cs="Arial"/>
                <w:color w:val="000000"/>
              </w:rPr>
              <w:t>4.002</w:t>
            </w:r>
          </w:p>
        </w:tc>
        <w:tc>
          <w:tcPr>
            <w:tcW w:w="1843" w:type="dxa"/>
            <w:tcBorders>
              <w:top w:val="nil"/>
              <w:left w:val="nil"/>
              <w:bottom w:val="single" w:sz="4" w:space="0" w:color="auto"/>
              <w:right w:val="single" w:sz="4" w:space="0" w:color="auto"/>
            </w:tcBorders>
            <w:shd w:val="clear" w:color="auto" w:fill="auto"/>
            <w:noWrap/>
            <w:vAlign w:val="center"/>
            <w:hideMark/>
          </w:tcPr>
          <w:p w14:paraId="5F22D211" w14:textId="77777777" w:rsidR="00426757" w:rsidRPr="00A621B5" w:rsidRDefault="004A7A82">
            <w:pPr>
              <w:jc w:val="right"/>
              <w:rPr>
                <w:rFonts w:eastAsia="Times New Roman" w:cs="Arial"/>
                <w:color w:val="000000"/>
              </w:rPr>
            </w:pPr>
            <w:r w:rsidRPr="00A621B5">
              <w:rPr>
                <w:rFonts w:eastAsia="Times New Roman" w:cs="Arial"/>
                <w:color w:val="000000"/>
              </w:rPr>
              <w:t>0.000</w:t>
            </w:r>
          </w:p>
        </w:tc>
        <w:tc>
          <w:tcPr>
            <w:tcW w:w="286" w:type="dxa"/>
            <w:vAlign w:val="center"/>
            <w:hideMark/>
          </w:tcPr>
          <w:p w14:paraId="55E1BD5A" w14:textId="77777777" w:rsidR="00426757" w:rsidRPr="00A621B5" w:rsidRDefault="00426757">
            <w:pPr>
              <w:jc w:val="both"/>
              <w:rPr>
                <w:rFonts w:eastAsia="Times New Roman" w:cs="Arial"/>
              </w:rPr>
            </w:pPr>
          </w:p>
        </w:tc>
      </w:tr>
      <w:tr w:rsidR="00C92CD8" w14:paraId="6843B673"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76EC548D" w14:textId="77777777" w:rsidR="00426757" w:rsidRPr="00A621B5" w:rsidRDefault="004A7A82">
            <w:pPr>
              <w:jc w:val="both"/>
              <w:rPr>
                <w:rFonts w:eastAsia="Times New Roman" w:cs="Arial"/>
                <w:color w:val="000000"/>
              </w:rPr>
            </w:pPr>
            <w:r w:rsidRPr="00A621B5">
              <w:rPr>
                <w:rFonts w:eastAsia="Times New Roman" w:cs="Arial"/>
                <w:color w:val="000000"/>
              </w:rPr>
              <w:t>Economic Development</w:t>
            </w:r>
          </w:p>
        </w:tc>
        <w:tc>
          <w:tcPr>
            <w:tcW w:w="1843" w:type="dxa"/>
            <w:tcBorders>
              <w:top w:val="nil"/>
              <w:left w:val="nil"/>
              <w:bottom w:val="single" w:sz="4" w:space="0" w:color="auto"/>
              <w:right w:val="single" w:sz="4" w:space="0" w:color="auto"/>
            </w:tcBorders>
            <w:shd w:val="clear" w:color="auto" w:fill="auto"/>
            <w:noWrap/>
            <w:vAlign w:val="center"/>
            <w:hideMark/>
          </w:tcPr>
          <w:p w14:paraId="63748FC5" w14:textId="77777777" w:rsidR="00426757" w:rsidRPr="00A621B5" w:rsidRDefault="004A7A82">
            <w:pPr>
              <w:jc w:val="right"/>
              <w:rPr>
                <w:rFonts w:eastAsia="Times New Roman" w:cs="Arial"/>
                <w:color w:val="000000"/>
              </w:rPr>
            </w:pPr>
            <w:r w:rsidRPr="00A621B5">
              <w:rPr>
                <w:rFonts w:eastAsia="Times New Roman" w:cs="Arial"/>
                <w:color w:val="000000"/>
              </w:rPr>
              <w:t>35.270</w:t>
            </w:r>
          </w:p>
        </w:tc>
        <w:tc>
          <w:tcPr>
            <w:tcW w:w="1843" w:type="dxa"/>
            <w:tcBorders>
              <w:top w:val="nil"/>
              <w:left w:val="nil"/>
              <w:bottom w:val="single" w:sz="4" w:space="0" w:color="auto"/>
              <w:right w:val="single" w:sz="4" w:space="0" w:color="auto"/>
            </w:tcBorders>
            <w:shd w:val="clear" w:color="auto" w:fill="auto"/>
            <w:noWrap/>
            <w:vAlign w:val="center"/>
            <w:hideMark/>
          </w:tcPr>
          <w:p w14:paraId="09BC5DCC" w14:textId="77777777" w:rsidR="00426757" w:rsidRPr="00A621B5" w:rsidRDefault="004A7A82">
            <w:pPr>
              <w:jc w:val="right"/>
              <w:rPr>
                <w:rFonts w:eastAsia="Times New Roman" w:cs="Arial"/>
                <w:color w:val="000000"/>
              </w:rPr>
            </w:pPr>
            <w:r w:rsidRPr="00A621B5">
              <w:rPr>
                <w:rFonts w:eastAsia="Times New Roman" w:cs="Arial"/>
                <w:color w:val="000000"/>
              </w:rPr>
              <w:t>49.561</w:t>
            </w:r>
          </w:p>
        </w:tc>
        <w:tc>
          <w:tcPr>
            <w:tcW w:w="1843" w:type="dxa"/>
            <w:tcBorders>
              <w:top w:val="nil"/>
              <w:left w:val="nil"/>
              <w:bottom w:val="single" w:sz="4" w:space="0" w:color="auto"/>
              <w:right w:val="single" w:sz="4" w:space="0" w:color="auto"/>
            </w:tcBorders>
            <w:shd w:val="clear" w:color="auto" w:fill="auto"/>
            <w:noWrap/>
            <w:vAlign w:val="center"/>
            <w:hideMark/>
          </w:tcPr>
          <w:p w14:paraId="1A671DCC" w14:textId="77777777" w:rsidR="00426757" w:rsidRPr="00A621B5" w:rsidRDefault="004A7A82">
            <w:pPr>
              <w:jc w:val="right"/>
              <w:rPr>
                <w:rFonts w:eastAsia="Times New Roman" w:cs="Arial"/>
                <w:color w:val="000000"/>
              </w:rPr>
            </w:pPr>
            <w:r w:rsidRPr="00A621B5">
              <w:rPr>
                <w:rFonts w:eastAsia="Times New Roman" w:cs="Arial"/>
                <w:color w:val="000000"/>
              </w:rPr>
              <w:t>14.200</w:t>
            </w:r>
          </w:p>
        </w:tc>
        <w:tc>
          <w:tcPr>
            <w:tcW w:w="286" w:type="dxa"/>
            <w:vAlign w:val="center"/>
            <w:hideMark/>
          </w:tcPr>
          <w:p w14:paraId="00EEE7EA" w14:textId="77777777" w:rsidR="00426757" w:rsidRPr="00A621B5" w:rsidRDefault="00426757">
            <w:pPr>
              <w:jc w:val="both"/>
              <w:rPr>
                <w:rFonts w:eastAsia="Times New Roman" w:cs="Arial"/>
              </w:rPr>
            </w:pPr>
          </w:p>
        </w:tc>
      </w:tr>
      <w:tr w:rsidR="00C92CD8" w14:paraId="011A712E"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08BB4DB2" w14:textId="77777777" w:rsidR="00426757" w:rsidRPr="00A621B5" w:rsidRDefault="004A7A82">
            <w:pPr>
              <w:jc w:val="both"/>
              <w:rPr>
                <w:rFonts w:eastAsia="Times New Roman" w:cs="Arial"/>
                <w:color w:val="000000"/>
              </w:rPr>
            </w:pPr>
            <w:r w:rsidRPr="00A621B5">
              <w:rPr>
                <w:rFonts w:eastAsia="Times New Roman" w:cs="Arial"/>
                <w:color w:val="000000"/>
              </w:rPr>
              <w:t>East Lancs levelling up fund</w:t>
            </w:r>
          </w:p>
        </w:tc>
        <w:tc>
          <w:tcPr>
            <w:tcW w:w="1843" w:type="dxa"/>
            <w:tcBorders>
              <w:top w:val="nil"/>
              <w:left w:val="nil"/>
              <w:bottom w:val="single" w:sz="4" w:space="0" w:color="auto"/>
              <w:right w:val="single" w:sz="4" w:space="0" w:color="auto"/>
            </w:tcBorders>
            <w:shd w:val="clear" w:color="auto" w:fill="auto"/>
            <w:noWrap/>
            <w:vAlign w:val="center"/>
            <w:hideMark/>
          </w:tcPr>
          <w:p w14:paraId="14A06488" w14:textId="77777777" w:rsidR="00426757" w:rsidRPr="00A621B5" w:rsidRDefault="004A7A82">
            <w:pPr>
              <w:jc w:val="right"/>
              <w:rPr>
                <w:rFonts w:eastAsia="Times New Roman" w:cs="Arial"/>
                <w:color w:val="000000"/>
              </w:rPr>
            </w:pPr>
            <w:r w:rsidRPr="00A621B5">
              <w:rPr>
                <w:rFonts w:eastAsia="Times New Roman" w:cs="Arial"/>
                <w:color w:val="000000"/>
              </w:rPr>
              <w:t>10.000</w:t>
            </w:r>
          </w:p>
        </w:tc>
        <w:tc>
          <w:tcPr>
            <w:tcW w:w="1843" w:type="dxa"/>
            <w:tcBorders>
              <w:top w:val="nil"/>
              <w:left w:val="nil"/>
              <w:bottom w:val="single" w:sz="4" w:space="0" w:color="auto"/>
              <w:right w:val="single" w:sz="4" w:space="0" w:color="auto"/>
            </w:tcBorders>
            <w:shd w:val="clear" w:color="auto" w:fill="auto"/>
            <w:noWrap/>
            <w:vAlign w:val="center"/>
            <w:hideMark/>
          </w:tcPr>
          <w:p w14:paraId="683D7817" w14:textId="77777777" w:rsidR="00426757" w:rsidRPr="00A621B5" w:rsidRDefault="004A7A82">
            <w:pPr>
              <w:jc w:val="right"/>
              <w:rPr>
                <w:rFonts w:eastAsia="Times New Roman" w:cs="Arial"/>
                <w:color w:val="000000"/>
              </w:rPr>
            </w:pPr>
            <w:r w:rsidRPr="00A621B5">
              <w:rPr>
                <w:rFonts w:eastAsia="Times New Roman" w:cs="Arial"/>
                <w:color w:val="000000"/>
              </w:rPr>
              <w:t>36.000</w:t>
            </w:r>
          </w:p>
        </w:tc>
        <w:tc>
          <w:tcPr>
            <w:tcW w:w="1843" w:type="dxa"/>
            <w:tcBorders>
              <w:top w:val="nil"/>
              <w:left w:val="nil"/>
              <w:bottom w:val="single" w:sz="4" w:space="0" w:color="auto"/>
              <w:right w:val="single" w:sz="4" w:space="0" w:color="auto"/>
            </w:tcBorders>
            <w:shd w:val="clear" w:color="auto" w:fill="auto"/>
            <w:noWrap/>
            <w:vAlign w:val="center"/>
            <w:hideMark/>
          </w:tcPr>
          <w:p w14:paraId="1934FD86" w14:textId="77777777" w:rsidR="00426757" w:rsidRPr="00A621B5" w:rsidRDefault="004A7A82">
            <w:pPr>
              <w:jc w:val="right"/>
              <w:rPr>
                <w:rFonts w:eastAsia="Times New Roman" w:cs="Arial"/>
                <w:color w:val="000000"/>
              </w:rPr>
            </w:pPr>
            <w:r w:rsidRPr="00A621B5">
              <w:rPr>
                <w:rFonts w:eastAsia="Times New Roman" w:cs="Arial"/>
                <w:color w:val="000000"/>
              </w:rPr>
              <w:t>5.000</w:t>
            </w:r>
          </w:p>
        </w:tc>
        <w:tc>
          <w:tcPr>
            <w:tcW w:w="286" w:type="dxa"/>
            <w:vAlign w:val="center"/>
            <w:hideMark/>
          </w:tcPr>
          <w:p w14:paraId="20EEB820" w14:textId="77777777" w:rsidR="00426757" w:rsidRPr="00A621B5" w:rsidRDefault="00426757">
            <w:pPr>
              <w:jc w:val="both"/>
              <w:rPr>
                <w:rFonts w:eastAsia="Times New Roman" w:cs="Arial"/>
              </w:rPr>
            </w:pPr>
          </w:p>
        </w:tc>
      </w:tr>
      <w:tr w:rsidR="00C92CD8" w14:paraId="761C2EB4"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6E74A51C" w14:textId="77777777" w:rsidR="00426757" w:rsidRPr="00A621B5" w:rsidRDefault="004A7A82">
            <w:pPr>
              <w:jc w:val="both"/>
              <w:rPr>
                <w:rFonts w:eastAsia="Times New Roman" w:cs="Arial"/>
                <w:color w:val="000000"/>
              </w:rPr>
            </w:pPr>
            <w:r w:rsidRPr="00A621B5">
              <w:rPr>
                <w:rFonts w:eastAsia="Times New Roman" w:cs="Arial"/>
                <w:color w:val="000000"/>
              </w:rPr>
              <w:t>Vehicles</w:t>
            </w:r>
          </w:p>
        </w:tc>
        <w:tc>
          <w:tcPr>
            <w:tcW w:w="1843" w:type="dxa"/>
            <w:tcBorders>
              <w:top w:val="nil"/>
              <w:left w:val="nil"/>
              <w:bottom w:val="single" w:sz="4" w:space="0" w:color="auto"/>
              <w:right w:val="single" w:sz="4" w:space="0" w:color="auto"/>
            </w:tcBorders>
            <w:shd w:val="clear" w:color="auto" w:fill="auto"/>
            <w:noWrap/>
            <w:vAlign w:val="center"/>
            <w:hideMark/>
          </w:tcPr>
          <w:p w14:paraId="0BEF143E" w14:textId="77777777" w:rsidR="00426757" w:rsidRPr="00A621B5" w:rsidRDefault="004A7A82">
            <w:pPr>
              <w:jc w:val="right"/>
              <w:rPr>
                <w:rFonts w:eastAsia="Times New Roman" w:cs="Arial"/>
                <w:color w:val="000000"/>
              </w:rPr>
            </w:pPr>
            <w:r w:rsidRPr="00A621B5">
              <w:rPr>
                <w:rFonts w:eastAsia="Times New Roman" w:cs="Arial"/>
                <w:color w:val="000000"/>
              </w:rPr>
              <w:t>4.000</w:t>
            </w:r>
          </w:p>
        </w:tc>
        <w:tc>
          <w:tcPr>
            <w:tcW w:w="1843" w:type="dxa"/>
            <w:tcBorders>
              <w:top w:val="nil"/>
              <w:left w:val="nil"/>
              <w:bottom w:val="single" w:sz="4" w:space="0" w:color="auto"/>
              <w:right w:val="single" w:sz="4" w:space="0" w:color="auto"/>
            </w:tcBorders>
            <w:shd w:val="clear" w:color="auto" w:fill="auto"/>
            <w:noWrap/>
            <w:vAlign w:val="center"/>
            <w:hideMark/>
          </w:tcPr>
          <w:p w14:paraId="6DE85148" w14:textId="77777777" w:rsidR="00426757" w:rsidRPr="00A621B5" w:rsidRDefault="004A7A82">
            <w:pPr>
              <w:jc w:val="right"/>
              <w:rPr>
                <w:rFonts w:eastAsia="Times New Roman" w:cs="Arial"/>
                <w:color w:val="000000"/>
              </w:rPr>
            </w:pPr>
            <w:r w:rsidRPr="00A621B5">
              <w:rPr>
                <w:rFonts w:eastAsia="Times New Roman" w:cs="Arial"/>
                <w:color w:val="000000"/>
              </w:rPr>
              <w:t>4.000</w:t>
            </w:r>
          </w:p>
        </w:tc>
        <w:tc>
          <w:tcPr>
            <w:tcW w:w="1843" w:type="dxa"/>
            <w:tcBorders>
              <w:top w:val="nil"/>
              <w:left w:val="nil"/>
              <w:bottom w:val="single" w:sz="4" w:space="0" w:color="auto"/>
              <w:right w:val="single" w:sz="4" w:space="0" w:color="auto"/>
            </w:tcBorders>
            <w:shd w:val="clear" w:color="auto" w:fill="auto"/>
            <w:noWrap/>
            <w:vAlign w:val="center"/>
            <w:hideMark/>
          </w:tcPr>
          <w:p w14:paraId="0483314B" w14:textId="77777777" w:rsidR="00426757" w:rsidRPr="00A621B5" w:rsidRDefault="004A7A82">
            <w:pPr>
              <w:jc w:val="right"/>
              <w:rPr>
                <w:rFonts w:eastAsia="Times New Roman" w:cs="Arial"/>
                <w:color w:val="000000"/>
              </w:rPr>
            </w:pPr>
            <w:r w:rsidRPr="00A621B5">
              <w:rPr>
                <w:rFonts w:eastAsia="Times New Roman" w:cs="Arial"/>
                <w:color w:val="000000"/>
              </w:rPr>
              <w:t>4.000</w:t>
            </w:r>
          </w:p>
        </w:tc>
        <w:tc>
          <w:tcPr>
            <w:tcW w:w="286" w:type="dxa"/>
            <w:vAlign w:val="center"/>
            <w:hideMark/>
          </w:tcPr>
          <w:p w14:paraId="3806C0B8" w14:textId="77777777" w:rsidR="00426757" w:rsidRPr="00A621B5" w:rsidRDefault="00426757">
            <w:pPr>
              <w:jc w:val="both"/>
              <w:rPr>
                <w:rFonts w:eastAsia="Times New Roman" w:cs="Arial"/>
              </w:rPr>
            </w:pPr>
          </w:p>
        </w:tc>
      </w:tr>
      <w:tr w:rsidR="00C92CD8" w14:paraId="459DB0E0"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3238A3C1" w14:textId="77777777" w:rsidR="00426757" w:rsidRPr="00A621B5" w:rsidRDefault="004A7A82">
            <w:pPr>
              <w:jc w:val="both"/>
              <w:rPr>
                <w:rFonts w:eastAsia="Times New Roman" w:cs="Arial"/>
                <w:color w:val="000000"/>
              </w:rPr>
            </w:pPr>
            <w:r w:rsidRPr="00A621B5">
              <w:rPr>
                <w:rFonts w:eastAsia="Times New Roman" w:cs="Arial"/>
                <w:color w:val="000000"/>
              </w:rPr>
              <w:t>Transforming Cities Fund</w:t>
            </w:r>
          </w:p>
        </w:tc>
        <w:tc>
          <w:tcPr>
            <w:tcW w:w="1843" w:type="dxa"/>
            <w:tcBorders>
              <w:top w:val="nil"/>
              <w:left w:val="nil"/>
              <w:bottom w:val="single" w:sz="4" w:space="0" w:color="auto"/>
              <w:right w:val="single" w:sz="4" w:space="0" w:color="auto"/>
            </w:tcBorders>
            <w:shd w:val="clear" w:color="auto" w:fill="auto"/>
            <w:noWrap/>
            <w:vAlign w:val="center"/>
            <w:hideMark/>
          </w:tcPr>
          <w:p w14:paraId="41EF0066" w14:textId="77777777" w:rsidR="00426757" w:rsidRPr="00A621B5" w:rsidRDefault="004A7A82">
            <w:pPr>
              <w:jc w:val="right"/>
              <w:rPr>
                <w:rFonts w:eastAsia="Times New Roman" w:cs="Arial"/>
                <w:color w:val="000000"/>
              </w:rPr>
            </w:pPr>
            <w:r w:rsidRPr="00A621B5">
              <w:rPr>
                <w:rFonts w:eastAsia="Times New Roman" w:cs="Arial"/>
                <w:color w:val="000000"/>
              </w:rPr>
              <w:t>3.000</w:t>
            </w:r>
          </w:p>
        </w:tc>
        <w:tc>
          <w:tcPr>
            <w:tcW w:w="1843" w:type="dxa"/>
            <w:tcBorders>
              <w:top w:val="nil"/>
              <w:left w:val="nil"/>
              <w:bottom w:val="single" w:sz="4" w:space="0" w:color="auto"/>
              <w:right w:val="single" w:sz="4" w:space="0" w:color="auto"/>
            </w:tcBorders>
            <w:shd w:val="clear" w:color="auto" w:fill="auto"/>
            <w:noWrap/>
            <w:vAlign w:val="center"/>
            <w:hideMark/>
          </w:tcPr>
          <w:p w14:paraId="08EF285E" w14:textId="77777777" w:rsidR="00426757" w:rsidRPr="00A621B5" w:rsidRDefault="004A7A82">
            <w:pPr>
              <w:jc w:val="right"/>
              <w:rPr>
                <w:rFonts w:eastAsia="Times New Roman" w:cs="Arial"/>
                <w:color w:val="000000"/>
              </w:rPr>
            </w:pPr>
            <w:r w:rsidRPr="00A621B5">
              <w:rPr>
                <w:rFonts w:eastAsia="Times New Roman" w:cs="Arial"/>
                <w:color w:val="000000"/>
              </w:rPr>
              <w:t>0.000</w:t>
            </w:r>
          </w:p>
        </w:tc>
        <w:tc>
          <w:tcPr>
            <w:tcW w:w="1843" w:type="dxa"/>
            <w:tcBorders>
              <w:top w:val="nil"/>
              <w:left w:val="nil"/>
              <w:bottom w:val="single" w:sz="4" w:space="0" w:color="auto"/>
              <w:right w:val="single" w:sz="4" w:space="0" w:color="auto"/>
            </w:tcBorders>
            <w:shd w:val="clear" w:color="auto" w:fill="auto"/>
            <w:noWrap/>
            <w:vAlign w:val="center"/>
            <w:hideMark/>
          </w:tcPr>
          <w:p w14:paraId="59EC536C" w14:textId="77777777" w:rsidR="00426757" w:rsidRPr="00A621B5" w:rsidRDefault="004A7A82">
            <w:pPr>
              <w:jc w:val="right"/>
              <w:rPr>
                <w:rFonts w:eastAsia="Times New Roman" w:cs="Arial"/>
                <w:color w:val="000000"/>
              </w:rPr>
            </w:pPr>
            <w:r w:rsidRPr="00A621B5">
              <w:rPr>
                <w:rFonts w:eastAsia="Times New Roman" w:cs="Arial"/>
                <w:color w:val="000000"/>
              </w:rPr>
              <w:t>0.000</w:t>
            </w:r>
          </w:p>
        </w:tc>
        <w:tc>
          <w:tcPr>
            <w:tcW w:w="286" w:type="dxa"/>
            <w:vAlign w:val="center"/>
            <w:hideMark/>
          </w:tcPr>
          <w:p w14:paraId="5A4935B1" w14:textId="77777777" w:rsidR="00426757" w:rsidRPr="00A621B5" w:rsidRDefault="00426757">
            <w:pPr>
              <w:jc w:val="both"/>
              <w:rPr>
                <w:rFonts w:eastAsia="Times New Roman" w:cs="Arial"/>
              </w:rPr>
            </w:pPr>
          </w:p>
        </w:tc>
      </w:tr>
      <w:tr w:rsidR="00C92CD8" w14:paraId="69DEA532"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4D975897" w14:textId="77777777" w:rsidR="00426757" w:rsidRPr="00A621B5" w:rsidRDefault="004A7A82">
            <w:pPr>
              <w:jc w:val="both"/>
              <w:rPr>
                <w:rFonts w:eastAsia="Times New Roman" w:cs="Arial"/>
                <w:b/>
                <w:bCs/>
                <w:color w:val="000000"/>
              </w:rPr>
            </w:pPr>
            <w:r w:rsidRPr="00A621B5">
              <w:rPr>
                <w:rFonts w:eastAsia="Times New Roman" w:cs="Arial"/>
                <w:b/>
                <w:bCs/>
                <w:color w:val="000000"/>
              </w:rPr>
              <w:t>Totals</w:t>
            </w:r>
          </w:p>
        </w:tc>
        <w:tc>
          <w:tcPr>
            <w:tcW w:w="1843" w:type="dxa"/>
            <w:tcBorders>
              <w:top w:val="nil"/>
              <w:left w:val="nil"/>
              <w:bottom w:val="single" w:sz="4" w:space="0" w:color="auto"/>
              <w:right w:val="single" w:sz="4" w:space="0" w:color="auto"/>
            </w:tcBorders>
            <w:shd w:val="clear" w:color="auto" w:fill="auto"/>
            <w:noWrap/>
            <w:vAlign w:val="center"/>
            <w:hideMark/>
          </w:tcPr>
          <w:p w14:paraId="422E832E" w14:textId="77777777" w:rsidR="00426757" w:rsidRPr="00A621B5" w:rsidRDefault="004A7A82">
            <w:pPr>
              <w:jc w:val="right"/>
              <w:rPr>
                <w:rFonts w:eastAsia="Times New Roman" w:cs="Arial"/>
                <w:b/>
                <w:bCs/>
                <w:color w:val="000000"/>
              </w:rPr>
            </w:pPr>
            <w:r w:rsidRPr="00A621B5">
              <w:rPr>
                <w:rFonts w:eastAsia="Times New Roman" w:cs="Arial"/>
                <w:b/>
                <w:bCs/>
                <w:color w:val="000000"/>
              </w:rPr>
              <w:t xml:space="preserve">198.524 </w:t>
            </w:r>
          </w:p>
        </w:tc>
        <w:tc>
          <w:tcPr>
            <w:tcW w:w="1843" w:type="dxa"/>
            <w:tcBorders>
              <w:top w:val="nil"/>
              <w:left w:val="nil"/>
              <w:bottom w:val="single" w:sz="4" w:space="0" w:color="auto"/>
              <w:right w:val="single" w:sz="4" w:space="0" w:color="auto"/>
            </w:tcBorders>
            <w:shd w:val="clear" w:color="auto" w:fill="auto"/>
            <w:noWrap/>
            <w:vAlign w:val="center"/>
            <w:hideMark/>
          </w:tcPr>
          <w:p w14:paraId="0D6B4BE3" w14:textId="77777777" w:rsidR="00426757" w:rsidRPr="00A621B5" w:rsidRDefault="004A7A82">
            <w:pPr>
              <w:jc w:val="right"/>
              <w:rPr>
                <w:rFonts w:eastAsia="Times New Roman" w:cs="Arial"/>
                <w:b/>
                <w:bCs/>
                <w:color w:val="000000"/>
              </w:rPr>
            </w:pPr>
            <w:r w:rsidRPr="00A621B5">
              <w:rPr>
                <w:rFonts w:eastAsia="Times New Roman" w:cs="Arial"/>
                <w:b/>
                <w:bCs/>
                <w:color w:val="000000"/>
              </w:rPr>
              <w:t xml:space="preserve">206.848 </w:t>
            </w:r>
          </w:p>
        </w:tc>
        <w:tc>
          <w:tcPr>
            <w:tcW w:w="1843" w:type="dxa"/>
            <w:tcBorders>
              <w:top w:val="nil"/>
              <w:left w:val="nil"/>
              <w:bottom w:val="single" w:sz="4" w:space="0" w:color="auto"/>
              <w:right w:val="single" w:sz="4" w:space="0" w:color="auto"/>
            </w:tcBorders>
            <w:shd w:val="clear" w:color="auto" w:fill="auto"/>
            <w:noWrap/>
            <w:vAlign w:val="center"/>
            <w:hideMark/>
          </w:tcPr>
          <w:p w14:paraId="684B0493" w14:textId="77777777" w:rsidR="00426757" w:rsidRPr="00A621B5" w:rsidRDefault="004A7A82">
            <w:pPr>
              <w:jc w:val="right"/>
              <w:rPr>
                <w:rFonts w:eastAsia="Times New Roman" w:cs="Arial"/>
                <w:b/>
                <w:bCs/>
                <w:color w:val="000000"/>
              </w:rPr>
            </w:pPr>
            <w:r w:rsidRPr="00A621B5">
              <w:rPr>
                <w:rFonts w:eastAsia="Times New Roman" w:cs="Arial"/>
                <w:b/>
                <w:bCs/>
                <w:color w:val="000000"/>
              </w:rPr>
              <w:t xml:space="preserve">125.500 </w:t>
            </w:r>
          </w:p>
        </w:tc>
        <w:tc>
          <w:tcPr>
            <w:tcW w:w="286" w:type="dxa"/>
            <w:vAlign w:val="center"/>
            <w:hideMark/>
          </w:tcPr>
          <w:p w14:paraId="20FB75B0" w14:textId="77777777" w:rsidR="00426757" w:rsidRPr="00A621B5" w:rsidRDefault="00426757">
            <w:pPr>
              <w:jc w:val="both"/>
              <w:rPr>
                <w:rFonts w:eastAsia="Times New Roman" w:cs="Arial"/>
              </w:rPr>
            </w:pPr>
          </w:p>
        </w:tc>
      </w:tr>
    </w:tbl>
    <w:p w14:paraId="1D745B37" w14:textId="59EEBC89" w:rsidR="00426757" w:rsidRPr="00EF4E1C" w:rsidRDefault="00426757" w:rsidP="00426757">
      <w:pPr>
        <w:jc w:val="both"/>
        <w:rPr>
          <w:rFonts w:cs="Arial"/>
        </w:rPr>
      </w:pPr>
    </w:p>
    <w:p w14:paraId="13DBFD9D" w14:textId="440B12AD" w:rsidR="00426757" w:rsidRPr="00467834" w:rsidRDefault="004A7A82" w:rsidP="1296B87A">
      <w:pPr>
        <w:jc w:val="both"/>
        <w:rPr>
          <w:rFonts w:cs="Arial"/>
          <w:b/>
          <w:bCs/>
          <w:i/>
          <w:iCs/>
          <w:color w:val="000000" w:themeColor="text1"/>
          <w:u w:val="single"/>
        </w:rPr>
      </w:pPr>
      <w:r w:rsidRPr="00467834">
        <w:rPr>
          <w:rFonts w:cs="Arial"/>
          <w:b/>
          <w:bCs/>
          <w:i/>
          <w:iCs/>
          <w:color w:val="000000" w:themeColor="text1"/>
          <w:u w:val="single"/>
        </w:rPr>
        <w:t>T</w:t>
      </w:r>
      <w:r w:rsidR="00467834">
        <w:rPr>
          <w:rFonts w:cs="Arial"/>
          <w:b/>
          <w:bCs/>
          <w:i/>
          <w:iCs/>
          <w:color w:val="000000" w:themeColor="text1"/>
          <w:u w:val="single"/>
        </w:rPr>
        <w:t>able 1</w:t>
      </w:r>
      <w:r w:rsidR="006A7473">
        <w:rPr>
          <w:rFonts w:cs="Arial"/>
          <w:b/>
          <w:bCs/>
          <w:i/>
          <w:iCs/>
          <w:color w:val="000000" w:themeColor="text1"/>
          <w:u w:val="single"/>
        </w:rPr>
        <w:t>4</w:t>
      </w:r>
      <w:r w:rsidRPr="00467834">
        <w:rPr>
          <w:rFonts w:cs="Arial"/>
          <w:b/>
          <w:bCs/>
          <w:i/>
          <w:iCs/>
          <w:color w:val="000000" w:themeColor="text1"/>
          <w:u w:val="single"/>
        </w:rPr>
        <w:t xml:space="preserve"> – Funding streams by year</w:t>
      </w:r>
    </w:p>
    <w:p w14:paraId="799D1F16" w14:textId="47D3D374" w:rsidR="00426757" w:rsidRDefault="00426757" w:rsidP="1296B87A">
      <w:pPr>
        <w:jc w:val="both"/>
        <w:rPr>
          <w:rFonts w:cs="Arial"/>
          <w:b/>
          <w:bCs/>
          <w:color w:val="000000" w:themeColor="text1"/>
        </w:rPr>
      </w:pPr>
    </w:p>
    <w:tbl>
      <w:tblPr>
        <w:tblW w:w="9346" w:type="dxa"/>
        <w:tblLayout w:type="fixed"/>
        <w:tblLook w:val="04A0" w:firstRow="1" w:lastRow="0" w:firstColumn="1" w:lastColumn="0" w:noHBand="0" w:noVBand="1"/>
      </w:tblPr>
      <w:tblGrid>
        <w:gridCol w:w="3539"/>
        <w:gridCol w:w="1847"/>
        <w:gridCol w:w="1847"/>
        <w:gridCol w:w="1848"/>
        <w:gridCol w:w="265"/>
      </w:tblGrid>
      <w:tr w:rsidR="00C92CD8" w14:paraId="13B4ADC0" w14:textId="77777777">
        <w:trPr>
          <w:gridAfter w:val="1"/>
          <w:wAfter w:w="265" w:type="dxa"/>
          <w:trHeight w:val="481"/>
        </w:trPr>
        <w:tc>
          <w:tcPr>
            <w:tcW w:w="353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BE91E5" w14:textId="77777777" w:rsidR="00426757" w:rsidRPr="00EF4E1C" w:rsidRDefault="004A7A82">
            <w:pPr>
              <w:jc w:val="both"/>
              <w:rPr>
                <w:rFonts w:eastAsia="Times New Roman" w:cs="Arial"/>
                <w:b/>
                <w:bCs/>
                <w:color w:val="000000"/>
              </w:rPr>
            </w:pPr>
            <w:r w:rsidRPr="00EF4E1C">
              <w:rPr>
                <w:rFonts w:eastAsia="Times New Roman" w:cs="Arial"/>
                <w:b/>
                <w:bCs/>
                <w:color w:val="000000"/>
              </w:rPr>
              <w:t>Service Area</w:t>
            </w:r>
          </w:p>
        </w:tc>
        <w:tc>
          <w:tcPr>
            <w:tcW w:w="184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8EFBE40" w14:textId="77777777" w:rsidR="00426757" w:rsidRPr="00EF4E1C" w:rsidRDefault="004A7A82">
            <w:pPr>
              <w:jc w:val="center"/>
              <w:rPr>
                <w:rFonts w:eastAsia="Times New Roman" w:cs="Arial"/>
                <w:b/>
                <w:bCs/>
                <w:color w:val="000000"/>
              </w:rPr>
            </w:pPr>
            <w:r>
              <w:rPr>
                <w:rFonts w:eastAsia="Times New Roman" w:cs="Arial"/>
                <w:b/>
                <w:bCs/>
                <w:color w:val="000000"/>
              </w:rPr>
              <w:t>20</w:t>
            </w:r>
            <w:r w:rsidRPr="00EF4E1C">
              <w:rPr>
                <w:rFonts w:eastAsia="Times New Roman" w:cs="Arial"/>
                <w:b/>
                <w:bCs/>
                <w:color w:val="000000"/>
              </w:rPr>
              <w:t>24/25 funding</w:t>
            </w:r>
          </w:p>
        </w:tc>
        <w:tc>
          <w:tcPr>
            <w:tcW w:w="184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062A912" w14:textId="77777777" w:rsidR="00426757" w:rsidRPr="00EF4E1C" w:rsidRDefault="004A7A82">
            <w:pPr>
              <w:jc w:val="center"/>
              <w:rPr>
                <w:rFonts w:eastAsia="Times New Roman" w:cs="Arial"/>
                <w:b/>
                <w:bCs/>
                <w:color w:val="000000"/>
              </w:rPr>
            </w:pPr>
            <w:r>
              <w:rPr>
                <w:rFonts w:eastAsia="Times New Roman" w:cs="Arial"/>
                <w:b/>
                <w:bCs/>
                <w:color w:val="000000"/>
              </w:rPr>
              <w:t>20</w:t>
            </w:r>
            <w:r w:rsidRPr="00EF4E1C">
              <w:rPr>
                <w:rFonts w:eastAsia="Times New Roman" w:cs="Arial"/>
                <w:b/>
                <w:bCs/>
                <w:color w:val="000000"/>
              </w:rPr>
              <w:t>25/26 funding</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3FCC8EC" w14:textId="77777777" w:rsidR="00426757" w:rsidRPr="00EF4E1C" w:rsidRDefault="004A7A82">
            <w:pPr>
              <w:jc w:val="center"/>
              <w:rPr>
                <w:rFonts w:eastAsia="Times New Roman" w:cs="Arial"/>
                <w:b/>
                <w:bCs/>
                <w:color w:val="000000"/>
              </w:rPr>
            </w:pPr>
            <w:r>
              <w:rPr>
                <w:rFonts w:eastAsia="Times New Roman" w:cs="Arial"/>
                <w:b/>
                <w:bCs/>
                <w:color w:val="000000"/>
              </w:rPr>
              <w:t>20</w:t>
            </w:r>
            <w:r w:rsidRPr="00EF4E1C">
              <w:rPr>
                <w:rFonts w:eastAsia="Times New Roman" w:cs="Arial"/>
                <w:b/>
                <w:bCs/>
                <w:color w:val="000000"/>
              </w:rPr>
              <w:t>26/27 funding</w:t>
            </w:r>
          </w:p>
        </w:tc>
      </w:tr>
      <w:tr w:rsidR="00C92CD8" w14:paraId="209C26E4" w14:textId="77777777">
        <w:trPr>
          <w:trHeight w:val="303"/>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157A5214" w14:textId="77777777" w:rsidR="00426757" w:rsidRPr="00EF4E1C" w:rsidRDefault="00426757">
            <w:pPr>
              <w:jc w:val="both"/>
              <w:rPr>
                <w:rFonts w:eastAsia="Times New Roman" w:cs="Arial"/>
                <w:b/>
                <w:bCs/>
                <w:color w:val="000000"/>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14:paraId="10AB8D01" w14:textId="77777777" w:rsidR="00426757" w:rsidRPr="00EF4E1C" w:rsidRDefault="00426757">
            <w:pPr>
              <w:jc w:val="both"/>
              <w:rPr>
                <w:rFonts w:eastAsia="Times New Roman" w:cs="Arial"/>
                <w:b/>
                <w:bCs/>
                <w:color w:val="000000"/>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14:paraId="204D1AA2" w14:textId="77777777" w:rsidR="00426757" w:rsidRPr="00EF4E1C" w:rsidRDefault="00426757">
            <w:pPr>
              <w:jc w:val="both"/>
              <w:rPr>
                <w:rFonts w:eastAsia="Times New Roman" w:cs="Arial"/>
                <w:b/>
                <w:bCs/>
                <w:color w:val="00000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49038654" w14:textId="77777777" w:rsidR="00426757" w:rsidRPr="00EF4E1C" w:rsidRDefault="00426757">
            <w:pPr>
              <w:jc w:val="both"/>
              <w:rPr>
                <w:rFonts w:eastAsia="Times New Roman" w:cs="Arial"/>
                <w:b/>
                <w:bCs/>
                <w:color w:val="000000"/>
              </w:rPr>
            </w:pPr>
          </w:p>
        </w:tc>
        <w:tc>
          <w:tcPr>
            <w:tcW w:w="265" w:type="dxa"/>
            <w:tcBorders>
              <w:top w:val="nil"/>
              <w:left w:val="nil"/>
              <w:bottom w:val="nil"/>
              <w:right w:val="nil"/>
            </w:tcBorders>
            <w:shd w:val="clear" w:color="auto" w:fill="auto"/>
            <w:noWrap/>
            <w:vAlign w:val="bottom"/>
            <w:hideMark/>
          </w:tcPr>
          <w:p w14:paraId="27451750" w14:textId="77777777" w:rsidR="00426757" w:rsidRPr="00EF4E1C" w:rsidRDefault="00426757">
            <w:pPr>
              <w:jc w:val="both"/>
              <w:rPr>
                <w:rFonts w:eastAsia="Times New Roman" w:cs="Arial"/>
                <w:b/>
                <w:bCs/>
                <w:color w:val="000000"/>
              </w:rPr>
            </w:pPr>
          </w:p>
        </w:tc>
      </w:tr>
      <w:tr w:rsidR="00C92CD8" w14:paraId="17B8411A" w14:textId="77777777">
        <w:trPr>
          <w:trHeight w:val="303"/>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218CAF9A" w14:textId="77777777" w:rsidR="00426757" w:rsidRPr="00EF4E1C" w:rsidRDefault="00426757">
            <w:pPr>
              <w:jc w:val="both"/>
              <w:rPr>
                <w:rFonts w:eastAsia="Times New Roman" w:cs="Arial"/>
                <w:b/>
                <w:bCs/>
                <w:color w:val="000000"/>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14:paraId="2D397852" w14:textId="77777777" w:rsidR="00426757" w:rsidRPr="00EF4E1C" w:rsidRDefault="00426757">
            <w:pPr>
              <w:jc w:val="both"/>
              <w:rPr>
                <w:rFonts w:eastAsia="Times New Roman" w:cs="Arial"/>
                <w:b/>
                <w:bCs/>
                <w:color w:val="000000"/>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14:paraId="10C99F4F" w14:textId="77777777" w:rsidR="00426757" w:rsidRPr="00EF4E1C" w:rsidRDefault="00426757">
            <w:pPr>
              <w:jc w:val="both"/>
              <w:rPr>
                <w:rFonts w:eastAsia="Times New Roman" w:cs="Arial"/>
                <w:b/>
                <w:bCs/>
                <w:color w:val="00000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21F1520C" w14:textId="77777777" w:rsidR="00426757" w:rsidRPr="00EF4E1C" w:rsidRDefault="00426757">
            <w:pPr>
              <w:jc w:val="both"/>
              <w:rPr>
                <w:rFonts w:eastAsia="Times New Roman" w:cs="Arial"/>
                <w:b/>
                <w:bCs/>
                <w:color w:val="000000"/>
              </w:rPr>
            </w:pPr>
          </w:p>
        </w:tc>
        <w:tc>
          <w:tcPr>
            <w:tcW w:w="265" w:type="dxa"/>
            <w:tcBorders>
              <w:top w:val="nil"/>
              <w:left w:val="nil"/>
              <w:bottom w:val="nil"/>
              <w:right w:val="nil"/>
            </w:tcBorders>
            <w:shd w:val="clear" w:color="auto" w:fill="auto"/>
            <w:noWrap/>
            <w:vAlign w:val="bottom"/>
            <w:hideMark/>
          </w:tcPr>
          <w:p w14:paraId="41E5609D" w14:textId="77777777" w:rsidR="00426757" w:rsidRPr="00EF4E1C" w:rsidRDefault="00426757">
            <w:pPr>
              <w:jc w:val="both"/>
              <w:rPr>
                <w:rFonts w:eastAsia="Times New Roman" w:cs="Arial"/>
              </w:rPr>
            </w:pPr>
          </w:p>
        </w:tc>
      </w:tr>
      <w:tr w:rsidR="00C92CD8" w14:paraId="57259E95" w14:textId="77777777">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2A642A9" w14:textId="77777777" w:rsidR="00426757" w:rsidRPr="00EF4E1C" w:rsidRDefault="004A7A82">
            <w:pPr>
              <w:jc w:val="both"/>
              <w:rPr>
                <w:rFonts w:eastAsia="Times New Roman" w:cs="Arial"/>
                <w:color w:val="000000"/>
              </w:rPr>
            </w:pPr>
            <w:r w:rsidRPr="00EF4E1C">
              <w:rPr>
                <w:rFonts w:eastAsia="Times New Roman" w:cs="Arial"/>
                <w:color w:val="000000"/>
              </w:rPr>
              <w:t>Borrowing</w:t>
            </w:r>
          </w:p>
        </w:tc>
        <w:tc>
          <w:tcPr>
            <w:tcW w:w="1847" w:type="dxa"/>
            <w:tcBorders>
              <w:top w:val="nil"/>
              <w:left w:val="nil"/>
              <w:bottom w:val="single" w:sz="4" w:space="0" w:color="auto"/>
              <w:right w:val="single" w:sz="4" w:space="0" w:color="auto"/>
            </w:tcBorders>
            <w:shd w:val="clear" w:color="auto" w:fill="auto"/>
            <w:vAlign w:val="center"/>
            <w:hideMark/>
          </w:tcPr>
          <w:p w14:paraId="0F581A6D" w14:textId="77777777" w:rsidR="00426757" w:rsidRPr="00EF4E1C" w:rsidRDefault="004A7A82">
            <w:pPr>
              <w:jc w:val="right"/>
              <w:rPr>
                <w:rFonts w:eastAsia="Times New Roman" w:cs="Arial"/>
              </w:rPr>
            </w:pPr>
            <w:r w:rsidRPr="00EF4E1C">
              <w:rPr>
                <w:rFonts w:eastAsia="Times New Roman" w:cs="Arial"/>
              </w:rPr>
              <w:t>61.393</w:t>
            </w:r>
          </w:p>
        </w:tc>
        <w:tc>
          <w:tcPr>
            <w:tcW w:w="1847" w:type="dxa"/>
            <w:tcBorders>
              <w:top w:val="nil"/>
              <w:left w:val="nil"/>
              <w:bottom w:val="single" w:sz="4" w:space="0" w:color="auto"/>
              <w:right w:val="single" w:sz="4" w:space="0" w:color="auto"/>
            </w:tcBorders>
            <w:shd w:val="clear" w:color="auto" w:fill="auto"/>
            <w:noWrap/>
            <w:vAlign w:val="center"/>
            <w:hideMark/>
          </w:tcPr>
          <w:p w14:paraId="41FA7095" w14:textId="77777777" w:rsidR="00426757" w:rsidRPr="00EF4E1C" w:rsidRDefault="004A7A82">
            <w:pPr>
              <w:jc w:val="right"/>
              <w:rPr>
                <w:rFonts w:eastAsia="Times New Roman" w:cs="Arial"/>
                <w:color w:val="000000"/>
              </w:rPr>
            </w:pPr>
            <w:r w:rsidRPr="00EF4E1C">
              <w:rPr>
                <w:rFonts w:eastAsia="Times New Roman" w:cs="Arial"/>
                <w:color w:val="000000"/>
              </w:rPr>
              <w:t xml:space="preserve">70.187 </w:t>
            </w:r>
          </w:p>
        </w:tc>
        <w:tc>
          <w:tcPr>
            <w:tcW w:w="1848" w:type="dxa"/>
            <w:tcBorders>
              <w:top w:val="nil"/>
              <w:left w:val="nil"/>
              <w:bottom w:val="single" w:sz="4" w:space="0" w:color="auto"/>
              <w:right w:val="single" w:sz="4" w:space="0" w:color="auto"/>
            </w:tcBorders>
            <w:shd w:val="clear" w:color="auto" w:fill="auto"/>
            <w:noWrap/>
            <w:vAlign w:val="center"/>
            <w:hideMark/>
          </w:tcPr>
          <w:p w14:paraId="3FBDEBAE" w14:textId="77777777" w:rsidR="00426757" w:rsidRPr="00EF4E1C" w:rsidRDefault="004A7A82">
            <w:pPr>
              <w:jc w:val="right"/>
              <w:rPr>
                <w:rFonts w:eastAsia="Times New Roman" w:cs="Arial"/>
                <w:color w:val="000000"/>
              </w:rPr>
            </w:pPr>
            <w:r w:rsidRPr="00EF4E1C">
              <w:rPr>
                <w:rFonts w:eastAsia="Times New Roman" w:cs="Arial"/>
                <w:color w:val="000000"/>
              </w:rPr>
              <w:t>43.800</w:t>
            </w:r>
          </w:p>
        </w:tc>
        <w:tc>
          <w:tcPr>
            <w:tcW w:w="265" w:type="dxa"/>
            <w:vAlign w:val="center"/>
            <w:hideMark/>
          </w:tcPr>
          <w:p w14:paraId="74074D19" w14:textId="77777777" w:rsidR="00426757" w:rsidRPr="00EF4E1C" w:rsidRDefault="00426757">
            <w:pPr>
              <w:jc w:val="both"/>
              <w:rPr>
                <w:rFonts w:eastAsia="Times New Roman" w:cs="Arial"/>
              </w:rPr>
            </w:pPr>
          </w:p>
        </w:tc>
      </w:tr>
      <w:tr w:rsidR="00C92CD8" w14:paraId="555CE265" w14:textId="77777777">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941A68D" w14:textId="77777777" w:rsidR="00426757" w:rsidRPr="00EF4E1C" w:rsidRDefault="004A7A82">
            <w:pPr>
              <w:jc w:val="both"/>
              <w:rPr>
                <w:rFonts w:eastAsia="Times New Roman" w:cs="Arial"/>
                <w:color w:val="000000"/>
              </w:rPr>
            </w:pPr>
            <w:r w:rsidRPr="00EF4E1C">
              <w:rPr>
                <w:rFonts w:eastAsia="Times New Roman" w:cs="Arial"/>
                <w:color w:val="000000"/>
              </w:rPr>
              <w:t>Grant</w:t>
            </w:r>
          </w:p>
        </w:tc>
        <w:tc>
          <w:tcPr>
            <w:tcW w:w="1847" w:type="dxa"/>
            <w:tcBorders>
              <w:top w:val="nil"/>
              <w:left w:val="nil"/>
              <w:bottom w:val="single" w:sz="4" w:space="0" w:color="auto"/>
              <w:right w:val="single" w:sz="4" w:space="0" w:color="auto"/>
            </w:tcBorders>
            <w:shd w:val="clear" w:color="auto" w:fill="auto"/>
            <w:vAlign w:val="center"/>
            <w:hideMark/>
          </w:tcPr>
          <w:p w14:paraId="469F42B1" w14:textId="77777777" w:rsidR="00426757" w:rsidRPr="00EF4E1C" w:rsidRDefault="004A7A82">
            <w:pPr>
              <w:jc w:val="right"/>
              <w:rPr>
                <w:rFonts w:eastAsia="Times New Roman" w:cs="Arial"/>
              </w:rPr>
            </w:pPr>
            <w:r w:rsidRPr="00EF4E1C">
              <w:rPr>
                <w:rFonts w:eastAsia="Times New Roman" w:cs="Arial"/>
              </w:rPr>
              <w:t>118.563</w:t>
            </w:r>
          </w:p>
        </w:tc>
        <w:tc>
          <w:tcPr>
            <w:tcW w:w="1847" w:type="dxa"/>
            <w:tcBorders>
              <w:top w:val="nil"/>
              <w:left w:val="nil"/>
              <w:bottom w:val="single" w:sz="4" w:space="0" w:color="auto"/>
              <w:right w:val="single" w:sz="4" w:space="0" w:color="auto"/>
            </w:tcBorders>
            <w:shd w:val="clear" w:color="auto" w:fill="auto"/>
            <w:noWrap/>
            <w:vAlign w:val="center"/>
            <w:hideMark/>
          </w:tcPr>
          <w:p w14:paraId="66CE677A" w14:textId="77777777" w:rsidR="00426757" w:rsidRPr="00EF4E1C" w:rsidRDefault="004A7A82">
            <w:pPr>
              <w:jc w:val="right"/>
              <w:rPr>
                <w:rFonts w:eastAsia="Times New Roman" w:cs="Arial"/>
                <w:color w:val="000000"/>
              </w:rPr>
            </w:pPr>
            <w:r w:rsidRPr="00EF4E1C">
              <w:rPr>
                <w:rFonts w:eastAsia="Times New Roman" w:cs="Arial"/>
                <w:color w:val="000000"/>
              </w:rPr>
              <w:t xml:space="preserve">136.161 </w:t>
            </w:r>
          </w:p>
        </w:tc>
        <w:tc>
          <w:tcPr>
            <w:tcW w:w="1848" w:type="dxa"/>
            <w:tcBorders>
              <w:top w:val="nil"/>
              <w:left w:val="nil"/>
              <w:bottom w:val="single" w:sz="4" w:space="0" w:color="auto"/>
              <w:right w:val="single" w:sz="4" w:space="0" w:color="auto"/>
            </w:tcBorders>
            <w:shd w:val="clear" w:color="auto" w:fill="auto"/>
            <w:noWrap/>
            <w:vAlign w:val="center"/>
            <w:hideMark/>
          </w:tcPr>
          <w:p w14:paraId="176491BC" w14:textId="77777777" w:rsidR="00426757" w:rsidRPr="00EF4E1C" w:rsidRDefault="004A7A82">
            <w:pPr>
              <w:jc w:val="right"/>
              <w:rPr>
                <w:rFonts w:eastAsia="Times New Roman" w:cs="Arial"/>
                <w:color w:val="000000"/>
              </w:rPr>
            </w:pPr>
            <w:r w:rsidRPr="00EF4E1C">
              <w:rPr>
                <w:rFonts w:eastAsia="Times New Roman" w:cs="Arial"/>
                <w:color w:val="000000"/>
              </w:rPr>
              <w:t>81.200</w:t>
            </w:r>
          </w:p>
        </w:tc>
        <w:tc>
          <w:tcPr>
            <w:tcW w:w="265" w:type="dxa"/>
            <w:vAlign w:val="center"/>
            <w:hideMark/>
          </w:tcPr>
          <w:p w14:paraId="083787AE" w14:textId="77777777" w:rsidR="00426757" w:rsidRPr="00EF4E1C" w:rsidRDefault="00426757">
            <w:pPr>
              <w:jc w:val="both"/>
              <w:rPr>
                <w:rFonts w:eastAsia="Times New Roman" w:cs="Arial"/>
              </w:rPr>
            </w:pPr>
          </w:p>
        </w:tc>
      </w:tr>
      <w:tr w:rsidR="00C92CD8" w14:paraId="53CBA4B1" w14:textId="77777777">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76621C5" w14:textId="77777777" w:rsidR="00426757" w:rsidRPr="00EF4E1C" w:rsidRDefault="004A7A82">
            <w:pPr>
              <w:jc w:val="both"/>
              <w:rPr>
                <w:rFonts w:eastAsia="Times New Roman" w:cs="Arial"/>
                <w:color w:val="000000"/>
              </w:rPr>
            </w:pPr>
            <w:r w:rsidRPr="00EF4E1C">
              <w:rPr>
                <w:rFonts w:eastAsia="Times New Roman" w:cs="Arial"/>
                <w:color w:val="000000"/>
              </w:rPr>
              <w:t>Contributions</w:t>
            </w:r>
          </w:p>
        </w:tc>
        <w:tc>
          <w:tcPr>
            <w:tcW w:w="1847" w:type="dxa"/>
            <w:tcBorders>
              <w:top w:val="nil"/>
              <w:left w:val="nil"/>
              <w:bottom w:val="single" w:sz="4" w:space="0" w:color="auto"/>
              <w:right w:val="single" w:sz="4" w:space="0" w:color="auto"/>
            </w:tcBorders>
            <w:shd w:val="clear" w:color="auto" w:fill="auto"/>
            <w:vAlign w:val="center"/>
            <w:hideMark/>
          </w:tcPr>
          <w:p w14:paraId="542A5DAE" w14:textId="77777777" w:rsidR="00426757" w:rsidRPr="00EF4E1C" w:rsidRDefault="004A7A82">
            <w:pPr>
              <w:jc w:val="right"/>
              <w:rPr>
                <w:rFonts w:eastAsia="Times New Roman" w:cs="Arial"/>
              </w:rPr>
            </w:pPr>
            <w:r w:rsidRPr="00EF4E1C">
              <w:rPr>
                <w:rFonts w:eastAsia="Times New Roman" w:cs="Arial"/>
              </w:rPr>
              <w:t>18.568</w:t>
            </w:r>
          </w:p>
        </w:tc>
        <w:tc>
          <w:tcPr>
            <w:tcW w:w="1847" w:type="dxa"/>
            <w:tcBorders>
              <w:top w:val="nil"/>
              <w:left w:val="nil"/>
              <w:bottom w:val="single" w:sz="4" w:space="0" w:color="auto"/>
              <w:right w:val="single" w:sz="4" w:space="0" w:color="auto"/>
            </w:tcBorders>
            <w:shd w:val="clear" w:color="auto" w:fill="auto"/>
            <w:noWrap/>
            <w:vAlign w:val="center"/>
            <w:hideMark/>
          </w:tcPr>
          <w:p w14:paraId="7858B140" w14:textId="77777777" w:rsidR="00426757" w:rsidRPr="00EF4E1C" w:rsidRDefault="004A7A82">
            <w:pPr>
              <w:jc w:val="right"/>
              <w:rPr>
                <w:rFonts w:eastAsia="Times New Roman" w:cs="Arial"/>
                <w:color w:val="000000"/>
              </w:rPr>
            </w:pPr>
            <w:r w:rsidRPr="00EF4E1C">
              <w:rPr>
                <w:rFonts w:eastAsia="Times New Roman" w:cs="Arial"/>
                <w:color w:val="000000"/>
              </w:rPr>
              <w:t xml:space="preserve">0.500 </w:t>
            </w:r>
          </w:p>
        </w:tc>
        <w:tc>
          <w:tcPr>
            <w:tcW w:w="1848" w:type="dxa"/>
            <w:tcBorders>
              <w:top w:val="nil"/>
              <w:left w:val="nil"/>
              <w:bottom w:val="single" w:sz="4" w:space="0" w:color="auto"/>
              <w:right w:val="single" w:sz="4" w:space="0" w:color="auto"/>
            </w:tcBorders>
            <w:shd w:val="clear" w:color="auto" w:fill="auto"/>
            <w:noWrap/>
            <w:vAlign w:val="center"/>
            <w:hideMark/>
          </w:tcPr>
          <w:p w14:paraId="7D94EAAB" w14:textId="77777777" w:rsidR="00426757" w:rsidRPr="00EF4E1C" w:rsidRDefault="004A7A82">
            <w:pPr>
              <w:jc w:val="right"/>
              <w:rPr>
                <w:rFonts w:eastAsia="Times New Roman" w:cs="Arial"/>
                <w:color w:val="000000"/>
              </w:rPr>
            </w:pPr>
            <w:r w:rsidRPr="00EF4E1C">
              <w:rPr>
                <w:rFonts w:eastAsia="Times New Roman" w:cs="Arial"/>
                <w:color w:val="000000"/>
              </w:rPr>
              <w:t>0.500</w:t>
            </w:r>
          </w:p>
        </w:tc>
        <w:tc>
          <w:tcPr>
            <w:tcW w:w="265" w:type="dxa"/>
            <w:vAlign w:val="center"/>
            <w:hideMark/>
          </w:tcPr>
          <w:p w14:paraId="54FB9D3A" w14:textId="77777777" w:rsidR="00426757" w:rsidRPr="00EF4E1C" w:rsidRDefault="00426757">
            <w:pPr>
              <w:jc w:val="both"/>
              <w:rPr>
                <w:rFonts w:eastAsia="Times New Roman" w:cs="Arial"/>
              </w:rPr>
            </w:pPr>
          </w:p>
        </w:tc>
      </w:tr>
      <w:tr w:rsidR="00C92CD8" w14:paraId="7916EC98" w14:textId="77777777">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67A0659" w14:textId="77777777" w:rsidR="00426757" w:rsidRPr="00EF4E1C" w:rsidRDefault="004A7A82">
            <w:pPr>
              <w:jc w:val="both"/>
              <w:rPr>
                <w:rFonts w:eastAsia="Times New Roman" w:cs="Arial"/>
                <w:b/>
                <w:bCs/>
                <w:color w:val="000000"/>
              </w:rPr>
            </w:pPr>
            <w:r w:rsidRPr="00EF4E1C">
              <w:rPr>
                <w:rFonts w:eastAsia="Times New Roman" w:cs="Arial"/>
                <w:b/>
                <w:bCs/>
                <w:color w:val="000000"/>
              </w:rPr>
              <w:t>Totals</w:t>
            </w:r>
          </w:p>
        </w:tc>
        <w:tc>
          <w:tcPr>
            <w:tcW w:w="1847" w:type="dxa"/>
            <w:tcBorders>
              <w:top w:val="nil"/>
              <w:left w:val="nil"/>
              <w:bottom w:val="single" w:sz="4" w:space="0" w:color="auto"/>
              <w:right w:val="single" w:sz="4" w:space="0" w:color="auto"/>
            </w:tcBorders>
            <w:shd w:val="clear" w:color="auto" w:fill="auto"/>
            <w:noWrap/>
            <w:vAlign w:val="center"/>
            <w:hideMark/>
          </w:tcPr>
          <w:p w14:paraId="52525B53" w14:textId="77777777" w:rsidR="00426757" w:rsidRPr="00EF4E1C" w:rsidRDefault="004A7A82">
            <w:pPr>
              <w:jc w:val="right"/>
              <w:rPr>
                <w:rFonts w:eastAsia="Times New Roman" w:cs="Arial"/>
                <w:b/>
                <w:bCs/>
                <w:color w:val="000000"/>
              </w:rPr>
            </w:pPr>
            <w:r w:rsidRPr="00EF4E1C">
              <w:rPr>
                <w:rFonts w:eastAsia="Times New Roman" w:cs="Arial"/>
                <w:b/>
                <w:bCs/>
                <w:color w:val="000000"/>
              </w:rPr>
              <w:t xml:space="preserve">198.524 </w:t>
            </w:r>
          </w:p>
        </w:tc>
        <w:tc>
          <w:tcPr>
            <w:tcW w:w="1847" w:type="dxa"/>
            <w:tcBorders>
              <w:top w:val="nil"/>
              <w:left w:val="nil"/>
              <w:bottom w:val="single" w:sz="4" w:space="0" w:color="auto"/>
              <w:right w:val="single" w:sz="4" w:space="0" w:color="auto"/>
            </w:tcBorders>
            <w:shd w:val="clear" w:color="auto" w:fill="auto"/>
            <w:noWrap/>
            <w:vAlign w:val="center"/>
            <w:hideMark/>
          </w:tcPr>
          <w:p w14:paraId="3C865492" w14:textId="77777777" w:rsidR="00426757" w:rsidRPr="00EF4E1C" w:rsidRDefault="004A7A82">
            <w:pPr>
              <w:jc w:val="right"/>
              <w:rPr>
                <w:rFonts w:eastAsia="Times New Roman" w:cs="Arial"/>
                <w:b/>
                <w:bCs/>
                <w:color w:val="000000"/>
              </w:rPr>
            </w:pPr>
            <w:r w:rsidRPr="00EF4E1C">
              <w:rPr>
                <w:rFonts w:eastAsia="Times New Roman" w:cs="Arial"/>
                <w:b/>
                <w:bCs/>
                <w:color w:val="000000"/>
              </w:rPr>
              <w:t xml:space="preserve">206.848 </w:t>
            </w:r>
          </w:p>
        </w:tc>
        <w:tc>
          <w:tcPr>
            <w:tcW w:w="1848" w:type="dxa"/>
            <w:tcBorders>
              <w:top w:val="nil"/>
              <w:left w:val="nil"/>
              <w:bottom w:val="single" w:sz="4" w:space="0" w:color="auto"/>
              <w:right w:val="single" w:sz="4" w:space="0" w:color="auto"/>
            </w:tcBorders>
            <w:shd w:val="clear" w:color="auto" w:fill="auto"/>
            <w:noWrap/>
            <w:vAlign w:val="center"/>
            <w:hideMark/>
          </w:tcPr>
          <w:p w14:paraId="08674194" w14:textId="77777777" w:rsidR="00426757" w:rsidRPr="00EF4E1C" w:rsidRDefault="004A7A82">
            <w:pPr>
              <w:jc w:val="right"/>
              <w:rPr>
                <w:rFonts w:eastAsia="Times New Roman" w:cs="Arial"/>
                <w:b/>
                <w:bCs/>
                <w:color w:val="000000"/>
              </w:rPr>
            </w:pPr>
            <w:r w:rsidRPr="00EF4E1C">
              <w:rPr>
                <w:rFonts w:eastAsia="Times New Roman" w:cs="Arial"/>
                <w:b/>
                <w:bCs/>
                <w:color w:val="000000"/>
              </w:rPr>
              <w:t xml:space="preserve">125.500 </w:t>
            </w:r>
          </w:p>
        </w:tc>
        <w:tc>
          <w:tcPr>
            <w:tcW w:w="265" w:type="dxa"/>
            <w:vAlign w:val="center"/>
            <w:hideMark/>
          </w:tcPr>
          <w:p w14:paraId="7C4B8AC0" w14:textId="77777777" w:rsidR="00426757" w:rsidRPr="00EF4E1C" w:rsidRDefault="00426757">
            <w:pPr>
              <w:jc w:val="both"/>
              <w:rPr>
                <w:rFonts w:eastAsia="Times New Roman" w:cs="Arial"/>
              </w:rPr>
            </w:pPr>
          </w:p>
        </w:tc>
      </w:tr>
    </w:tbl>
    <w:p w14:paraId="6CF5EA17" w14:textId="3057844C" w:rsidR="00CF5762" w:rsidRPr="008F3B53" w:rsidRDefault="00CF5762" w:rsidP="008F3B53">
      <w:pPr>
        <w:autoSpaceDE w:val="0"/>
        <w:autoSpaceDN w:val="0"/>
        <w:adjustRightInd w:val="0"/>
        <w:ind w:left="720" w:hanging="720"/>
        <w:jc w:val="both"/>
        <w:rPr>
          <w:rFonts w:eastAsia="Calibri" w:cs="Helvetica-Light"/>
          <w:color w:val="000000"/>
        </w:rPr>
      </w:pPr>
    </w:p>
    <w:p w14:paraId="326C8CE3" w14:textId="77777777" w:rsidR="00724CCB" w:rsidRDefault="00724CCB" w:rsidP="00320643">
      <w:pPr>
        <w:autoSpaceDE w:val="0"/>
        <w:autoSpaceDN w:val="0"/>
        <w:adjustRightInd w:val="0"/>
        <w:jc w:val="both"/>
        <w:rPr>
          <w:rFonts w:eastAsia="Calibri" w:cs="Helvetica-Light"/>
          <w:b/>
          <w:bCs/>
          <w:color w:val="000000"/>
          <w:highlight w:val="yellow"/>
        </w:rPr>
      </w:pPr>
    </w:p>
    <w:p w14:paraId="553CDAB7" w14:textId="77777777" w:rsidR="003C7DF2" w:rsidRDefault="003C7DF2" w:rsidP="00320643">
      <w:pPr>
        <w:autoSpaceDE w:val="0"/>
        <w:autoSpaceDN w:val="0"/>
        <w:adjustRightInd w:val="0"/>
        <w:jc w:val="both"/>
        <w:rPr>
          <w:rFonts w:eastAsia="Calibri" w:cs="Helvetica-Light"/>
          <w:b/>
          <w:bCs/>
          <w:color w:val="000000"/>
          <w:highlight w:val="yellow"/>
        </w:rPr>
      </w:pPr>
    </w:p>
    <w:p w14:paraId="32A49B22" w14:textId="466029EC" w:rsidR="00724CCB" w:rsidRPr="00E02FB2" w:rsidRDefault="004A7A82" w:rsidP="00724CCB">
      <w:pPr>
        <w:autoSpaceDE w:val="0"/>
        <w:autoSpaceDN w:val="0"/>
        <w:adjustRightInd w:val="0"/>
        <w:jc w:val="both"/>
        <w:rPr>
          <w:rFonts w:eastAsia="Calibri" w:cs="Helvetica-Light"/>
          <w:b/>
          <w:bCs/>
          <w:color w:val="000000"/>
        </w:rPr>
      </w:pPr>
      <w:r w:rsidRPr="00E02FB2">
        <w:rPr>
          <w:rFonts w:eastAsia="Calibri" w:cs="Helvetica-Light"/>
          <w:b/>
          <w:bCs/>
          <w:color w:val="000000"/>
        </w:rPr>
        <w:lastRenderedPageBreak/>
        <w:t>16.</w:t>
      </w:r>
      <w:r w:rsidRPr="00E02FB2">
        <w:rPr>
          <w:rFonts w:eastAsia="Calibri" w:cs="Helvetica-Light"/>
          <w:b/>
          <w:bCs/>
          <w:color w:val="000000"/>
        </w:rPr>
        <w:tab/>
        <w:t xml:space="preserve">Capital Strategy </w:t>
      </w:r>
    </w:p>
    <w:p w14:paraId="6FE0240A" w14:textId="77777777" w:rsidR="00724CCB" w:rsidRPr="00E02FB2" w:rsidRDefault="00724CCB" w:rsidP="00724CCB">
      <w:pPr>
        <w:autoSpaceDE w:val="0"/>
        <w:autoSpaceDN w:val="0"/>
        <w:adjustRightInd w:val="0"/>
        <w:jc w:val="both"/>
        <w:rPr>
          <w:rFonts w:eastAsia="Calibri" w:cs="Helvetica-Light"/>
          <w:color w:val="000000"/>
        </w:rPr>
      </w:pPr>
    </w:p>
    <w:p w14:paraId="04D398C9" w14:textId="26FF2104" w:rsidR="00724CCB" w:rsidRPr="003E105F" w:rsidRDefault="004A7A82" w:rsidP="00724CCB">
      <w:pPr>
        <w:pStyle w:val="Heading2"/>
        <w:ind w:left="720" w:hanging="720"/>
        <w:jc w:val="both"/>
        <w:rPr>
          <w:rFonts w:asciiTheme="minorHAnsi" w:hAnsiTheme="minorHAnsi" w:cstheme="minorBidi"/>
          <w:b w:val="0"/>
          <w:bCs w:val="0"/>
          <w:sz w:val="24"/>
          <w:szCs w:val="24"/>
        </w:rPr>
      </w:pPr>
      <w:r w:rsidRPr="1296B87A">
        <w:rPr>
          <w:rFonts w:asciiTheme="minorHAnsi" w:hAnsiTheme="minorHAnsi" w:cstheme="minorBidi"/>
          <w:b w:val="0"/>
          <w:bCs w:val="0"/>
          <w:sz w:val="24"/>
          <w:szCs w:val="24"/>
        </w:rPr>
        <w:t>16.</w:t>
      </w:r>
      <w:r>
        <w:rPr>
          <w:rFonts w:asciiTheme="minorHAnsi" w:hAnsiTheme="minorHAnsi" w:cstheme="minorBidi"/>
          <w:b w:val="0"/>
          <w:bCs w:val="0"/>
          <w:sz w:val="24"/>
          <w:szCs w:val="24"/>
        </w:rPr>
        <w:t>1</w:t>
      </w:r>
      <w:r>
        <w:tab/>
      </w:r>
      <w:r w:rsidRPr="1296B87A">
        <w:rPr>
          <w:rFonts w:asciiTheme="minorHAnsi" w:hAnsiTheme="minorHAnsi" w:cstheme="minorBidi"/>
          <w:b w:val="0"/>
          <w:bCs w:val="0"/>
          <w:sz w:val="24"/>
          <w:szCs w:val="24"/>
        </w:rPr>
        <w:t xml:space="preserve">The purpose of a capital strategy is to set the </w:t>
      </w:r>
      <w:r w:rsidR="00604943" w:rsidRPr="1296B87A">
        <w:rPr>
          <w:rFonts w:asciiTheme="minorHAnsi" w:hAnsiTheme="minorHAnsi" w:cstheme="minorBidi"/>
          <w:b w:val="0"/>
          <w:bCs w:val="0"/>
          <w:sz w:val="24"/>
          <w:szCs w:val="24"/>
        </w:rPr>
        <w:t>long-term</w:t>
      </w:r>
      <w:r w:rsidRPr="1296B87A">
        <w:rPr>
          <w:rFonts w:asciiTheme="minorHAnsi" w:hAnsiTheme="minorHAnsi" w:cstheme="minorBidi"/>
          <w:b w:val="0"/>
          <w:bCs w:val="0"/>
          <w:sz w:val="24"/>
          <w:szCs w:val="24"/>
        </w:rPr>
        <w:t xml:space="preserve"> strategic framework within which the authority will use as the framework and context for capital and investment decisions. It is a requirement of the Chartered Institute of Public Finance and Accountancy (CIPFA)'s Treasury Management Code of Practice and the Prudential Code that authorities have in place a long term capital strategy, the definition of long term is generally accepted to be 15-20 years and as such the strategy cannot set a detailed programme of works to be delivered, or a level of investment to be guaranteed each year, but aims to set a context within which future programmes are developed.</w:t>
      </w:r>
    </w:p>
    <w:p w14:paraId="449901F4" w14:textId="77777777" w:rsidR="00724CCB" w:rsidRDefault="00724CCB" w:rsidP="00724CCB">
      <w:pPr>
        <w:autoSpaceDE w:val="0"/>
        <w:autoSpaceDN w:val="0"/>
        <w:adjustRightInd w:val="0"/>
        <w:jc w:val="both"/>
        <w:rPr>
          <w:rFonts w:eastAsia="Calibri" w:cs="Helvetica-Light"/>
          <w:color w:val="000000"/>
        </w:rPr>
      </w:pPr>
    </w:p>
    <w:p w14:paraId="1C4331C6" w14:textId="4713E7EE" w:rsidR="00333E2C" w:rsidRDefault="004A7A82" w:rsidP="00724CCB">
      <w:pPr>
        <w:ind w:left="720" w:hanging="720"/>
        <w:jc w:val="both"/>
      </w:pPr>
      <w:r w:rsidRPr="1296B87A">
        <w:rPr>
          <w:rFonts w:eastAsia="Calibri" w:cs="Helvetica-Light"/>
          <w:color w:val="000000" w:themeColor="text1"/>
        </w:rPr>
        <w:t>16.2</w:t>
      </w:r>
      <w:r>
        <w:tab/>
      </w:r>
      <w:r w:rsidRPr="1296B87A">
        <w:rPr>
          <w:rFonts w:eastAsia="Calibri" w:cs="Helvetica-Light"/>
          <w:color w:val="000000" w:themeColor="text1"/>
        </w:rPr>
        <w:t>It is a requirement for Members to approve this strategy (included as Annex F) as part of the overall budget report. The primary change since last year relates to the afford</w:t>
      </w:r>
      <w:r>
        <w:t xml:space="preserve">ability of the capital programme developed within the </w:t>
      </w:r>
      <w:proofErr w:type="gramStart"/>
      <w:r>
        <w:t>longer term</w:t>
      </w:r>
      <w:proofErr w:type="gramEnd"/>
      <w:r>
        <w:t xml:space="preserve"> strategy with a proposed limit on the scale of additional prudential borrowing each year.  This will be set by reference to the C</w:t>
      </w:r>
      <w:r w:rsidR="003C7DF2">
        <w:t>IPFA</w:t>
      </w:r>
      <w:r>
        <w:t xml:space="preserve"> national indices on financial resilience which include the proportion of a </w:t>
      </w:r>
      <w:r w:rsidR="00E407A6">
        <w:t>C</w:t>
      </w:r>
      <w:r>
        <w:t xml:space="preserve">ouncil's net revenue budget that is being used to fund capital financing costs.  The intention is to maintain or reduce this proportion from current levels accepting that this be directly impacted by interest rate changes and the scale of future increases in the net revenue budget.  </w:t>
      </w:r>
    </w:p>
    <w:p w14:paraId="1DFF69AA" w14:textId="77777777" w:rsidR="00333E2C" w:rsidRDefault="00333E2C" w:rsidP="00724CCB">
      <w:pPr>
        <w:ind w:left="720" w:hanging="720"/>
        <w:jc w:val="both"/>
      </w:pPr>
    </w:p>
    <w:p w14:paraId="3CECCA8D" w14:textId="075EE3BB" w:rsidR="00724CCB" w:rsidRPr="0093170C" w:rsidRDefault="004A7A82" w:rsidP="00247D7E">
      <w:pPr>
        <w:ind w:left="709" w:hanging="720"/>
        <w:jc w:val="both"/>
      </w:pPr>
      <w:r>
        <w:t xml:space="preserve">16.3 </w:t>
      </w:r>
      <w:r>
        <w:tab/>
        <w:t xml:space="preserve">The </w:t>
      </w:r>
      <w:r w:rsidR="003C7DF2">
        <w:t>medium-term</w:t>
      </w:r>
      <w:r>
        <w:t xml:space="preserve"> financial strategy assumes an annual headroom figure of £50m for additional prudential borrowing which will be reviewed annually. By utilising this borrowing headroom figure and developing this resilience plan going forward it is anticipated that future investment decisions are both sustainable and affordable.  </w:t>
      </w:r>
    </w:p>
    <w:p w14:paraId="6323660D" w14:textId="77777777" w:rsidR="00724CCB" w:rsidRPr="0093170C" w:rsidRDefault="00724CCB" w:rsidP="00724CCB">
      <w:pPr>
        <w:jc w:val="both"/>
      </w:pPr>
    </w:p>
    <w:p w14:paraId="0BAB995F" w14:textId="5CA1796C" w:rsidR="008B3A07" w:rsidRPr="00BD33D7" w:rsidRDefault="004A7A82" w:rsidP="00BD33D7">
      <w:pPr>
        <w:ind w:left="720" w:hanging="720"/>
        <w:jc w:val="both"/>
      </w:pPr>
      <w:r>
        <w:t>16.</w:t>
      </w:r>
      <w:r w:rsidR="00247D7E">
        <w:t>4</w:t>
      </w:r>
      <w:r>
        <w:tab/>
        <w:t xml:space="preserve">Items where the borrowing is of a cash flow or an invest to save nature will be excluded from the borrowing headroom with the borrowing being repaid from the return on the investment.  For clarity these items are still required to be shown in the minimum revenue position within the budget but can be excluded from the headroom calculation in determining levels of investment each year.  </w:t>
      </w:r>
    </w:p>
    <w:p w14:paraId="731D3B7A" w14:textId="77777777" w:rsidR="008B3A07" w:rsidRDefault="008B3A07" w:rsidP="00320643">
      <w:pPr>
        <w:autoSpaceDE w:val="0"/>
        <w:autoSpaceDN w:val="0"/>
        <w:adjustRightInd w:val="0"/>
        <w:jc w:val="both"/>
        <w:rPr>
          <w:rFonts w:eastAsia="Calibri" w:cs="Helvetica-Light"/>
          <w:b/>
          <w:bCs/>
          <w:color w:val="000000"/>
          <w:highlight w:val="yellow"/>
        </w:rPr>
      </w:pPr>
    </w:p>
    <w:p w14:paraId="5C266FE1" w14:textId="7956BD32" w:rsidR="008B3A07" w:rsidRDefault="004A7A82" w:rsidP="008B3A07">
      <w:pPr>
        <w:autoSpaceDE w:val="0"/>
        <w:autoSpaceDN w:val="0"/>
        <w:adjustRightInd w:val="0"/>
        <w:jc w:val="both"/>
        <w:rPr>
          <w:rFonts w:eastAsia="Calibri" w:cs="Helvetica-Light"/>
          <w:b/>
          <w:color w:val="000000"/>
        </w:rPr>
      </w:pPr>
      <w:r>
        <w:rPr>
          <w:rFonts w:eastAsia="Calibri" w:cs="Helvetica-Light"/>
          <w:b/>
          <w:color w:val="000000"/>
        </w:rPr>
        <w:t>1</w:t>
      </w:r>
      <w:r w:rsidR="00724CCB">
        <w:rPr>
          <w:rFonts w:eastAsia="Calibri" w:cs="Helvetica-Light"/>
          <w:b/>
          <w:color w:val="000000"/>
        </w:rPr>
        <w:t>7</w:t>
      </w:r>
      <w:r>
        <w:rPr>
          <w:rFonts w:eastAsia="Calibri" w:cs="Helvetica-Light"/>
          <w:b/>
          <w:color w:val="000000"/>
        </w:rPr>
        <w:t>.</w:t>
      </w:r>
      <w:r>
        <w:rPr>
          <w:rFonts w:eastAsia="Calibri" w:cs="Helvetica-Light"/>
          <w:b/>
          <w:color w:val="000000"/>
        </w:rPr>
        <w:tab/>
        <w:t>Associated Statements and Policies</w:t>
      </w:r>
    </w:p>
    <w:p w14:paraId="36138D0B" w14:textId="77777777" w:rsidR="008B3A07" w:rsidRPr="008B3A07" w:rsidRDefault="008B3A07" w:rsidP="008B3A07">
      <w:pPr>
        <w:autoSpaceDE w:val="0"/>
        <w:autoSpaceDN w:val="0"/>
        <w:adjustRightInd w:val="0"/>
        <w:jc w:val="both"/>
        <w:rPr>
          <w:rFonts w:eastAsia="Calibri" w:cs="Helvetica-Light"/>
          <w:b/>
          <w:color w:val="000000"/>
        </w:rPr>
      </w:pPr>
    </w:p>
    <w:p w14:paraId="499EF25D" w14:textId="40FE27EE" w:rsidR="008B3A07" w:rsidRDefault="004A7A82" w:rsidP="008B3A07">
      <w:pPr>
        <w:autoSpaceDE w:val="0"/>
        <w:autoSpaceDN w:val="0"/>
        <w:adjustRightInd w:val="0"/>
        <w:ind w:left="720" w:hanging="720"/>
        <w:jc w:val="both"/>
        <w:rPr>
          <w:rFonts w:eastAsia="Calibri" w:cs="Helvetica-Light"/>
          <w:color w:val="000000"/>
        </w:rPr>
      </w:pPr>
      <w:r>
        <w:rPr>
          <w:rFonts w:eastAsia="Calibri" w:cs="Helvetica-Light"/>
          <w:color w:val="000000"/>
        </w:rPr>
        <w:t>17.0</w:t>
      </w:r>
      <w:r>
        <w:rPr>
          <w:rFonts w:eastAsia="Calibri" w:cs="Helvetica-Light"/>
          <w:color w:val="000000"/>
        </w:rPr>
        <w:tab/>
      </w:r>
      <w:r w:rsidRPr="008F3B53">
        <w:rPr>
          <w:rFonts w:eastAsia="Calibri" w:cs="Helvetica-Light"/>
          <w:color w:val="000000"/>
        </w:rPr>
        <w:t xml:space="preserve">The </w:t>
      </w:r>
      <w:r>
        <w:rPr>
          <w:rFonts w:eastAsia="Calibri" w:cs="Helvetica-Light"/>
          <w:color w:val="000000"/>
        </w:rPr>
        <w:t>2024/25</w:t>
      </w:r>
      <w:r>
        <w:rPr>
          <w:rFonts w:eastAsia="Calibri" w:cs="Helvetica-Light"/>
          <w:color w:val="000000"/>
        </w:rPr>
        <w:tab/>
      </w:r>
      <w:r w:rsidRPr="008F3B53">
        <w:rPr>
          <w:rFonts w:eastAsia="Calibri" w:cs="Helvetica-Light"/>
          <w:color w:val="000000"/>
        </w:rPr>
        <w:t xml:space="preserve">Budget is developed building on </w:t>
      </w:r>
      <w:proofErr w:type="gramStart"/>
      <w:r w:rsidRPr="008F3B53">
        <w:rPr>
          <w:rFonts w:eastAsia="Calibri" w:cs="Helvetica-Light"/>
          <w:color w:val="000000"/>
        </w:rPr>
        <w:t>a number of</w:t>
      </w:r>
      <w:proofErr w:type="gramEnd"/>
      <w:r w:rsidRPr="008F3B53">
        <w:rPr>
          <w:rFonts w:eastAsia="Calibri" w:cs="Helvetica-Light"/>
          <w:color w:val="000000"/>
        </w:rPr>
        <w:t xml:space="preserve"> associated strategies that require </w:t>
      </w:r>
      <w:r w:rsidR="00E95667">
        <w:rPr>
          <w:rFonts w:eastAsia="Calibri" w:cs="Helvetica-Light"/>
          <w:color w:val="000000"/>
        </w:rPr>
        <w:t xml:space="preserve">Full </w:t>
      </w:r>
      <w:r w:rsidRPr="008F3B53">
        <w:rPr>
          <w:rFonts w:eastAsia="Calibri" w:cs="Helvetica-Light"/>
          <w:color w:val="000000"/>
        </w:rPr>
        <w:t>Council approval.</w:t>
      </w:r>
    </w:p>
    <w:p w14:paraId="3AC543EF" w14:textId="701B5ECA" w:rsidR="006C2C9C" w:rsidRPr="00E02FB2" w:rsidRDefault="006C2C9C" w:rsidP="00320643">
      <w:pPr>
        <w:autoSpaceDE w:val="0"/>
        <w:autoSpaceDN w:val="0"/>
        <w:adjustRightInd w:val="0"/>
        <w:jc w:val="both"/>
        <w:rPr>
          <w:rFonts w:eastAsia="Calibri" w:cs="Helvetica-Light"/>
          <w:color w:val="000000"/>
        </w:rPr>
      </w:pPr>
    </w:p>
    <w:p w14:paraId="35FA533D" w14:textId="3789DF3A" w:rsidR="007323BA" w:rsidRDefault="004A7A82" w:rsidP="00CF5762">
      <w:pPr>
        <w:autoSpaceDE w:val="0"/>
        <w:autoSpaceDN w:val="0"/>
        <w:adjustRightInd w:val="0"/>
        <w:jc w:val="both"/>
        <w:rPr>
          <w:rFonts w:eastAsia="Calibri" w:cs="Helvetica-Light"/>
          <w:b/>
          <w:bCs/>
          <w:color w:val="000000"/>
        </w:rPr>
      </w:pPr>
      <w:r w:rsidRPr="00E02FB2">
        <w:rPr>
          <w:rFonts w:eastAsia="Calibri" w:cs="Helvetica-Light"/>
          <w:color w:val="000000"/>
        </w:rPr>
        <w:tab/>
      </w:r>
      <w:r>
        <w:rPr>
          <w:rFonts w:eastAsia="Calibri" w:cs="Helvetica-Light"/>
          <w:b/>
          <w:bCs/>
          <w:color w:val="000000"/>
        </w:rPr>
        <w:t>Treasury Management</w:t>
      </w:r>
      <w:r w:rsidR="00B428DE">
        <w:rPr>
          <w:rFonts w:eastAsia="Calibri" w:cs="Helvetica-Light"/>
          <w:b/>
          <w:bCs/>
          <w:color w:val="000000"/>
        </w:rPr>
        <w:t xml:space="preserve"> (Annex G)</w:t>
      </w:r>
    </w:p>
    <w:p w14:paraId="5F580B72" w14:textId="6949DCDE" w:rsidR="007323BA" w:rsidRDefault="007323BA" w:rsidP="007323BA">
      <w:pPr>
        <w:autoSpaceDE w:val="0"/>
        <w:autoSpaceDN w:val="0"/>
        <w:adjustRightInd w:val="0"/>
        <w:jc w:val="both"/>
        <w:rPr>
          <w:rFonts w:eastAsia="Calibri" w:cs="Helvetica-Light"/>
          <w:b/>
          <w:bCs/>
          <w:color w:val="000000"/>
        </w:rPr>
      </w:pPr>
    </w:p>
    <w:p w14:paraId="7C8F8D28" w14:textId="3C8D3DA0" w:rsidR="007323BA" w:rsidRDefault="004A7A82" w:rsidP="00661094">
      <w:pPr>
        <w:ind w:left="720" w:hanging="720"/>
        <w:jc w:val="both"/>
        <w:rPr>
          <w:rFonts w:cs="Arial"/>
        </w:rPr>
      </w:pPr>
      <w:r w:rsidRPr="1296B87A">
        <w:rPr>
          <w:rFonts w:cs="Arial"/>
        </w:rPr>
        <w:t>1</w:t>
      </w:r>
      <w:r w:rsidR="00724CCB">
        <w:rPr>
          <w:rFonts w:cs="Arial"/>
        </w:rPr>
        <w:t>7</w:t>
      </w:r>
      <w:r w:rsidRPr="1296B87A">
        <w:rPr>
          <w:rFonts w:cs="Arial"/>
        </w:rPr>
        <w:t>.</w:t>
      </w:r>
      <w:r w:rsidR="00724CCB">
        <w:rPr>
          <w:rFonts w:cs="Arial"/>
        </w:rPr>
        <w:t>1</w:t>
      </w:r>
      <w:r w:rsidRPr="1296B87A">
        <w:rPr>
          <w:rFonts w:cs="Arial"/>
        </w:rPr>
        <w:t>1</w:t>
      </w:r>
      <w:r>
        <w:tab/>
      </w:r>
      <w:r w:rsidRPr="1296B87A">
        <w:rPr>
          <w:rFonts w:cs="Arial"/>
        </w:rPr>
        <w:t xml:space="preserve">Treasury management is the management of the </w:t>
      </w:r>
      <w:r w:rsidR="00E407A6">
        <w:rPr>
          <w:rFonts w:cs="Arial"/>
        </w:rPr>
        <w:t>C</w:t>
      </w:r>
      <w:r w:rsidRPr="1296B87A">
        <w:rPr>
          <w:rFonts w:cs="Arial"/>
        </w:rPr>
        <w:t>ouncil’s investments and cash flows, its banking, money market and capital market transactions. It also includes the</w:t>
      </w:r>
      <w:r w:rsidR="00661094">
        <w:rPr>
          <w:rFonts w:cs="Arial"/>
        </w:rPr>
        <w:t xml:space="preserve"> </w:t>
      </w:r>
      <w:r w:rsidRPr="1296B87A">
        <w:rPr>
          <w:rFonts w:cs="Arial"/>
        </w:rPr>
        <w:t xml:space="preserve">effective control and management of the risks associated with these activities, ensuring that the </w:t>
      </w:r>
      <w:r w:rsidR="00553CE5">
        <w:rPr>
          <w:rFonts w:cs="Arial"/>
        </w:rPr>
        <w:t>C</w:t>
      </w:r>
      <w:r w:rsidRPr="1296B87A">
        <w:rPr>
          <w:rFonts w:cs="Arial"/>
        </w:rPr>
        <w:t xml:space="preserve">ouncil gets the best performance within acceptable risk parameters. Although the impact of treasury management decisions is considered over the long term, there is a requirement through regulations for the strategies to be approved annually. </w:t>
      </w:r>
    </w:p>
    <w:p w14:paraId="2A271F75" w14:textId="3CC5194D" w:rsidR="007323BA" w:rsidRDefault="007323BA" w:rsidP="007323BA">
      <w:pPr>
        <w:jc w:val="both"/>
        <w:rPr>
          <w:rFonts w:cs="Arial"/>
        </w:rPr>
      </w:pPr>
    </w:p>
    <w:p w14:paraId="39EEA2F2" w14:textId="5EE9FA1A" w:rsidR="007323BA" w:rsidRDefault="004A7A82" w:rsidP="00CF5762">
      <w:pPr>
        <w:ind w:left="720" w:hanging="720"/>
        <w:jc w:val="both"/>
        <w:rPr>
          <w:rFonts w:cs="Arial"/>
        </w:rPr>
      </w:pPr>
      <w:r w:rsidRPr="1296B87A">
        <w:rPr>
          <w:rFonts w:cs="Arial"/>
        </w:rPr>
        <w:lastRenderedPageBreak/>
        <w:t>1</w:t>
      </w:r>
      <w:r w:rsidR="00724CCB">
        <w:rPr>
          <w:rFonts w:cs="Arial"/>
        </w:rPr>
        <w:t>7</w:t>
      </w:r>
      <w:r w:rsidRPr="1296B87A">
        <w:rPr>
          <w:rFonts w:cs="Arial"/>
        </w:rPr>
        <w:t>.</w:t>
      </w:r>
      <w:r w:rsidR="00724CCB">
        <w:rPr>
          <w:rFonts w:cs="Arial"/>
        </w:rPr>
        <w:t>1</w:t>
      </w:r>
      <w:r w:rsidRPr="1296B87A">
        <w:rPr>
          <w:rFonts w:cs="Arial"/>
        </w:rPr>
        <w:t>2</w:t>
      </w:r>
      <w:r>
        <w:tab/>
      </w:r>
      <w:r w:rsidRPr="1296B87A">
        <w:rPr>
          <w:rFonts w:cs="Arial"/>
        </w:rPr>
        <w:t xml:space="preserve">The </w:t>
      </w:r>
      <w:r w:rsidR="00553CE5">
        <w:rPr>
          <w:rFonts w:cs="Arial"/>
        </w:rPr>
        <w:t>C</w:t>
      </w:r>
      <w:r w:rsidRPr="1296B87A">
        <w:rPr>
          <w:rFonts w:cs="Arial"/>
        </w:rPr>
        <w:t xml:space="preserve">ouncil is required to produce and approve a Treasury Management Strategy before the beginning of each financial year. Treasury Management is overseen by the Audit, Risk and Governance Committee </w:t>
      </w:r>
      <w:r w:rsidR="003A78A0">
        <w:rPr>
          <w:rFonts w:cs="Arial"/>
        </w:rPr>
        <w:t>which</w:t>
      </w:r>
      <w:r w:rsidR="00AB0B09">
        <w:rPr>
          <w:rFonts w:cs="Arial"/>
        </w:rPr>
        <w:t xml:space="preserve"> met on</w:t>
      </w:r>
      <w:r w:rsidRPr="1296B87A">
        <w:rPr>
          <w:rFonts w:cs="Arial"/>
        </w:rPr>
        <w:t xml:space="preserve"> </w:t>
      </w:r>
      <w:r w:rsidR="00AB0B09">
        <w:rPr>
          <w:rFonts w:cs="Arial"/>
        </w:rPr>
        <w:t xml:space="preserve">29 </w:t>
      </w:r>
      <w:r w:rsidRPr="1296B87A">
        <w:rPr>
          <w:rFonts w:cs="Arial"/>
        </w:rPr>
        <w:t xml:space="preserve">January to consider the proposed 2024/25 Treasury Management Strategy, Investment Strategy and the associated Minimum Revenue Provision Policy Statement and </w:t>
      </w:r>
      <w:r w:rsidR="00410BB8">
        <w:rPr>
          <w:rFonts w:cs="Arial"/>
        </w:rPr>
        <w:t xml:space="preserve">recommended </w:t>
      </w:r>
      <w:r w:rsidR="00EF3AB6">
        <w:rPr>
          <w:rFonts w:cs="Arial"/>
        </w:rPr>
        <w:t xml:space="preserve">the proposals be submitted </w:t>
      </w:r>
      <w:r w:rsidR="003D6488">
        <w:rPr>
          <w:rFonts w:cs="Arial"/>
        </w:rPr>
        <w:t xml:space="preserve">to Full Council for approval. </w:t>
      </w:r>
    </w:p>
    <w:p w14:paraId="4E211A77" w14:textId="26DD73B1" w:rsidR="007323BA" w:rsidRPr="007938C6" w:rsidRDefault="007323BA" w:rsidP="007323BA">
      <w:pPr>
        <w:jc w:val="both"/>
        <w:rPr>
          <w:rFonts w:cs="Arial"/>
        </w:rPr>
      </w:pPr>
    </w:p>
    <w:p w14:paraId="67012FD4" w14:textId="16F5857E" w:rsidR="007323BA" w:rsidRPr="007938C6" w:rsidRDefault="004A7A82" w:rsidP="00B37321">
      <w:pPr>
        <w:ind w:firstLine="720"/>
        <w:jc w:val="both"/>
        <w:rPr>
          <w:rFonts w:cs="Arial"/>
          <w:b/>
          <w:bCs/>
        </w:rPr>
      </w:pPr>
      <w:r w:rsidRPr="1296B87A">
        <w:rPr>
          <w:rFonts w:cs="Arial"/>
          <w:b/>
          <w:bCs/>
        </w:rPr>
        <w:t>Treasury Management Strategy</w:t>
      </w:r>
      <w:r w:rsidR="00B428DE">
        <w:rPr>
          <w:rFonts w:cs="Arial"/>
          <w:b/>
          <w:bCs/>
        </w:rPr>
        <w:t xml:space="preserve"> (Annex G)</w:t>
      </w:r>
    </w:p>
    <w:p w14:paraId="3394C7BC" w14:textId="1DCA7A15" w:rsidR="007323BA" w:rsidRPr="007938C6" w:rsidRDefault="007323BA" w:rsidP="007323BA">
      <w:pPr>
        <w:jc w:val="both"/>
        <w:rPr>
          <w:rFonts w:cs="Arial"/>
        </w:rPr>
      </w:pPr>
    </w:p>
    <w:p w14:paraId="6DBF4A77" w14:textId="517E11D9" w:rsidR="007323BA" w:rsidRPr="007938C6" w:rsidRDefault="004A7A82" w:rsidP="00B37321">
      <w:pPr>
        <w:ind w:left="720" w:hanging="720"/>
        <w:jc w:val="both"/>
        <w:rPr>
          <w:rFonts w:cs="Arial"/>
        </w:rPr>
      </w:pPr>
      <w:r w:rsidRPr="1296B87A">
        <w:rPr>
          <w:rFonts w:cs="Arial"/>
        </w:rPr>
        <w:t>1</w:t>
      </w:r>
      <w:r w:rsidR="00724CCB">
        <w:rPr>
          <w:rFonts w:cs="Arial"/>
        </w:rPr>
        <w:t>7</w:t>
      </w:r>
      <w:r w:rsidRPr="1296B87A">
        <w:rPr>
          <w:rFonts w:cs="Arial"/>
        </w:rPr>
        <w:t>.</w:t>
      </w:r>
      <w:r w:rsidR="00724CCB">
        <w:rPr>
          <w:rFonts w:cs="Arial"/>
        </w:rPr>
        <w:t>1</w:t>
      </w:r>
      <w:r w:rsidRPr="1296B87A">
        <w:rPr>
          <w:rFonts w:cs="Arial"/>
        </w:rPr>
        <w:t>3</w:t>
      </w:r>
      <w:r>
        <w:tab/>
      </w:r>
      <w:r w:rsidRPr="1296B87A">
        <w:rPr>
          <w:rFonts w:cs="Arial"/>
        </w:rPr>
        <w:t xml:space="preserve">The Treasury Management Strategy sets out the </w:t>
      </w:r>
      <w:r w:rsidR="00553CE5">
        <w:rPr>
          <w:rFonts w:cs="Arial"/>
        </w:rPr>
        <w:t>C</w:t>
      </w:r>
      <w:r w:rsidRPr="1296B87A">
        <w:rPr>
          <w:rFonts w:cs="Arial"/>
        </w:rPr>
        <w:t xml:space="preserve">ouncil’s approach for both its borrowing and investment activity. The borrowing strategy is determined by the need for the </w:t>
      </w:r>
      <w:r w:rsidR="00553CE5">
        <w:rPr>
          <w:rFonts w:cs="Arial"/>
        </w:rPr>
        <w:t>C</w:t>
      </w:r>
      <w:r w:rsidRPr="1296B87A">
        <w:rPr>
          <w:rFonts w:cs="Arial"/>
        </w:rPr>
        <w:t xml:space="preserve">ouncil to borrow in accordance with the Prudential Code and the impact of the economic climate on the prevailing cost and availability of borrowing. The strategy identifies a likely need to borrow and notes that the </w:t>
      </w:r>
      <w:r w:rsidR="00553CE5">
        <w:rPr>
          <w:rFonts w:cs="Arial"/>
        </w:rPr>
        <w:t>C</w:t>
      </w:r>
      <w:r w:rsidRPr="1296B87A">
        <w:rPr>
          <w:rFonts w:cs="Arial"/>
        </w:rPr>
        <w:t>ouncil will continue to review the balance between long- and short-term debt. It should be noted that the figures in the strategy will be subject to minor changes as the capital programme is developed and approved.</w:t>
      </w:r>
    </w:p>
    <w:p w14:paraId="5E98A8E5" w14:textId="0BB3F387" w:rsidR="007323BA" w:rsidRPr="007938C6" w:rsidRDefault="007323BA" w:rsidP="007323BA">
      <w:pPr>
        <w:jc w:val="both"/>
        <w:rPr>
          <w:rFonts w:cs="Arial"/>
        </w:rPr>
      </w:pPr>
    </w:p>
    <w:p w14:paraId="2194482A" w14:textId="0A4200D8" w:rsidR="007323BA" w:rsidRPr="0080238D" w:rsidRDefault="004A7A82" w:rsidP="00B37321">
      <w:pPr>
        <w:ind w:firstLine="720"/>
        <w:jc w:val="both"/>
        <w:rPr>
          <w:rFonts w:cs="Arial"/>
          <w:b/>
          <w:bCs/>
        </w:rPr>
      </w:pPr>
      <w:r w:rsidRPr="1296B87A">
        <w:rPr>
          <w:rFonts w:cs="Arial"/>
          <w:b/>
          <w:bCs/>
        </w:rPr>
        <w:t>Investment Strategy</w:t>
      </w:r>
      <w:r w:rsidR="00880833">
        <w:rPr>
          <w:rFonts w:cs="Arial"/>
          <w:b/>
          <w:bCs/>
        </w:rPr>
        <w:t xml:space="preserve"> </w:t>
      </w:r>
      <w:r w:rsidR="00B05818">
        <w:rPr>
          <w:rFonts w:cs="Arial"/>
          <w:b/>
          <w:bCs/>
        </w:rPr>
        <w:t>(Annex H)</w:t>
      </w:r>
    </w:p>
    <w:p w14:paraId="50A1271C" w14:textId="18046649" w:rsidR="007323BA" w:rsidRPr="007938C6" w:rsidRDefault="007323BA" w:rsidP="007323BA">
      <w:pPr>
        <w:jc w:val="both"/>
        <w:rPr>
          <w:rFonts w:cs="Arial"/>
        </w:rPr>
      </w:pPr>
    </w:p>
    <w:p w14:paraId="51662B52" w14:textId="6A1CB6BC" w:rsidR="007323BA" w:rsidRPr="007938C6" w:rsidRDefault="004A7A82" w:rsidP="00B37321">
      <w:pPr>
        <w:ind w:left="720" w:hanging="720"/>
        <w:jc w:val="both"/>
        <w:rPr>
          <w:rFonts w:cs="Arial"/>
        </w:rPr>
      </w:pPr>
      <w:r w:rsidRPr="1296B87A">
        <w:rPr>
          <w:rFonts w:cs="Arial"/>
        </w:rPr>
        <w:t>1</w:t>
      </w:r>
      <w:r w:rsidR="00724CCB">
        <w:rPr>
          <w:rFonts w:cs="Arial"/>
        </w:rPr>
        <w:t>7</w:t>
      </w:r>
      <w:r w:rsidRPr="1296B87A">
        <w:rPr>
          <w:rFonts w:cs="Arial"/>
        </w:rPr>
        <w:t>.</w:t>
      </w:r>
      <w:r w:rsidR="00724CCB">
        <w:rPr>
          <w:rFonts w:cs="Arial"/>
        </w:rPr>
        <w:t>1</w:t>
      </w:r>
      <w:r w:rsidRPr="1296B87A">
        <w:rPr>
          <w:rFonts w:cs="Arial"/>
        </w:rPr>
        <w:t>4</w:t>
      </w:r>
      <w:r>
        <w:tab/>
      </w:r>
      <w:r w:rsidRPr="1296B87A">
        <w:rPr>
          <w:rFonts w:cs="Arial"/>
        </w:rPr>
        <w:t>The then Ministry of Housing, Communities and Local Government's statutory guidance on local government investments includes provisions relating to investments that support local public services by lending to or buying shares in other organisations (service investments), and those made to earn investment income (known as commercial investments where this is the main purpose). These investments held for service purposes or for commercial profit are considered in the Investment Strategy. The Investment Strategy, whilst having regard to yield, has the key drivers continuing to be security and liquidity.</w:t>
      </w:r>
    </w:p>
    <w:p w14:paraId="5798D3EF" w14:textId="37BF147D" w:rsidR="007323BA" w:rsidRPr="007938C6" w:rsidRDefault="007323BA" w:rsidP="007323BA">
      <w:pPr>
        <w:jc w:val="both"/>
        <w:rPr>
          <w:rFonts w:cs="Arial"/>
        </w:rPr>
      </w:pPr>
    </w:p>
    <w:p w14:paraId="1D076E4A" w14:textId="5F5C4F7C" w:rsidR="007323BA" w:rsidRPr="0037399E" w:rsidRDefault="004A7A82" w:rsidP="00B37321">
      <w:pPr>
        <w:ind w:firstLine="720"/>
        <w:jc w:val="both"/>
        <w:rPr>
          <w:rFonts w:cs="Arial"/>
          <w:b/>
          <w:bCs/>
        </w:rPr>
      </w:pPr>
      <w:r w:rsidRPr="1296B87A">
        <w:rPr>
          <w:rFonts w:cs="Arial"/>
          <w:b/>
          <w:bCs/>
        </w:rPr>
        <w:t>Minimum Revenue Provision Policy Statement</w:t>
      </w:r>
      <w:r w:rsidR="00E57CD2">
        <w:rPr>
          <w:rFonts w:cs="Arial"/>
          <w:b/>
          <w:bCs/>
        </w:rPr>
        <w:t xml:space="preserve"> (Annex I)</w:t>
      </w:r>
    </w:p>
    <w:p w14:paraId="411EC707" w14:textId="5A099A58" w:rsidR="007323BA" w:rsidRPr="007938C6" w:rsidRDefault="004A7A82" w:rsidP="007323BA">
      <w:pPr>
        <w:jc w:val="both"/>
        <w:rPr>
          <w:rFonts w:cs="Arial"/>
        </w:rPr>
      </w:pPr>
      <w:r>
        <w:rPr>
          <w:rFonts w:cs="Arial"/>
        </w:rPr>
        <w:t xml:space="preserve"> </w:t>
      </w:r>
    </w:p>
    <w:p w14:paraId="54C62F95" w14:textId="5D8F5B55" w:rsidR="007323BA" w:rsidRPr="007938C6" w:rsidRDefault="004A7A82" w:rsidP="00B37321">
      <w:pPr>
        <w:ind w:left="720" w:hanging="720"/>
        <w:jc w:val="both"/>
        <w:rPr>
          <w:rFonts w:cs="Arial"/>
        </w:rPr>
      </w:pPr>
      <w:r w:rsidRPr="1296B87A">
        <w:rPr>
          <w:rFonts w:cs="Arial"/>
        </w:rPr>
        <w:t>1</w:t>
      </w:r>
      <w:r w:rsidR="00724CCB">
        <w:rPr>
          <w:rFonts w:cs="Arial"/>
        </w:rPr>
        <w:t>7</w:t>
      </w:r>
      <w:r w:rsidRPr="1296B87A">
        <w:rPr>
          <w:rFonts w:cs="Arial"/>
        </w:rPr>
        <w:t>.</w:t>
      </w:r>
      <w:r w:rsidR="00724CCB">
        <w:rPr>
          <w:rFonts w:cs="Arial"/>
        </w:rPr>
        <w:t>1</w:t>
      </w:r>
      <w:r w:rsidRPr="1296B87A">
        <w:rPr>
          <w:rFonts w:cs="Arial"/>
        </w:rPr>
        <w:t>5</w:t>
      </w:r>
      <w:r>
        <w:tab/>
      </w:r>
      <w:r w:rsidRPr="1296B87A">
        <w:rPr>
          <w:rFonts w:cs="Arial"/>
        </w:rPr>
        <w:t>The Department for Levelling Up, Housing and Communities is currently consulting on proposed changes to Minimum Revenue Provision regulations which will limit the scope for authorities to: (a) make no Minimum Revenue Provision on parts of the capital financing requirement; and (b) to use capital receipts in lieu of a revenue charge for Minimum Revenue Provision. It is not anticipated that the outcome of the consultations will require for the Minimum Revenue Provision Policy Statement to be changed.</w:t>
      </w:r>
    </w:p>
    <w:p w14:paraId="521C5160" w14:textId="2A539C2E" w:rsidR="007323BA" w:rsidRPr="007938C6" w:rsidRDefault="007323BA" w:rsidP="007323BA">
      <w:pPr>
        <w:jc w:val="both"/>
        <w:rPr>
          <w:rFonts w:cs="Arial"/>
        </w:rPr>
      </w:pPr>
    </w:p>
    <w:p w14:paraId="236ABF72" w14:textId="48C9CE9B" w:rsidR="007323BA" w:rsidRPr="0080238D" w:rsidRDefault="004A7A82" w:rsidP="00B37321">
      <w:pPr>
        <w:ind w:firstLine="720"/>
        <w:jc w:val="both"/>
        <w:rPr>
          <w:rFonts w:cs="Arial"/>
          <w:b/>
          <w:bCs/>
        </w:rPr>
      </w:pPr>
      <w:r w:rsidRPr="1296B87A">
        <w:rPr>
          <w:rFonts w:cs="Arial"/>
          <w:b/>
          <w:bCs/>
        </w:rPr>
        <w:t>Changes from Prior Year</w:t>
      </w:r>
    </w:p>
    <w:p w14:paraId="513F3DA6" w14:textId="5C19A7AA" w:rsidR="007323BA" w:rsidRPr="007938C6" w:rsidRDefault="007323BA" w:rsidP="007323BA">
      <w:pPr>
        <w:jc w:val="both"/>
        <w:rPr>
          <w:rFonts w:cs="Arial"/>
        </w:rPr>
      </w:pPr>
    </w:p>
    <w:p w14:paraId="022CDCDB" w14:textId="73273679" w:rsidR="007323BA" w:rsidRDefault="004A7A82" w:rsidP="00B37321">
      <w:pPr>
        <w:ind w:left="720" w:hanging="720"/>
        <w:jc w:val="both"/>
        <w:rPr>
          <w:rFonts w:cs="Arial"/>
        </w:rPr>
      </w:pPr>
      <w:r w:rsidRPr="1296B87A">
        <w:rPr>
          <w:rFonts w:cs="Arial"/>
        </w:rPr>
        <w:t>1</w:t>
      </w:r>
      <w:r w:rsidR="00724CCB">
        <w:rPr>
          <w:rFonts w:cs="Arial"/>
        </w:rPr>
        <w:t>7</w:t>
      </w:r>
      <w:r w:rsidRPr="1296B87A">
        <w:rPr>
          <w:rFonts w:cs="Arial"/>
        </w:rPr>
        <w:t>.</w:t>
      </w:r>
      <w:r w:rsidR="00724CCB">
        <w:rPr>
          <w:rFonts w:cs="Arial"/>
        </w:rPr>
        <w:t>1</w:t>
      </w:r>
      <w:r w:rsidRPr="1296B87A">
        <w:rPr>
          <w:rFonts w:cs="Arial"/>
        </w:rPr>
        <w:t>6</w:t>
      </w:r>
      <w:r>
        <w:tab/>
      </w:r>
      <w:r w:rsidRPr="1296B87A">
        <w:rPr>
          <w:rFonts w:cs="Arial"/>
        </w:rPr>
        <w:t>Aside from minor wording changes, updated context and commentary, the policies set out in the appendices are broadly in line with those approved for 2023/24, with the most significant change being within the Treasury Management Strategy where there is a proposal to amend credit ratings to reflect possible downgrading of the UK government and the subsequent effect on other credit ratings.</w:t>
      </w:r>
    </w:p>
    <w:p w14:paraId="0E215EFB" w14:textId="5DA44F89" w:rsidR="007323BA" w:rsidRDefault="007323BA" w:rsidP="007323BA">
      <w:pPr>
        <w:jc w:val="both"/>
        <w:rPr>
          <w:rFonts w:cs="Arial"/>
        </w:rPr>
      </w:pPr>
    </w:p>
    <w:p w14:paraId="255FA7C8" w14:textId="3BF5DDCF" w:rsidR="007256F7" w:rsidRDefault="004A7A82" w:rsidP="00724CCB">
      <w:pPr>
        <w:ind w:left="720" w:hanging="720"/>
        <w:jc w:val="both"/>
      </w:pPr>
      <w:r w:rsidRPr="1296B87A">
        <w:rPr>
          <w:rFonts w:cs="Arial"/>
        </w:rPr>
        <w:lastRenderedPageBreak/>
        <w:t>1</w:t>
      </w:r>
      <w:r w:rsidR="00724CCB">
        <w:rPr>
          <w:rFonts w:cs="Arial"/>
        </w:rPr>
        <w:t>7</w:t>
      </w:r>
      <w:r w:rsidRPr="1296B87A">
        <w:rPr>
          <w:rFonts w:cs="Arial"/>
        </w:rPr>
        <w:t>.</w:t>
      </w:r>
      <w:r w:rsidR="00724CCB">
        <w:rPr>
          <w:rFonts w:cs="Arial"/>
        </w:rPr>
        <w:t>1</w:t>
      </w:r>
      <w:r w:rsidRPr="1296B87A">
        <w:rPr>
          <w:rFonts w:cs="Arial"/>
        </w:rPr>
        <w:t>7</w:t>
      </w:r>
      <w:r>
        <w:tab/>
      </w:r>
      <w:r w:rsidR="007323BA" w:rsidRPr="1296B87A">
        <w:rPr>
          <w:rFonts w:cs="Arial"/>
        </w:rPr>
        <w:t>A new accounting standard on leases (IFRS 16) is to be implemented in 2024/25. This means that all leases are to be reflected as a liability on the balance sheet, rather than recorded as a finance lease. If the proposed Minimum Revenue Provision Policy Statement is approved whereby the Minimum Revenue Provision equals the principal repayment, then there will be no overall impact on the revenue account. However, the proposed authorised and operational prudential limits for 'other long-term liabilities' will be increased to reflect the additional liabilities to be recognised.</w:t>
      </w:r>
      <w:r w:rsidR="000F1AE4">
        <w:t xml:space="preserve"> </w:t>
      </w:r>
    </w:p>
    <w:p w14:paraId="2A593A49" w14:textId="77777777" w:rsidR="00B428DE" w:rsidRDefault="00B428DE" w:rsidP="00724CCB">
      <w:pPr>
        <w:ind w:left="720" w:hanging="720"/>
        <w:jc w:val="both"/>
      </w:pPr>
    </w:p>
    <w:p w14:paraId="2B80007B" w14:textId="1A57DF60" w:rsidR="00B428DE" w:rsidRDefault="004A7A82" w:rsidP="00B428DE">
      <w:pPr>
        <w:ind w:firstLine="720"/>
        <w:jc w:val="both"/>
        <w:rPr>
          <w:rFonts w:cs="Arial"/>
          <w:b/>
          <w:bCs/>
        </w:rPr>
      </w:pPr>
      <w:r>
        <w:rPr>
          <w:rFonts w:cs="Arial"/>
          <w:b/>
          <w:bCs/>
        </w:rPr>
        <w:t>Annual Pay Policy Statement 2024/25 (The Localism Act 2011) (Annex J)</w:t>
      </w:r>
    </w:p>
    <w:p w14:paraId="20555D20" w14:textId="77777777" w:rsidR="00B428DE" w:rsidRPr="0037399E" w:rsidRDefault="00B428DE" w:rsidP="00B428DE">
      <w:pPr>
        <w:jc w:val="both"/>
        <w:rPr>
          <w:rFonts w:cs="Arial"/>
          <w:b/>
          <w:bCs/>
        </w:rPr>
      </w:pPr>
    </w:p>
    <w:p w14:paraId="7339EF44" w14:textId="77777777" w:rsidR="009363EC" w:rsidRDefault="004A7A82" w:rsidP="009363EC">
      <w:pPr>
        <w:ind w:left="720" w:hanging="720"/>
        <w:jc w:val="both"/>
      </w:pPr>
      <w:r>
        <w:rPr>
          <w:rFonts w:cs="Arial"/>
        </w:rPr>
        <w:t>17.18</w:t>
      </w:r>
      <w:r>
        <w:rPr>
          <w:rFonts w:cs="Arial"/>
        </w:rPr>
        <w:tab/>
      </w:r>
      <w:r>
        <w:t xml:space="preserve">The Localism Act 2011 requires local authorities to prepare a Pay Policy Statement each year. The Pay Policy Statement must articulate the council's approach to the remuneration of chief officers on appointment, subsequent progression and any use of bonus or performance related pay. In preparing Pay Policy Statements, local authorities must have regard to any guidance issued or approved by the Secretary of State. In preparing this statement, regard has also been given to guidance issued by the former Department for Communities and Local Government. </w:t>
      </w:r>
    </w:p>
    <w:p w14:paraId="72DF6AB3" w14:textId="77777777" w:rsidR="009363EC" w:rsidRDefault="009363EC" w:rsidP="009363EC">
      <w:pPr>
        <w:ind w:left="720" w:hanging="720"/>
        <w:jc w:val="both"/>
      </w:pPr>
    </w:p>
    <w:p w14:paraId="2F3E0A50" w14:textId="0AD5E2C4" w:rsidR="009E6618" w:rsidRDefault="004A7A82" w:rsidP="009363EC">
      <w:pPr>
        <w:ind w:left="720" w:hanging="720"/>
        <w:jc w:val="both"/>
      </w:pPr>
      <w:r>
        <w:t>17.19</w:t>
      </w:r>
      <w:r>
        <w:tab/>
      </w:r>
      <w:r w:rsidR="00DD26AC">
        <w:t xml:space="preserve">The purpose of the statement is to provide transparency </w:t>
      </w:r>
      <w:proofErr w:type="gramStart"/>
      <w:r w:rsidR="00DD26AC">
        <w:t>with regard to</w:t>
      </w:r>
      <w:proofErr w:type="gramEnd"/>
      <w:r w:rsidR="00DD26AC">
        <w:t xml:space="preserve"> the council's approach to setting pay for its employees (except staff in schools), in particular its chief officers. The Pay Policy Statement must be approved by a resolution of Full Council before it comes into force on 1 April each year and must then comply with the statement for the financial year to which it relates (although amendments may be made to the statement after the beginning of the financial year to which it relates). Once approved, the statement (or an amended statement) must be published in such manner as the local authority sees fit, which must include publication on the local authority's website.</w:t>
      </w:r>
    </w:p>
    <w:p w14:paraId="2F6AC9C1" w14:textId="77777777" w:rsidR="00E95FAA" w:rsidRDefault="00E95FAA" w:rsidP="009363EC">
      <w:pPr>
        <w:ind w:left="720" w:hanging="720"/>
        <w:jc w:val="both"/>
      </w:pPr>
    </w:p>
    <w:p w14:paraId="3490E78C" w14:textId="10EBD8DB" w:rsidR="00E95FAA" w:rsidRPr="00227D7B" w:rsidRDefault="004A7A82" w:rsidP="009363EC">
      <w:pPr>
        <w:ind w:left="720" w:hanging="720"/>
        <w:jc w:val="both"/>
        <w:rPr>
          <w:b/>
          <w:bCs/>
        </w:rPr>
      </w:pPr>
      <w:r>
        <w:tab/>
      </w:r>
      <w:r w:rsidR="00227D7B" w:rsidRPr="00227D7B">
        <w:rPr>
          <w:b/>
          <w:bCs/>
        </w:rPr>
        <w:t>Updated Pay Policy Statement</w:t>
      </w:r>
    </w:p>
    <w:p w14:paraId="14754263" w14:textId="77777777" w:rsidR="00AC547B" w:rsidRDefault="00AC547B" w:rsidP="009363EC">
      <w:pPr>
        <w:ind w:left="720" w:hanging="720"/>
        <w:jc w:val="both"/>
      </w:pPr>
    </w:p>
    <w:p w14:paraId="270A2BD1" w14:textId="64458484" w:rsidR="00871967" w:rsidRDefault="004A7A82" w:rsidP="009363EC">
      <w:pPr>
        <w:ind w:left="720" w:hanging="720"/>
        <w:jc w:val="both"/>
      </w:pPr>
      <w:r>
        <w:t>17.20</w:t>
      </w:r>
      <w:r>
        <w:tab/>
        <w:t xml:space="preserve">A proposed Pay Policy Statement for the financial year 2024/25 is provided at Appendix 'A' to this report. Rates effective from 1 April 2024 have been provided where these are known. Allowances and expenses, payable enhancements and pension contribution rates will need updating, as will the pay information in the Pay Policy Statement and pay scale at Annex 1, when the Local Government Services pay award for 2024/25 has been agreed. The Pay Policy Statement and annexes </w:t>
      </w:r>
      <w:r w:rsidR="009023A9">
        <w:t>will be</w:t>
      </w:r>
      <w:r>
        <w:t xml:space="preserve"> updated when this information is available to provide an accurate position for the financial year. </w:t>
      </w:r>
    </w:p>
    <w:p w14:paraId="417E8A7C" w14:textId="77777777" w:rsidR="00871967" w:rsidRDefault="00871967" w:rsidP="009363EC">
      <w:pPr>
        <w:ind w:left="720" w:hanging="720"/>
        <w:jc w:val="both"/>
      </w:pPr>
    </w:p>
    <w:p w14:paraId="3213FEB9" w14:textId="6AB05771" w:rsidR="00363D17" w:rsidRDefault="004A7A82" w:rsidP="009363EC">
      <w:pPr>
        <w:ind w:left="720" w:hanging="720"/>
        <w:jc w:val="both"/>
      </w:pPr>
      <w:r>
        <w:t>17.21</w:t>
      </w:r>
      <w:r>
        <w:tab/>
      </w:r>
      <w:r w:rsidR="00E95FAA">
        <w:t xml:space="preserve">The Pay Policy Statement also takes account of the recommendations within the Hutton Review of Fair Pay in the Public Sector (March 2011) that "government should not cap pay across public </w:t>
      </w:r>
      <w:proofErr w:type="gramStart"/>
      <w:r w:rsidR="00E95FAA">
        <w:t>services, but</w:t>
      </w:r>
      <w:proofErr w:type="gramEnd"/>
      <w:r w:rsidR="00E95FAA">
        <w:t xml:space="preserve"> should require that from 2011/12 all public service organisations publish their top to median pay multiples each year to allow the public to hold them to account." The statement therefore sets out the council's aim that the pay multiple between the median full-time equivalent (FTE) salary and that of the Chief Executive will not exceed 1:16. </w:t>
      </w:r>
    </w:p>
    <w:p w14:paraId="1260EF5B" w14:textId="77777777" w:rsidR="00363D17" w:rsidRDefault="00363D17" w:rsidP="009363EC">
      <w:pPr>
        <w:ind w:left="720" w:hanging="720"/>
        <w:jc w:val="both"/>
      </w:pPr>
    </w:p>
    <w:p w14:paraId="40F515C1" w14:textId="77777777" w:rsidR="00871967" w:rsidRPr="00A777A9" w:rsidRDefault="004A7A82" w:rsidP="009363EC">
      <w:pPr>
        <w:ind w:left="720" w:hanging="720"/>
        <w:jc w:val="both"/>
      </w:pPr>
      <w:r>
        <w:lastRenderedPageBreak/>
        <w:t>17.21</w:t>
      </w:r>
      <w:r>
        <w:tab/>
      </w:r>
      <w:r w:rsidR="00E95FAA">
        <w:t xml:space="preserve">The pay multiple between the 2023 median FTE salary and that of the Chief Executive is 1:9.26, which represents a decrease from the figure (1:10.37) </w:t>
      </w:r>
      <w:r w:rsidR="00E95FAA" w:rsidRPr="00A777A9">
        <w:t xml:space="preserve">reported in the last Pay Policy Statement. This multiple is based on current salaries, pay award pending, and has reduced due to higher Local Government Services pay awards over two consecutive years. </w:t>
      </w:r>
    </w:p>
    <w:p w14:paraId="4A285DB0" w14:textId="77777777" w:rsidR="00871967" w:rsidRPr="00A777A9" w:rsidRDefault="00871967" w:rsidP="009363EC">
      <w:pPr>
        <w:ind w:left="720" w:hanging="720"/>
        <w:jc w:val="both"/>
      </w:pPr>
    </w:p>
    <w:p w14:paraId="5F599594" w14:textId="061931CE" w:rsidR="00B428DE" w:rsidRPr="00724CCB" w:rsidRDefault="004A7A82" w:rsidP="00724CCB">
      <w:pPr>
        <w:ind w:left="720" w:hanging="720"/>
        <w:jc w:val="both"/>
        <w:rPr>
          <w:rFonts w:cs="Arial"/>
        </w:rPr>
      </w:pPr>
      <w:r w:rsidRPr="00A777A9">
        <w:t>17.22</w:t>
      </w:r>
      <w:r w:rsidRPr="00A777A9">
        <w:tab/>
      </w:r>
      <w:r w:rsidR="00E95FAA" w:rsidRPr="00A777A9">
        <w:t xml:space="preserve">The guidance also provides that Full Council should be offered the opportunity to consider salary packages </w:t>
      </w:r>
      <w:proofErr w:type="gramStart"/>
      <w:r w:rsidR="00E95FAA" w:rsidRPr="00A777A9">
        <w:t>in excess of</w:t>
      </w:r>
      <w:proofErr w:type="gramEnd"/>
      <w:r w:rsidR="00E95FAA" w:rsidRPr="00A777A9">
        <w:t xml:space="preserve"> £100,000 before any new appointment is made. In this regard the Pay Policy Statement sets out the grading structure for all posts at Director 1 and above. All appointments are currently made in line with this grading structure and any proposal to make a new appointment, otherwise than in accordance with it, would first be referred to Full Council to consider.</w:t>
      </w:r>
    </w:p>
    <w:p w14:paraId="59FF5192" w14:textId="35C45905" w:rsidR="00B37321" w:rsidRDefault="00B37321" w:rsidP="007256F7">
      <w:pPr>
        <w:autoSpaceDE w:val="0"/>
        <w:autoSpaceDN w:val="0"/>
        <w:adjustRightInd w:val="0"/>
        <w:jc w:val="both"/>
        <w:rPr>
          <w:rFonts w:eastAsia="Calibri" w:cs="Helvetica-Light"/>
          <w:color w:val="000000"/>
        </w:rPr>
      </w:pPr>
    </w:p>
    <w:p w14:paraId="46AACB64" w14:textId="596B6103" w:rsidR="001C6127" w:rsidRPr="00B37321" w:rsidRDefault="004A7A82" w:rsidP="00320643">
      <w:pPr>
        <w:autoSpaceDE w:val="0"/>
        <w:autoSpaceDN w:val="0"/>
        <w:adjustRightInd w:val="0"/>
        <w:jc w:val="both"/>
        <w:rPr>
          <w:rFonts w:cs="Arial"/>
        </w:rPr>
      </w:pPr>
      <w:r>
        <w:rPr>
          <w:rFonts w:eastAsia="Calibri" w:cs="Helvetica-Light"/>
          <w:b/>
          <w:bCs/>
          <w:color w:val="000000"/>
        </w:rPr>
        <w:t>18.</w:t>
      </w:r>
      <w:r w:rsidR="007256F7" w:rsidRPr="00E02FB2">
        <w:rPr>
          <w:rFonts w:eastAsia="Calibri" w:cs="Helvetica-Light"/>
          <w:b/>
          <w:bCs/>
          <w:color w:val="000000"/>
        </w:rPr>
        <w:tab/>
      </w:r>
      <w:r w:rsidR="00272672">
        <w:rPr>
          <w:rFonts w:cs="Arial"/>
        </w:rPr>
        <w:t xml:space="preserve"> </w:t>
      </w:r>
      <w:r w:rsidR="004036EF" w:rsidRPr="00E02FB2">
        <w:rPr>
          <w:rFonts w:eastAsia="Calibri" w:cs="Helvetica-Light"/>
          <w:b/>
          <w:bCs/>
          <w:color w:val="000000"/>
        </w:rPr>
        <w:t>Chief Finance Officer – Assurance Statement</w:t>
      </w:r>
    </w:p>
    <w:p w14:paraId="1694B25B" w14:textId="77777777" w:rsidR="004036EF" w:rsidRPr="00E02FB2" w:rsidRDefault="004036EF" w:rsidP="00320643">
      <w:pPr>
        <w:autoSpaceDE w:val="0"/>
        <w:autoSpaceDN w:val="0"/>
        <w:adjustRightInd w:val="0"/>
        <w:jc w:val="both"/>
        <w:rPr>
          <w:rFonts w:eastAsia="Calibri" w:cs="Helvetica-Light"/>
          <w:color w:val="000000"/>
        </w:rPr>
      </w:pPr>
    </w:p>
    <w:p w14:paraId="2D04F4EB" w14:textId="727A6A09" w:rsidR="004036EF" w:rsidRPr="00E02FB2" w:rsidRDefault="004A7A82" w:rsidP="00724CCB">
      <w:pPr>
        <w:autoSpaceDE w:val="0"/>
        <w:autoSpaceDN w:val="0"/>
        <w:adjustRightInd w:val="0"/>
        <w:ind w:left="720" w:hanging="720"/>
        <w:jc w:val="both"/>
        <w:rPr>
          <w:rFonts w:eastAsia="Calibri" w:cs="Helvetica-Light"/>
          <w:color w:val="000000"/>
        </w:rPr>
      </w:pPr>
      <w:r>
        <w:rPr>
          <w:rFonts w:eastAsia="Calibri" w:cs="Helvetica-Light"/>
          <w:color w:val="000000"/>
        </w:rPr>
        <w:t>18.1</w:t>
      </w:r>
      <w:r>
        <w:rPr>
          <w:rFonts w:eastAsia="Calibri" w:cs="Helvetica-Light"/>
          <w:color w:val="000000"/>
        </w:rPr>
        <w:tab/>
        <w:t>U</w:t>
      </w:r>
      <w:r w:rsidRPr="00E02FB2">
        <w:rPr>
          <w:rFonts w:eastAsia="Calibri" w:cs="Helvetica-Light"/>
          <w:color w:val="000000"/>
        </w:rPr>
        <w:t xml:space="preserve">nder S25 of the Local Government </w:t>
      </w:r>
      <w:r w:rsidR="00137ADE" w:rsidRPr="00E02FB2">
        <w:rPr>
          <w:rFonts w:eastAsia="Calibri" w:cs="Helvetica-Light"/>
          <w:color w:val="000000"/>
        </w:rPr>
        <w:t>Act 2003 the S151 officer is required to produce a report for Members that comments on the robustness of the estimates</w:t>
      </w:r>
      <w:r w:rsidR="002371CF" w:rsidRPr="00E02FB2">
        <w:rPr>
          <w:rFonts w:eastAsia="Calibri" w:cs="Helvetica-Light"/>
          <w:color w:val="000000"/>
        </w:rPr>
        <w:t xml:space="preserve"> and the adequacy of the reserves that the </w:t>
      </w:r>
      <w:r w:rsidR="00553CE5">
        <w:rPr>
          <w:rFonts w:eastAsia="Calibri" w:cs="Helvetica-Light"/>
          <w:color w:val="000000"/>
        </w:rPr>
        <w:t>C</w:t>
      </w:r>
      <w:r w:rsidR="002371CF" w:rsidRPr="00E02FB2">
        <w:rPr>
          <w:rFonts w:eastAsia="Calibri" w:cs="Helvetica-Light"/>
          <w:color w:val="000000"/>
        </w:rPr>
        <w:t>ouncil holds.</w:t>
      </w:r>
    </w:p>
    <w:p w14:paraId="02BA558E" w14:textId="77777777" w:rsidR="002371CF" w:rsidRPr="00E02FB2" w:rsidRDefault="002371CF" w:rsidP="00320643">
      <w:pPr>
        <w:autoSpaceDE w:val="0"/>
        <w:autoSpaceDN w:val="0"/>
        <w:adjustRightInd w:val="0"/>
        <w:jc w:val="both"/>
        <w:rPr>
          <w:rFonts w:eastAsia="Calibri" w:cs="Helvetica-Light"/>
          <w:color w:val="000000"/>
        </w:rPr>
      </w:pPr>
    </w:p>
    <w:p w14:paraId="2194A50A" w14:textId="0151FA73" w:rsidR="002371CF" w:rsidRDefault="004A7A82" w:rsidP="00724CCB">
      <w:pPr>
        <w:autoSpaceDE w:val="0"/>
        <w:autoSpaceDN w:val="0"/>
        <w:adjustRightInd w:val="0"/>
        <w:jc w:val="both"/>
        <w:rPr>
          <w:rFonts w:eastAsia="Calibri" w:cs="Helvetica-Light"/>
          <w:color w:val="000000"/>
          <w:highlight w:val="yellow"/>
        </w:rPr>
      </w:pPr>
      <w:r>
        <w:rPr>
          <w:rFonts w:eastAsia="Calibri" w:cs="Helvetica-Light"/>
          <w:color w:val="000000"/>
        </w:rPr>
        <w:t>18.2</w:t>
      </w:r>
      <w:r>
        <w:rPr>
          <w:rFonts w:eastAsia="Calibri" w:cs="Helvetica-Light"/>
          <w:color w:val="000000"/>
        </w:rPr>
        <w:tab/>
      </w:r>
      <w:r w:rsidRPr="00E02FB2">
        <w:rPr>
          <w:rFonts w:eastAsia="Calibri" w:cs="Helvetica-Light"/>
          <w:color w:val="000000"/>
        </w:rPr>
        <w:t xml:space="preserve">The assurance </w:t>
      </w:r>
      <w:r w:rsidRPr="008B7964">
        <w:rPr>
          <w:rFonts w:eastAsia="Calibri" w:cs="Helvetica-Light"/>
          <w:color w:val="000000"/>
        </w:rPr>
        <w:t>statement is attached in full as A</w:t>
      </w:r>
      <w:r w:rsidR="00E02FB2" w:rsidRPr="008B7964">
        <w:rPr>
          <w:rFonts w:eastAsia="Calibri" w:cs="Helvetica-Light"/>
          <w:color w:val="000000"/>
        </w:rPr>
        <w:t>nnex</w:t>
      </w:r>
      <w:r w:rsidRPr="008B7964">
        <w:rPr>
          <w:rFonts w:eastAsia="Calibri" w:cs="Helvetica-Light"/>
          <w:color w:val="000000"/>
        </w:rPr>
        <w:t xml:space="preserve"> </w:t>
      </w:r>
      <w:r w:rsidR="008B7964">
        <w:rPr>
          <w:rFonts w:eastAsia="Calibri" w:cs="Helvetica-Light"/>
          <w:color w:val="000000"/>
        </w:rPr>
        <w:t>D</w:t>
      </w:r>
      <w:r w:rsidRPr="008B7964">
        <w:rPr>
          <w:rFonts w:eastAsia="Calibri" w:cs="Helvetica-Light"/>
          <w:color w:val="000000"/>
        </w:rPr>
        <w:t>.</w:t>
      </w:r>
    </w:p>
    <w:p w14:paraId="0B3565B5" w14:textId="77777777" w:rsidR="002371CF" w:rsidRDefault="002371CF" w:rsidP="00320643">
      <w:pPr>
        <w:autoSpaceDE w:val="0"/>
        <w:autoSpaceDN w:val="0"/>
        <w:adjustRightInd w:val="0"/>
        <w:jc w:val="both"/>
        <w:rPr>
          <w:rFonts w:eastAsia="Calibri" w:cs="Helvetica-Light"/>
          <w:color w:val="000000"/>
          <w:highlight w:val="yellow"/>
        </w:rPr>
      </w:pPr>
    </w:p>
    <w:p w14:paraId="764572A1" w14:textId="7DC110DE" w:rsidR="002371CF" w:rsidRPr="00E02FB2" w:rsidRDefault="004A7A82" w:rsidP="00724CCB">
      <w:pPr>
        <w:autoSpaceDE w:val="0"/>
        <w:autoSpaceDN w:val="0"/>
        <w:adjustRightInd w:val="0"/>
        <w:ind w:left="720" w:hanging="720"/>
        <w:jc w:val="both"/>
        <w:rPr>
          <w:rFonts w:eastAsia="Calibri" w:cs="Helvetica-Light"/>
          <w:color w:val="000000"/>
        </w:rPr>
      </w:pPr>
      <w:r>
        <w:rPr>
          <w:rFonts w:eastAsia="Calibri" w:cs="Helvetica-Light"/>
          <w:color w:val="000000"/>
        </w:rPr>
        <w:t>18.3</w:t>
      </w:r>
      <w:r>
        <w:rPr>
          <w:rFonts w:eastAsia="Calibri" w:cs="Helvetica-Light"/>
          <w:color w:val="000000"/>
        </w:rPr>
        <w:tab/>
      </w:r>
      <w:r w:rsidRPr="00E02FB2">
        <w:rPr>
          <w:rFonts w:eastAsia="Calibri" w:cs="Helvetica-Light"/>
          <w:color w:val="000000"/>
        </w:rPr>
        <w:t xml:space="preserve">In summary the Chief Finance </w:t>
      </w:r>
      <w:r>
        <w:rPr>
          <w:rFonts w:eastAsia="Calibri" w:cs="Helvetica-Light"/>
          <w:color w:val="000000"/>
        </w:rPr>
        <w:t>O</w:t>
      </w:r>
      <w:r w:rsidRPr="00E02FB2">
        <w:rPr>
          <w:rFonts w:eastAsia="Calibri" w:cs="Helvetica-Light"/>
          <w:color w:val="000000"/>
        </w:rPr>
        <w:t xml:space="preserve">fficer can give members assurance that the </w:t>
      </w:r>
      <w:r w:rsidR="00884F34" w:rsidRPr="00E02FB2">
        <w:rPr>
          <w:rFonts w:eastAsia="Calibri" w:cs="Helvetica-Light"/>
          <w:color w:val="000000"/>
        </w:rPr>
        <w:t>estimates contained within the budget are sufficiently robust and that an adequate level of reserves exist to meet known challenges and commitments.</w:t>
      </w:r>
    </w:p>
    <w:p w14:paraId="2F119004" w14:textId="77777777" w:rsidR="00884F34" w:rsidRPr="00E02FB2" w:rsidRDefault="00884F34" w:rsidP="00320643">
      <w:pPr>
        <w:autoSpaceDE w:val="0"/>
        <w:autoSpaceDN w:val="0"/>
        <w:adjustRightInd w:val="0"/>
        <w:jc w:val="both"/>
        <w:rPr>
          <w:rFonts w:eastAsia="Calibri" w:cs="Helvetica-Light"/>
          <w:color w:val="000000"/>
        </w:rPr>
      </w:pPr>
    </w:p>
    <w:p w14:paraId="46DCABCF" w14:textId="38DED4CA" w:rsidR="00884F34" w:rsidRPr="00E02FB2" w:rsidRDefault="004A7A82" w:rsidP="00724CCB">
      <w:pPr>
        <w:autoSpaceDE w:val="0"/>
        <w:autoSpaceDN w:val="0"/>
        <w:adjustRightInd w:val="0"/>
        <w:ind w:left="720" w:hanging="720"/>
        <w:jc w:val="both"/>
        <w:rPr>
          <w:rFonts w:eastAsia="Calibri" w:cs="Helvetica-Light"/>
          <w:color w:val="000000"/>
        </w:rPr>
      </w:pPr>
      <w:r>
        <w:rPr>
          <w:rFonts w:eastAsia="Calibri" w:cs="Helvetica-Light"/>
          <w:color w:val="000000" w:themeColor="text1"/>
        </w:rPr>
        <w:t>18.4</w:t>
      </w:r>
      <w:r>
        <w:rPr>
          <w:rFonts w:eastAsia="Calibri" w:cs="Helvetica-Light"/>
          <w:color w:val="000000" w:themeColor="text1"/>
        </w:rPr>
        <w:tab/>
      </w:r>
      <w:r w:rsidRPr="2165DDB2">
        <w:rPr>
          <w:rFonts w:eastAsia="Calibri" w:cs="Helvetica-Light"/>
          <w:color w:val="000000" w:themeColor="text1"/>
        </w:rPr>
        <w:t xml:space="preserve">As with most upper tier </w:t>
      </w:r>
      <w:r w:rsidR="008A03E8" w:rsidRPr="2165DDB2">
        <w:rPr>
          <w:rFonts w:eastAsia="Calibri" w:cs="Helvetica-Light"/>
          <w:color w:val="000000" w:themeColor="text1"/>
        </w:rPr>
        <w:t>councils in the country t</w:t>
      </w:r>
      <w:r w:rsidRPr="2165DDB2">
        <w:rPr>
          <w:rFonts w:eastAsia="Calibri" w:cs="Helvetica-Light"/>
          <w:color w:val="000000" w:themeColor="text1"/>
        </w:rPr>
        <w:t>here is considerable uncertainty over future finances especially given the growing demand for its services in some key areas.</w:t>
      </w:r>
      <w:r w:rsidR="008A03E8" w:rsidRPr="2165DDB2">
        <w:rPr>
          <w:rFonts w:eastAsia="Calibri" w:cs="Helvetica-Light"/>
          <w:color w:val="000000" w:themeColor="text1"/>
        </w:rPr>
        <w:t xml:space="preserve"> Whilst the </w:t>
      </w:r>
      <w:r w:rsidR="00553CE5">
        <w:rPr>
          <w:rFonts w:eastAsia="Calibri" w:cs="Helvetica-Light"/>
          <w:color w:val="000000" w:themeColor="text1"/>
        </w:rPr>
        <w:t>C</w:t>
      </w:r>
      <w:r w:rsidR="008A03E8" w:rsidRPr="2165DDB2">
        <w:rPr>
          <w:rFonts w:eastAsia="Calibri" w:cs="Helvetica-Light"/>
          <w:color w:val="000000" w:themeColor="text1"/>
        </w:rPr>
        <w:t>ouncil remains financially well managed this is an area that will require focussed attention over the next few years.</w:t>
      </w:r>
      <w:r w:rsidR="289FCF97" w:rsidRPr="2165DDB2">
        <w:rPr>
          <w:rFonts w:eastAsia="Calibri" w:cs="Helvetica-Light"/>
          <w:color w:val="000000" w:themeColor="text1"/>
        </w:rPr>
        <w:t xml:space="preserve"> </w:t>
      </w:r>
      <w:r w:rsidR="5B54ACCD" w:rsidRPr="2165DDB2">
        <w:rPr>
          <w:rFonts w:eastAsia="Calibri" w:cs="Helvetica-Light"/>
          <w:color w:val="000000" w:themeColor="text1"/>
        </w:rPr>
        <w:t xml:space="preserve">The </w:t>
      </w:r>
      <w:r w:rsidR="00553CE5">
        <w:rPr>
          <w:rFonts w:eastAsia="Calibri" w:cs="Helvetica-Light"/>
          <w:color w:val="000000" w:themeColor="text1"/>
        </w:rPr>
        <w:t>C</w:t>
      </w:r>
      <w:r w:rsidR="5B54ACCD" w:rsidRPr="2165DDB2">
        <w:rPr>
          <w:rFonts w:eastAsia="Calibri" w:cs="Helvetica-Light"/>
          <w:color w:val="000000" w:themeColor="text1"/>
        </w:rPr>
        <w:t xml:space="preserve">ouncil will also be undertaking some ‘stress testing’ of its </w:t>
      </w:r>
      <w:r w:rsidRPr="2165DDB2">
        <w:rPr>
          <w:rFonts w:eastAsia="Calibri" w:cs="Helvetica-Light"/>
          <w:color w:val="000000" w:themeColor="text1"/>
        </w:rPr>
        <w:t>medium-term</w:t>
      </w:r>
      <w:r w:rsidR="5B54ACCD" w:rsidRPr="2165DDB2">
        <w:rPr>
          <w:rFonts w:eastAsia="Calibri" w:cs="Helvetica-Light"/>
          <w:color w:val="000000" w:themeColor="text1"/>
        </w:rPr>
        <w:t xml:space="preserve"> assumptions (especially demand) in comparison to statistical neighbour (most similar) </w:t>
      </w:r>
      <w:r w:rsidR="006F654F">
        <w:rPr>
          <w:rFonts w:eastAsia="Calibri" w:cs="Helvetica-Light"/>
          <w:color w:val="000000" w:themeColor="text1"/>
        </w:rPr>
        <w:t>c</w:t>
      </w:r>
      <w:r w:rsidR="5B54ACCD" w:rsidRPr="2165DDB2">
        <w:rPr>
          <w:rFonts w:eastAsia="Calibri" w:cs="Helvetica-Light"/>
          <w:color w:val="000000" w:themeColor="text1"/>
        </w:rPr>
        <w:t>ouncils.</w:t>
      </w:r>
    </w:p>
    <w:p w14:paraId="1E2EACD5" w14:textId="18182DF1" w:rsidR="001C6127" w:rsidRDefault="001C6127" w:rsidP="00320643">
      <w:pPr>
        <w:autoSpaceDE w:val="0"/>
        <w:autoSpaceDN w:val="0"/>
        <w:adjustRightInd w:val="0"/>
        <w:jc w:val="both"/>
        <w:rPr>
          <w:rFonts w:eastAsia="Calibri" w:cs="Helvetica-Light"/>
          <w:color w:val="000000"/>
          <w:highlight w:val="yellow"/>
        </w:rPr>
      </w:pPr>
    </w:p>
    <w:p w14:paraId="72A73183" w14:textId="1323654C" w:rsidR="00B52AE3" w:rsidRDefault="00B52AE3" w:rsidP="00320643">
      <w:pPr>
        <w:autoSpaceDE w:val="0"/>
        <w:autoSpaceDN w:val="0"/>
        <w:adjustRightInd w:val="0"/>
        <w:jc w:val="both"/>
        <w:rPr>
          <w:rFonts w:eastAsia="Calibri" w:cs="Helvetica-Light"/>
          <w:color w:val="000000"/>
          <w:highlight w:val="yellow"/>
        </w:rPr>
      </w:pPr>
    </w:p>
    <w:p w14:paraId="4FF1DBDE" w14:textId="0C8CA387" w:rsidR="00B52AE3" w:rsidRDefault="00B52AE3" w:rsidP="00320643">
      <w:pPr>
        <w:autoSpaceDE w:val="0"/>
        <w:autoSpaceDN w:val="0"/>
        <w:adjustRightInd w:val="0"/>
        <w:jc w:val="both"/>
        <w:rPr>
          <w:rFonts w:eastAsia="Calibri" w:cs="Helvetica-Light"/>
          <w:color w:val="000000"/>
          <w:highlight w:val="yellow"/>
        </w:rPr>
      </w:pPr>
    </w:p>
    <w:p w14:paraId="0A6A1749" w14:textId="230C0990" w:rsidR="00B52AE3" w:rsidRDefault="00B52AE3" w:rsidP="00320643">
      <w:pPr>
        <w:autoSpaceDE w:val="0"/>
        <w:autoSpaceDN w:val="0"/>
        <w:adjustRightInd w:val="0"/>
        <w:jc w:val="both"/>
        <w:rPr>
          <w:rFonts w:eastAsia="Calibri" w:cs="Helvetica-Light"/>
          <w:color w:val="000000"/>
          <w:highlight w:val="yellow"/>
        </w:rPr>
      </w:pPr>
    </w:p>
    <w:p w14:paraId="1FD79C13" w14:textId="2D8B58AC" w:rsidR="00B52AE3" w:rsidRDefault="00B52AE3" w:rsidP="00320643">
      <w:pPr>
        <w:autoSpaceDE w:val="0"/>
        <w:autoSpaceDN w:val="0"/>
        <w:adjustRightInd w:val="0"/>
        <w:jc w:val="both"/>
        <w:rPr>
          <w:rFonts w:eastAsia="Calibri" w:cs="Helvetica-Light"/>
          <w:color w:val="000000"/>
          <w:highlight w:val="yellow"/>
        </w:rPr>
      </w:pPr>
    </w:p>
    <w:p w14:paraId="55D59B2B" w14:textId="7EAEB4E8" w:rsidR="00B52AE3" w:rsidRDefault="00B52AE3" w:rsidP="00320643">
      <w:pPr>
        <w:autoSpaceDE w:val="0"/>
        <w:autoSpaceDN w:val="0"/>
        <w:adjustRightInd w:val="0"/>
        <w:jc w:val="both"/>
        <w:rPr>
          <w:rFonts w:eastAsia="Calibri" w:cs="Helvetica-Light"/>
          <w:color w:val="000000"/>
          <w:highlight w:val="yellow"/>
        </w:rPr>
      </w:pPr>
    </w:p>
    <w:p w14:paraId="0F5F24E4" w14:textId="0F660BE0" w:rsidR="00B52AE3" w:rsidRDefault="00B52AE3" w:rsidP="00320643">
      <w:pPr>
        <w:autoSpaceDE w:val="0"/>
        <w:autoSpaceDN w:val="0"/>
        <w:adjustRightInd w:val="0"/>
        <w:jc w:val="both"/>
        <w:rPr>
          <w:rFonts w:eastAsia="Calibri" w:cs="Helvetica-Light"/>
          <w:color w:val="000000"/>
          <w:highlight w:val="yellow"/>
        </w:rPr>
      </w:pPr>
    </w:p>
    <w:p w14:paraId="7C921605" w14:textId="100E8E84" w:rsidR="00B52AE3" w:rsidRDefault="00B52AE3" w:rsidP="00320643">
      <w:pPr>
        <w:autoSpaceDE w:val="0"/>
        <w:autoSpaceDN w:val="0"/>
        <w:adjustRightInd w:val="0"/>
        <w:jc w:val="both"/>
        <w:rPr>
          <w:rFonts w:eastAsia="Calibri" w:cs="Helvetica-Light"/>
          <w:color w:val="000000"/>
          <w:highlight w:val="yellow"/>
        </w:rPr>
      </w:pPr>
    </w:p>
    <w:p w14:paraId="37E88B85" w14:textId="32F9AD38" w:rsidR="00B37321" w:rsidRDefault="00B37321" w:rsidP="00320643">
      <w:pPr>
        <w:autoSpaceDE w:val="0"/>
        <w:autoSpaceDN w:val="0"/>
        <w:adjustRightInd w:val="0"/>
        <w:jc w:val="both"/>
        <w:rPr>
          <w:rFonts w:eastAsia="Calibri" w:cs="Helvetica-Light"/>
          <w:color w:val="000000"/>
          <w:highlight w:val="yellow"/>
        </w:rPr>
      </w:pPr>
    </w:p>
    <w:p w14:paraId="18E608FD" w14:textId="04F4DC2C" w:rsidR="00B37321" w:rsidRDefault="00B37321" w:rsidP="00320643">
      <w:pPr>
        <w:autoSpaceDE w:val="0"/>
        <w:autoSpaceDN w:val="0"/>
        <w:adjustRightInd w:val="0"/>
        <w:jc w:val="both"/>
        <w:rPr>
          <w:rFonts w:eastAsia="Calibri" w:cs="Helvetica-Light"/>
          <w:color w:val="000000"/>
          <w:highlight w:val="yellow"/>
        </w:rPr>
      </w:pPr>
    </w:p>
    <w:p w14:paraId="5867F79A" w14:textId="50E4D908" w:rsidR="00B37321" w:rsidRDefault="00B37321" w:rsidP="00320643">
      <w:pPr>
        <w:autoSpaceDE w:val="0"/>
        <w:autoSpaceDN w:val="0"/>
        <w:adjustRightInd w:val="0"/>
        <w:jc w:val="both"/>
        <w:rPr>
          <w:rFonts w:eastAsia="Calibri" w:cs="Helvetica-Light"/>
          <w:color w:val="000000"/>
          <w:highlight w:val="yellow"/>
        </w:rPr>
      </w:pPr>
    </w:p>
    <w:p w14:paraId="411FB028" w14:textId="5D9A9FAB" w:rsidR="00B37321" w:rsidRDefault="00B37321" w:rsidP="00320643">
      <w:pPr>
        <w:autoSpaceDE w:val="0"/>
        <w:autoSpaceDN w:val="0"/>
        <w:adjustRightInd w:val="0"/>
        <w:jc w:val="both"/>
        <w:rPr>
          <w:rFonts w:eastAsia="Calibri" w:cs="Helvetica-Light"/>
          <w:color w:val="000000"/>
          <w:highlight w:val="yellow"/>
        </w:rPr>
      </w:pPr>
    </w:p>
    <w:p w14:paraId="133F3CE9" w14:textId="29860828" w:rsidR="00B37321" w:rsidRDefault="00B37321" w:rsidP="00320643">
      <w:pPr>
        <w:autoSpaceDE w:val="0"/>
        <w:autoSpaceDN w:val="0"/>
        <w:adjustRightInd w:val="0"/>
        <w:jc w:val="both"/>
        <w:rPr>
          <w:rFonts w:eastAsia="Calibri" w:cs="Helvetica-Light"/>
          <w:color w:val="000000"/>
          <w:highlight w:val="yellow"/>
        </w:rPr>
      </w:pPr>
    </w:p>
    <w:p w14:paraId="2016D2A8" w14:textId="5D78D9D5" w:rsidR="00B37321" w:rsidRDefault="00B37321" w:rsidP="00320643">
      <w:pPr>
        <w:autoSpaceDE w:val="0"/>
        <w:autoSpaceDN w:val="0"/>
        <w:adjustRightInd w:val="0"/>
        <w:jc w:val="both"/>
        <w:rPr>
          <w:rFonts w:eastAsia="Calibri" w:cs="Helvetica-Light"/>
          <w:color w:val="000000"/>
          <w:highlight w:val="yellow"/>
        </w:rPr>
      </w:pPr>
    </w:p>
    <w:p w14:paraId="513701F7" w14:textId="6842FAB1" w:rsidR="00B37321" w:rsidRDefault="00B37321" w:rsidP="00320643">
      <w:pPr>
        <w:autoSpaceDE w:val="0"/>
        <w:autoSpaceDN w:val="0"/>
        <w:adjustRightInd w:val="0"/>
        <w:jc w:val="both"/>
        <w:rPr>
          <w:rFonts w:eastAsia="Calibri" w:cs="Helvetica-Light"/>
          <w:color w:val="000000"/>
          <w:highlight w:val="yellow"/>
        </w:rPr>
      </w:pPr>
    </w:p>
    <w:p w14:paraId="11FB1E3C" w14:textId="075433D5" w:rsidR="00B37321" w:rsidRDefault="00B37321">
      <w:pPr>
        <w:rPr>
          <w:rFonts w:eastAsia="Calibri" w:cs="Helvetica-Light"/>
          <w:color w:val="000000"/>
          <w:highlight w:val="yellow"/>
        </w:rPr>
      </w:pPr>
    </w:p>
    <w:p w14:paraId="7D62F424" w14:textId="77777777" w:rsidR="00724CCB" w:rsidRDefault="00724CCB" w:rsidP="00320643">
      <w:pPr>
        <w:autoSpaceDE w:val="0"/>
        <w:autoSpaceDN w:val="0"/>
        <w:adjustRightInd w:val="0"/>
        <w:jc w:val="both"/>
        <w:rPr>
          <w:rFonts w:eastAsia="Calibri" w:cs="Helvetica-Light"/>
          <w:color w:val="000000"/>
        </w:rPr>
      </w:pPr>
    </w:p>
    <w:p w14:paraId="4356C82B" w14:textId="1A63AFFB" w:rsidR="00363C39" w:rsidRDefault="004A7A82" w:rsidP="00320643">
      <w:pPr>
        <w:autoSpaceDE w:val="0"/>
        <w:autoSpaceDN w:val="0"/>
        <w:adjustRightInd w:val="0"/>
        <w:jc w:val="both"/>
        <w:rPr>
          <w:rFonts w:eastAsia="Calibri" w:cs="Helvetica-Light"/>
          <w:b/>
          <w:bCs/>
          <w:color w:val="000000" w:themeColor="text1"/>
          <w:u w:val="single"/>
        </w:rPr>
      </w:pPr>
      <w:r w:rsidRPr="1296B87A">
        <w:rPr>
          <w:rFonts w:eastAsia="Calibri" w:cs="Helvetica-Light"/>
          <w:b/>
          <w:bCs/>
          <w:color w:val="000000" w:themeColor="text1"/>
          <w:u w:val="single"/>
        </w:rPr>
        <w:lastRenderedPageBreak/>
        <w:t>Annex A</w:t>
      </w:r>
      <w:r w:rsidR="00AB423D" w:rsidRPr="1296B87A">
        <w:rPr>
          <w:rFonts w:eastAsia="Calibri" w:cs="Helvetica-Light"/>
          <w:b/>
          <w:bCs/>
          <w:color w:val="000000" w:themeColor="text1"/>
          <w:u w:val="single"/>
        </w:rPr>
        <w:t xml:space="preserve"> – 2024/25 Revenue Budget Detail</w:t>
      </w:r>
    </w:p>
    <w:p w14:paraId="018E9BFB" w14:textId="77777777" w:rsidR="00363C39" w:rsidRDefault="00363C39" w:rsidP="00320643">
      <w:pPr>
        <w:autoSpaceDE w:val="0"/>
        <w:autoSpaceDN w:val="0"/>
        <w:adjustRightInd w:val="0"/>
        <w:jc w:val="both"/>
        <w:rPr>
          <w:rFonts w:eastAsia="Calibri" w:cs="Helvetica-Light"/>
          <w:b/>
          <w:bCs/>
          <w:color w:val="000000" w:themeColor="text1"/>
          <w:u w:val="single"/>
        </w:rPr>
      </w:pPr>
    </w:p>
    <w:tbl>
      <w:tblPr>
        <w:tblW w:w="9964" w:type="dxa"/>
        <w:tblInd w:w="-5" w:type="dxa"/>
        <w:tblLook w:val="04A0" w:firstRow="1" w:lastRow="0" w:firstColumn="1" w:lastColumn="0" w:noHBand="0" w:noVBand="1"/>
      </w:tblPr>
      <w:tblGrid>
        <w:gridCol w:w="5103"/>
        <w:gridCol w:w="699"/>
        <w:gridCol w:w="1223"/>
        <w:gridCol w:w="1467"/>
        <w:gridCol w:w="439"/>
        <w:gridCol w:w="1033"/>
      </w:tblGrid>
      <w:tr w:rsidR="00C92CD8" w14:paraId="2F1442AE" w14:textId="77777777" w:rsidTr="005512F8">
        <w:trPr>
          <w:trHeight w:val="627"/>
        </w:trPr>
        <w:tc>
          <w:tcPr>
            <w:tcW w:w="58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808652" w14:textId="13C97071" w:rsidR="00363C39" w:rsidRPr="00363C39" w:rsidRDefault="00363C39" w:rsidP="00363C39">
            <w:pPr>
              <w:rPr>
                <w:rFonts w:eastAsia="Times New Roman" w:cs="Arial"/>
                <w:b/>
                <w:bCs/>
                <w:color w:val="000000"/>
                <w:sz w:val="22"/>
                <w:szCs w:val="22"/>
              </w:rPr>
            </w:pPr>
          </w:p>
        </w:tc>
        <w:tc>
          <w:tcPr>
            <w:tcW w:w="12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AC78DE" w14:textId="77777777" w:rsidR="00363C39" w:rsidRPr="00A93585" w:rsidRDefault="004A7A82" w:rsidP="00363C39">
            <w:pPr>
              <w:jc w:val="center"/>
              <w:rPr>
                <w:rFonts w:eastAsia="Times New Roman" w:cs="Arial"/>
                <w:b/>
                <w:bCs/>
                <w:color w:val="000000"/>
                <w:sz w:val="22"/>
                <w:szCs w:val="22"/>
              </w:rPr>
            </w:pPr>
            <w:r w:rsidRPr="00363C39">
              <w:rPr>
                <w:rFonts w:eastAsia="Times New Roman" w:cs="Arial"/>
                <w:b/>
                <w:bCs/>
                <w:color w:val="000000"/>
                <w:sz w:val="22"/>
                <w:szCs w:val="22"/>
              </w:rPr>
              <w:t>Gross</w:t>
            </w:r>
            <w:r w:rsidRPr="00363C39">
              <w:rPr>
                <w:rFonts w:eastAsia="Times New Roman" w:cs="Arial"/>
                <w:b/>
                <w:bCs/>
                <w:color w:val="000000"/>
                <w:sz w:val="22"/>
                <w:szCs w:val="22"/>
              </w:rPr>
              <w:br/>
            </w:r>
            <w:r w:rsidRPr="00A93585">
              <w:rPr>
                <w:rFonts w:eastAsia="Times New Roman" w:cs="Arial"/>
                <w:b/>
                <w:bCs/>
                <w:color w:val="000000"/>
                <w:sz w:val="22"/>
                <w:szCs w:val="22"/>
              </w:rPr>
              <w:t>(</w:t>
            </w:r>
            <w:r w:rsidRPr="00363C39">
              <w:rPr>
                <w:rFonts w:eastAsia="Times New Roman" w:cs="Arial"/>
                <w:b/>
                <w:bCs/>
                <w:color w:val="000000"/>
                <w:sz w:val="22"/>
                <w:szCs w:val="22"/>
              </w:rPr>
              <w:t>£m</w:t>
            </w:r>
            <w:r w:rsidRPr="00A93585">
              <w:rPr>
                <w:rFonts w:eastAsia="Times New Roman" w:cs="Arial"/>
                <w:b/>
                <w:bCs/>
                <w:color w:val="000000"/>
                <w:sz w:val="22"/>
                <w:szCs w:val="22"/>
              </w:rPr>
              <w:t>)</w:t>
            </w:r>
          </w:p>
          <w:p w14:paraId="43ADC856" w14:textId="3EC9ED96" w:rsidR="00363C39" w:rsidRPr="00363C39" w:rsidRDefault="00363C39" w:rsidP="00363C39">
            <w:pPr>
              <w:jc w:val="center"/>
              <w:rPr>
                <w:rFonts w:eastAsia="Times New Roman" w:cs="Arial"/>
                <w:b/>
                <w:bCs/>
                <w:color w:val="000000"/>
                <w:sz w:val="22"/>
                <w:szCs w:val="22"/>
              </w:rPr>
            </w:pPr>
          </w:p>
        </w:tc>
        <w:tc>
          <w:tcPr>
            <w:tcW w:w="14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B4D8C5" w14:textId="77777777" w:rsidR="00363C39" w:rsidRPr="00A93585" w:rsidRDefault="004A7A82" w:rsidP="00363C39">
            <w:pPr>
              <w:jc w:val="center"/>
              <w:rPr>
                <w:rFonts w:eastAsia="Times New Roman" w:cs="Arial"/>
                <w:b/>
                <w:bCs/>
                <w:color w:val="000000"/>
                <w:sz w:val="22"/>
                <w:szCs w:val="22"/>
              </w:rPr>
            </w:pPr>
            <w:r w:rsidRPr="00363C39">
              <w:rPr>
                <w:rFonts w:eastAsia="Times New Roman" w:cs="Arial"/>
                <w:b/>
                <w:bCs/>
                <w:color w:val="000000"/>
                <w:sz w:val="22"/>
                <w:szCs w:val="22"/>
              </w:rPr>
              <w:t>Income</w:t>
            </w:r>
            <w:r w:rsidRPr="00363C39">
              <w:rPr>
                <w:rFonts w:eastAsia="Times New Roman" w:cs="Arial"/>
                <w:b/>
                <w:bCs/>
                <w:color w:val="000000"/>
                <w:sz w:val="22"/>
                <w:szCs w:val="22"/>
              </w:rPr>
              <w:br/>
            </w:r>
            <w:r w:rsidRPr="00A93585">
              <w:rPr>
                <w:rFonts w:eastAsia="Times New Roman" w:cs="Arial"/>
                <w:b/>
                <w:bCs/>
                <w:color w:val="000000"/>
                <w:sz w:val="22"/>
                <w:szCs w:val="22"/>
              </w:rPr>
              <w:t>(</w:t>
            </w:r>
            <w:r w:rsidRPr="00363C39">
              <w:rPr>
                <w:rFonts w:eastAsia="Times New Roman" w:cs="Arial"/>
                <w:b/>
                <w:bCs/>
                <w:color w:val="000000"/>
                <w:sz w:val="22"/>
                <w:szCs w:val="22"/>
              </w:rPr>
              <w:t>£m</w:t>
            </w:r>
            <w:r w:rsidRPr="00A93585">
              <w:rPr>
                <w:rFonts w:eastAsia="Times New Roman" w:cs="Arial"/>
                <w:b/>
                <w:bCs/>
                <w:color w:val="000000"/>
                <w:sz w:val="22"/>
                <w:szCs w:val="22"/>
              </w:rPr>
              <w:t>)</w:t>
            </w:r>
          </w:p>
          <w:p w14:paraId="7CEB6F31" w14:textId="6AA5D3A2" w:rsidR="00363C39" w:rsidRPr="00363C39" w:rsidRDefault="00363C39" w:rsidP="00363C39">
            <w:pPr>
              <w:jc w:val="center"/>
              <w:rPr>
                <w:rFonts w:eastAsia="Times New Roman" w:cs="Arial"/>
                <w:b/>
                <w:bCs/>
                <w:color w:val="000000"/>
                <w:sz w:val="22"/>
                <w:szCs w:val="22"/>
              </w:rPr>
            </w:pPr>
          </w:p>
        </w:tc>
        <w:tc>
          <w:tcPr>
            <w:tcW w:w="14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F85312" w14:textId="77777777" w:rsidR="00363C39" w:rsidRPr="00A93585" w:rsidRDefault="004A7A82" w:rsidP="00363C39">
            <w:pPr>
              <w:jc w:val="center"/>
              <w:rPr>
                <w:rFonts w:eastAsia="Times New Roman" w:cs="Arial"/>
                <w:b/>
                <w:bCs/>
                <w:color w:val="000000"/>
                <w:sz w:val="22"/>
                <w:szCs w:val="22"/>
              </w:rPr>
            </w:pPr>
            <w:r w:rsidRPr="00363C39">
              <w:rPr>
                <w:rFonts w:eastAsia="Times New Roman" w:cs="Arial"/>
                <w:b/>
                <w:bCs/>
                <w:color w:val="000000"/>
                <w:sz w:val="22"/>
                <w:szCs w:val="22"/>
              </w:rPr>
              <w:t>Net</w:t>
            </w:r>
            <w:r w:rsidRPr="00363C39">
              <w:rPr>
                <w:rFonts w:eastAsia="Times New Roman" w:cs="Arial"/>
                <w:b/>
                <w:bCs/>
                <w:color w:val="000000"/>
                <w:sz w:val="22"/>
                <w:szCs w:val="22"/>
              </w:rPr>
              <w:br/>
            </w:r>
            <w:r w:rsidRPr="00A93585">
              <w:rPr>
                <w:rFonts w:eastAsia="Times New Roman" w:cs="Arial"/>
                <w:b/>
                <w:bCs/>
                <w:color w:val="000000"/>
                <w:sz w:val="22"/>
                <w:szCs w:val="22"/>
              </w:rPr>
              <w:t>(</w:t>
            </w:r>
            <w:r w:rsidRPr="00363C39">
              <w:rPr>
                <w:rFonts w:eastAsia="Times New Roman" w:cs="Arial"/>
                <w:b/>
                <w:bCs/>
                <w:color w:val="000000"/>
                <w:sz w:val="22"/>
                <w:szCs w:val="22"/>
              </w:rPr>
              <w:t>£m</w:t>
            </w:r>
            <w:r w:rsidRPr="00A93585">
              <w:rPr>
                <w:rFonts w:eastAsia="Times New Roman" w:cs="Arial"/>
                <w:b/>
                <w:bCs/>
                <w:color w:val="000000"/>
                <w:sz w:val="22"/>
                <w:szCs w:val="22"/>
              </w:rPr>
              <w:t>)</w:t>
            </w:r>
          </w:p>
          <w:p w14:paraId="6F15B6D7" w14:textId="12ED057D" w:rsidR="00363C39" w:rsidRPr="00363C39" w:rsidRDefault="00363C39" w:rsidP="00363C39">
            <w:pPr>
              <w:jc w:val="center"/>
              <w:rPr>
                <w:rFonts w:eastAsia="Times New Roman" w:cs="Arial"/>
                <w:b/>
                <w:bCs/>
                <w:color w:val="000000"/>
                <w:sz w:val="22"/>
                <w:szCs w:val="22"/>
              </w:rPr>
            </w:pPr>
          </w:p>
        </w:tc>
      </w:tr>
      <w:tr w:rsidR="00C92CD8" w14:paraId="093C3E07"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tcPr>
          <w:p w14:paraId="374EC855" w14:textId="5B8D562F" w:rsidR="00363C39" w:rsidRPr="00363C39" w:rsidRDefault="004A7A82" w:rsidP="00363C39">
            <w:pPr>
              <w:rPr>
                <w:rFonts w:eastAsia="Times New Roman" w:cs="Arial"/>
                <w:b/>
                <w:bCs/>
                <w:color w:val="000000"/>
                <w:sz w:val="22"/>
                <w:szCs w:val="22"/>
              </w:rPr>
            </w:pPr>
            <w:r w:rsidRPr="00A93585">
              <w:rPr>
                <w:rFonts w:eastAsia="Times New Roman" w:cs="Arial"/>
                <w:b/>
                <w:bCs/>
                <w:color w:val="000000"/>
                <w:sz w:val="22"/>
                <w:szCs w:val="22"/>
              </w:rPr>
              <w:t>Adult Services</w:t>
            </w:r>
          </w:p>
        </w:tc>
        <w:tc>
          <w:tcPr>
            <w:tcW w:w="1223" w:type="dxa"/>
            <w:tcBorders>
              <w:top w:val="nil"/>
              <w:left w:val="nil"/>
              <w:bottom w:val="single" w:sz="4" w:space="0" w:color="auto"/>
              <w:right w:val="single" w:sz="4" w:space="0" w:color="auto"/>
            </w:tcBorders>
            <w:shd w:val="clear" w:color="auto" w:fill="auto"/>
            <w:noWrap/>
            <w:vAlign w:val="bottom"/>
          </w:tcPr>
          <w:p w14:paraId="6468246B" w14:textId="06EC9E5D" w:rsidR="00363C39" w:rsidRPr="00363C39" w:rsidRDefault="00363C39" w:rsidP="00363C39">
            <w:pPr>
              <w:jc w:val="right"/>
              <w:rPr>
                <w:rFonts w:eastAsia="Times New Roman" w:cs="Arial"/>
                <w:color w:val="000000"/>
                <w:sz w:val="22"/>
                <w:szCs w:val="22"/>
              </w:rPr>
            </w:pPr>
          </w:p>
        </w:tc>
        <w:tc>
          <w:tcPr>
            <w:tcW w:w="1467" w:type="dxa"/>
            <w:tcBorders>
              <w:top w:val="nil"/>
              <w:left w:val="nil"/>
              <w:bottom w:val="single" w:sz="4" w:space="0" w:color="auto"/>
              <w:right w:val="single" w:sz="4" w:space="0" w:color="auto"/>
            </w:tcBorders>
            <w:shd w:val="clear" w:color="auto" w:fill="auto"/>
            <w:noWrap/>
            <w:vAlign w:val="bottom"/>
          </w:tcPr>
          <w:p w14:paraId="0A49F7EA" w14:textId="52544BCB" w:rsidR="00363C39" w:rsidRPr="00363C39" w:rsidRDefault="00363C39" w:rsidP="00363C39">
            <w:pPr>
              <w:jc w:val="right"/>
              <w:rPr>
                <w:rFonts w:eastAsia="Times New Roman" w:cs="Arial"/>
                <w:color w:val="000000"/>
                <w:sz w:val="22"/>
                <w:szCs w:val="22"/>
              </w:rPr>
            </w:pPr>
          </w:p>
        </w:tc>
        <w:tc>
          <w:tcPr>
            <w:tcW w:w="1472" w:type="dxa"/>
            <w:gridSpan w:val="2"/>
            <w:tcBorders>
              <w:top w:val="nil"/>
              <w:left w:val="nil"/>
              <w:bottom w:val="single" w:sz="4" w:space="0" w:color="auto"/>
              <w:right w:val="single" w:sz="4" w:space="0" w:color="auto"/>
            </w:tcBorders>
            <w:shd w:val="clear" w:color="auto" w:fill="auto"/>
            <w:noWrap/>
            <w:vAlign w:val="bottom"/>
          </w:tcPr>
          <w:p w14:paraId="52B873B8" w14:textId="116B0966" w:rsidR="00363C39" w:rsidRPr="00363C39" w:rsidRDefault="00363C39" w:rsidP="00363C39">
            <w:pPr>
              <w:jc w:val="right"/>
              <w:rPr>
                <w:rFonts w:eastAsia="Times New Roman" w:cs="Arial"/>
                <w:color w:val="000000"/>
                <w:sz w:val="22"/>
                <w:szCs w:val="22"/>
              </w:rPr>
            </w:pPr>
          </w:p>
        </w:tc>
      </w:tr>
      <w:tr w:rsidR="00C92CD8" w14:paraId="67D5BB2C"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tcPr>
          <w:p w14:paraId="6B19288D" w14:textId="7C560607" w:rsidR="00363C39" w:rsidRPr="00A93585" w:rsidRDefault="004A7A82" w:rsidP="00363C39">
            <w:pPr>
              <w:rPr>
                <w:rFonts w:eastAsia="Times New Roman" w:cs="Arial"/>
                <w:color w:val="000000"/>
                <w:sz w:val="22"/>
                <w:szCs w:val="22"/>
              </w:rPr>
            </w:pPr>
            <w:r w:rsidRPr="00363C39">
              <w:rPr>
                <w:rFonts w:eastAsia="Times New Roman" w:cs="Arial"/>
                <w:color w:val="000000"/>
                <w:sz w:val="22"/>
                <w:szCs w:val="22"/>
              </w:rPr>
              <w:t>Adult Care and Provider Services</w:t>
            </w:r>
          </w:p>
        </w:tc>
        <w:tc>
          <w:tcPr>
            <w:tcW w:w="1223" w:type="dxa"/>
            <w:tcBorders>
              <w:top w:val="nil"/>
              <w:left w:val="nil"/>
              <w:bottom w:val="single" w:sz="4" w:space="0" w:color="auto"/>
              <w:right w:val="single" w:sz="4" w:space="0" w:color="auto"/>
            </w:tcBorders>
            <w:shd w:val="clear" w:color="auto" w:fill="auto"/>
            <w:noWrap/>
            <w:vAlign w:val="bottom"/>
          </w:tcPr>
          <w:p w14:paraId="3F35AB26" w14:textId="0B324504" w:rsidR="00363C39" w:rsidRPr="00A93585" w:rsidRDefault="004A7A82" w:rsidP="00363C39">
            <w:pPr>
              <w:jc w:val="right"/>
              <w:rPr>
                <w:rFonts w:eastAsia="Times New Roman" w:cs="Arial"/>
                <w:color w:val="000000"/>
                <w:sz w:val="22"/>
                <w:szCs w:val="22"/>
              </w:rPr>
            </w:pPr>
            <w:r w:rsidRPr="00363C39">
              <w:rPr>
                <w:rFonts w:eastAsia="Times New Roman" w:cs="Arial"/>
                <w:color w:val="000000"/>
                <w:sz w:val="22"/>
                <w:szCs w:val="22"/>
              </w:rPr>
              <w:t xml:space="preserve">82.689 </w:t>
            </w:r>
          </w:p>
        </w:tc>
        <w:tc>
          <w:tcPr>
            <w:tcW w:w="1467" w:type="dxa"/>
            <w:tcBorders>
              <w:top w:val="nil"/>
              <w:left w:val="nil"/>
              <w:bottom w:val="single" w:sz="4" w:space="0" w:color="auto"/>
              <w:right w:val="single" w:sz="4" w:space="0" w:color="auto"/>
            </w:tcBorders>
            <w:shd w:val="clear" w:color="auto" w:fill="auto"/>
            <w:noWrap/>
            <w:vAlign w:val="bottom"/>
          </w:tcPr>
          <w:p w14:paraId="08F3A973" w14:textId="228E5158" w:rsidR="00363C39" w:rsidRPr="00A93585" w:rsidRDefault="004A7A82" w:rsidP="00363C39">
            <w:pPr>
              <w:jc w:val="right"/>
              <w:rPr>
                <w:rFonts w:eastAsia="Times New Roman" w:cs="Arial"/>
                <w:color w:val="000000"/>
                <w:sz w:val="22"/>
                <w:szCs w:val="22"/>
              </w:rPr>
            </w:pPr>
            <w:r w:rsidRPr="00363C39">
              <w:rPr>
                <w:rFonts w:eastAsia="Times New Roman" w:cs="Arial"/>
                <w:color w:val="000000"/>
                <w:sz w:val="22"/>
                <w:szCs w:val="22"/>
              </w:rPr>
              <w:t xml:space="preserve">-67.123 </w:t>
            </w:r>
          </w:p>
        </w:tc>
        <w:tc>
          <w:tcPr>
            <w:tcW w:w="1472" w:type="dxa"/>
            <w:gridSpan w:val="2"/>
            <w:tcBorders>
              <w:top w:val="nil"/>
              <w:left w:val="nil"/>
              <w:bottom w:val="single" w:sz="4" w:space="0" w:color="auto"/>
              <w:right w:val="single" w:sz="4" w:space="0" w:color="auto"/>
            </w:tcBorders>
            <w:shd w:val="clear" w:color="auto" w:fill="auto"/>
            <w:noWrap/>
            <w:vAlign w:val="bottom"/>
          </w:tcPr>
          <w:p w14:paraId="06B84FB0" w14:textId="48D35ADC" w:rsidR="00363C39" w:rsidRPr="00A93585" w:rsidRDefault="004A7A82" w:rsidP="00363C39">
            <w:pPr>
              <w:jc w:val="right"/>
              <w:rPr>
                <w:rFonts w:eastAsia="Times New Roman" w:cs="Arial"/>
                <w:color w:val="000000"/>
                <w:sz w:val="22"/>
                <w:szCs w:val="22"/>
              </w:rPr>
            </w:pPr>
            <w:r w:rsidRPr="00363C39">
              <w:rPr>
                <w:rFonts w:eastAsia="Times New Roman" w:cs="Arial"/>
                <w:color w:val="000000"/>
                <w:sz w:val="22"/>
                <w:szCs w:val="22"/>
              </w:rPr>
              <w:t xml:space="preserve">15.566 </w:t>
            </w:r>
          </w:p>
        </w:tc>
      </w:tr>
      <w:tr w:rsidR="00C92CD8" w14:paraId="372422D9"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244066" w14:textId="77777777" w:rsidR="00363C39" w:rsidRPr="00363C39" w:rsidRDefault="004A7A82" w:rsidP="00363C39">
            <w:pPr>
              <w:rPr>
                <w:rFonts w:eastAsia="Times New Roman" w:cs="Arial"/>
                <w:color w:val="000000"/>
                <w:sz w:val="22"/>
                <w:szCs w:val="22"/>
              </w:rPr>
            </w:pPr>
            <w:r w:rsidRPr="00363C39">
              <w:rPr>
                <w:rFonts w:eastAsia="Times New Roman" w:cs="Arial"/>
                <w:color w:val="000000"/>
                <w:sz w:val="22"/>
                <w:szCs w:val="22"/>
              </w:rPr>
              <w:t>Adult Community Social Care</w:t>
            </w:r>
          </w:p>
        </w:tc>
        <w:tc>
          <w:tcPr>
            <w:tcW w:w="1223" w:type="dxa"/>
            <w:tcBorders>
              <w:top w:val="nil"/>
              <w:left w:val="nil"/>
              <w:bottom w:val="single" w:sz="4" w:space="0" w:color="auto"/>
              <w:right w:val="single" w:sz="4" w:space="0" w:color="auto"/>
            </w:tcBorders>
            <w:shd w:val="clear" w:color="auto" w:fill="auto"/>
            <w:noWrap/>
            <w:vAlign w:val="bottom"/>
            <w:hideMark/>
          </w:tcPr>
          <w:p w14:paraId="74C7692F" w14:textId="6A87E114" w:rsidR="00363C39" w:rsidRPr="00363C39" w:rsidRDefault="004A7A82" w:rsidP="00363C39">
            <w:pPr>
              <w:jc w:val="right"/>
              <w:rPr>
                <w:rFonts w:eastAsia="Times New Roman" w:cs="Arial"/>
                <w:color w:val="000000"/>
                <w:sz w:val="22"/>
                <w:szCs w:val="22"/>
              </w:rPr>
            </w:pPr>
            <w:r w:rsidRPr="00363C39">
              <w:rPr>
                <w:rFonts w:eastAsia="Times New Roman" w:cs="Arial"/>
                <w:color w:val="000000"/>
                <w:sz w:val="22"/>
                <w:szCs w:val="22"/>
              </w:rPr>
              <w:t>72</w:t>
            </w:r>
            <w:r w:rsidR="001F201A" w:rsidRPr="00A93585">
              <w:rPr>
                <w:rFonts w:eastAsia="Times New Roman" w:cs="Arial"/>
                <w:color w:val="000000"/>
                <w:sz w:val="22"/>
                <w:szCs w:val="22"/>
              </w:rPr>
              <w:t>8.648</w:t>
            </w:r>
            <w:r w:rsidRPr="00363C39">
              <w:rPr>
                <w:rFonts w:eastAsia="Times New Roman" w:cs="Arial"/>
                <w:color w:val="000000"/>
                <w:sz w:val="22"/>
                <w:szCs w:val="22"/>
              </w:rPr>
              <w:t xml:space="preserve"> </w:t>
            </w:r>
          </w:p>
        </w:tc>
        <w:tc>
          <w:tcPr>
            <w:tcW w:w="1467" w:type="dxa"/>
            <w:tcBorders>
              <w:top w:val="nil"/>
              <w:left w:val="nil"/>
              <w:bottom w:val="single" w:sz="4" w:space="0" w:color="auto"/>
              <w:right w:val="single" w:sz="4" w:space="0" w:color="auto"/>
            </w:tcBorders>
            <w:shd w:val="clear" w:color="auto" w:fill="auto"/>
            <w:noWrap/>
            <w:vAlign w:val="bottom"/>
            <w:hideMark/>
          </w:tcPr>
          <w:p w14:paraId="211B3201" w14:textId="77777777" w:rsidR="00363C39" w:rsidRPr="00363C39" w:rsidRDefault="004A7A82" w:rsidP="00363C39">
            <w:pPr>
              <w:jc w:val="right"/>
              <w:rPr>
                <w:rFonts w:eastAsia="Times New Roman" w:cs="Arial"/>
                <w:color w:val="000000"/>
                <w:sz w:val="22"/>
                <w:szCs w:val="22"/>
              </w:rPr>
            </w:pPr>
            <w:r w:rsidRPr="00363C39">
              <w:rPr>
                <w:rFonts w:eastAsia="Times New Roman" w:cs="Arial"/>
                <w:color w:val="000000"/>
                <w:sz w:val="22"/>
                <w:szCs w:val="22"/>
              </w:rPr>
              <w:t xml:space="preserve">-287.718 </w:t>
            </w:r>
          </w:p>
        </w:tc>
        <w:tc>
          <w:tcPr>
            <w:tcW w:w="1472" w:type="dxa"/>
            <w:gridSpan w:val="2"/>
            <w:tcBorders>
              <w:top w:val="nil"/>
              <w:left w:val="nil"/>
              <w:bottom w:val="single" w:sz="4" w:space="0" w:color="auto"/>
              <w:right w:val="single" w:sz="4" w:space="0" w:color="auto"/>
            </w:tcBorders>
            <w:shd w:val="clear" w:color="auto" w:fill="auto"/>
            <w:noWrap/>
            <w:vAlign w:val="bottom"/>
            <w:hideMark/>
          </w:tcPr>
          <w:p w14:paraId="2B5A02A4" w14:textId="10D71C5B" w:rsidR="00363C39" w:rsidRPr="00363C39" w:rsidRDefault="004A7A82" w:rsidP="00363C39">
            <w:pPr>
              <w:jc w:val="right"/>
              <w:rPr>
                <w:rFonts w:eastAsia="Times New Roman" w:cs="Arial"/>
                <w:color w:val="000000"/>
                <w:sz w:val="22"/>
                <w:szCs w:val="22"/>
              </w:rPr>
            </w:pPr>
            <w:r w:rsidRPr="00363C39">
              <w:rPr>
                <w:rFonts w:eastAsia="Times New Roman" w:cs="Arial"/>
                <w:color w:val="000000"/>
                <w:sz w:val="22"/>
                <w:szCs w:val="22"/>
              </w:rPr>
              <w:t>44</w:t>
            </w:r>
            <w:r w:rsidR="005B28AD" w:rsidRPr="00A93585">
              <w:rPr>
                <w:rFonts w:eastAsia="Times New Roman" w:cs="Arial"/>
                <w:color w:val="000000"/>
                <w:sz w:val="22"/>
                <w:szCs w:val="22"/>
              </w:rPr>
              <w:t>0.930</w:t>
            </w:r>
            <w:r w:rsidRPr="00363C39">
              <w:rPr>
                <w:rFonts w:eastAsia="Times New Roman" w:cs="Arial"/>
                <w:color w:val="000000"/>
                <w:sz w:val="22"/>
                <w:szCs w:val="22"/>
              </w:rPr>
              <w:t xml:space="preserve"> </w:t>
            </w:r>
          </w:p>
        </w:tc>
      </w:tr>
      <w:tr w:rsidR="00C92CD8" w14:paraId="2E4AA0EE"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59AD70" w14:textId="77777777" w:rsidR="00363C39" w:rsidRPr="00363C39" w:rsidRDefault="004A7A82" w:rsidP="00363C39">
            <w:pPr>
              <w:rPr>
                <w:rFonts w:eastAsia="Times New Roman" w:cs="Arial"/>
                <w:color w:val="000000"/>
                <w:sz w:val="22"/>
                <w:szCs w:val="22"/>
              </w:rPr>
            </w:pPr>
            <w:r w:rsidRPr="00363C39">
              <w:rPr>
                <w:rFonts w:eastAsia="Times New Roman" w:cs="Arial"/>
                <w:color w:val="000000"/>
                <w:sz w:val="22"/>
                <w:szCs w:val="22"/>
              </w:rPr>
              <w:t>Quality Improvement and Principal Social Worker</w:t>
            </w:r>
          </w:p>
        </w:tc>
        <w:tc>
          <w:tcPr>
            <w:tcW w:w="1223" w:type="dxa"/>
            <w:tcBorders>
              <w:top w:val="nil"/>
              <w:left w:val="nil"/>
              <w:bottom w:val="single" w:sz="4" w:space="0" w:color="auto"/>
              <w:right w:val="single" w:sz="4" w:space="0" w:color="auto"/>
            </w:tcBorders>
            <w:shd w:val="clear" w:color="auto" w:fill="auto"/>
            <w:noWrap/>
            <w:vAlign w:val="bottom"/>
            <w:hideMark/>
          </w:tcPr>
          <w:p w14:paraId="0B5F438F" w14:textId="77777777" w:rsidR="00363C39" w:rsidRPr="00363C39" w:rsidRDefault="004A7A82" w:rsidP="00363C39">
            <w:pPr>
              <w:jc w:val="right"/>
              <w:rPr>
                <w:rFonts w:eastAsia="Times New Roman" w:cs="Arial"/>
                <w:color w:val="000000"/>
                <w:sz w:val="22"/>
                <w:szCs w:val="22"/>
              </w:rPr>
            </w:pPr>
            <w:r w:rsidRPr="00363C39">
              <w:rPr>
                <w:rFonts w:eastAsia="Times New Roman" w:cs="Arial"/>
                <w:color w:val="000000"/>
                <w:sz w:val="22"/>
                <w:szCs w:val="22"/>
              </w:rPr>
              <w:t xml:space="preserve">2.029 </w:t>
            </w:r>
          </w:p>
        </w:tc>
        <w:tc>
          <w:tcPr>
            <w:tcW w:w="1467" w:type="dxa"/>
            <w:tcBorders>
              <w:top w:val="nil"/>
              <w:left w:val="nil"/>
              <w:bottom w:val="single" w:sz="4" w:space="0" w:color="auto"/>
              <w:right w:val="single" w:sz="4" w:space="0" w:color="auto"/>
            </w:tcBorders>
            <w:shd w:val="clear" w:color="auto" w:fill="auto"/>
            <w:noWrap/>
            <w:vAlign w:val="bottom"/>
            <w:hideMark/>
          </w:tcPr>
          <w:p w14:paraId="60AF7C52" w14:textId="77777777" w:rsidR="00363C39" w:rsidRPr="00363C39" w:rsidRDefault="004A7A82" w:rsidP="00363C39">
            <w:pPr>
              <w:jc w:val="right"/>
              <w:rPr>
                <w:rFonts w:eastAsia="Times New Roman" w:cs="Arial"/>
                <w:color w:val="000000"/>
                <w:sz w:val="22"/>
                <w:szCs w:val="22"/>
              </w:rPr>
            </w:pPr>
            <w:r w:rsidRPr="00363C39">
              <w:rPr>
                <w:rFonts w:eastAsia="Times New Roman" w:cs="Arial"/>
                <w:color w:val="000000"/>
                <w:sz w:val="22"/>
                <w:szCs w:val="22"/>
              </w:rPr>
              <w:t xml:space="preserve">0.000 </w:t>
            </w:r>
          </w:p>
        </w:tc>
        <w:tc>
          <w:tcPr>
            <w:tcW w:w="1472" w:type="dxa"/>
            <w:gridSpan w:val="2"/>
            <w:tcBorders>
              <w:top w:val="nil"/>
              <w:left w:val="nil"/>
              <w:bottom w:val="single" w:sz="4" w:space="0" w:color="auto"/>
              <w:right w:val="single" w:sz="4" w:space="0" w:color="auto"/>
            </w:tcBorders>
            <w:shd w:val="clear" w:color="auto" w:fill="auto"/>
            <w:noWrap/>
            <w:vAlign w:val="bottom"/>
            <w:hideMark/>
          </w:tcPr>
          <w:p w14:paraId="474146EC" w14:textId="77777777" w:rsidR="00363C39" w:rsidRPr="00363C39" w:rsidRDefault="004A7A82" w:rsidP="00363C39">
            <w:pPr>
              <w:jc w:val="right"/>
              <w:rPr>
                <w:rFonts w:eastAsia="Times New Roman" w:cs="Arial"/>
                <w:color w:val="000000"/>
                <w:sz w:val="22"/>
                <w:szCs w:val="22"/>
              </w:rPr>
            </w:pPr>
            <w:r w:rsidRPr="00363C39">
              <w:rPr>
                <w:rFonts w:eastAsia="Times New Roman" w:cs="Arial"/>
                <w:color w:val="000000"/>
                <w:sz w:val="22"/>
                <w:szCs w:val="22"/>
              </w:rPr>
              <w:t xml:space="preserve">2.029 </w:t>
            </w:r>
          </w:p>
        </w:tc>
      </w:tr>
      <w:tr w:rsidR="00C92CD8" w14:paraId="6045E619"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0C9219" w14:textId="77777777" w:rsidR="00363C39" w:rsidRPr="00363C39" w:rsidRDefault="004A7A82" w:rsidP="00363C39">
            <w:pPr>
              <w:rPr>
                <w:rFonts w:eastAsia="Times New Roman" w:cs="Arial"/>
                <w:color w:val="000000"/>
                <w:sz w:val="22"/>
                <w:szCs w:val="22"/>
              </w:rPr>
            </w:pPr>
            <w:r w:rsidRPr="00363C39">
              <w:rPr>
                <w:rFonts w:eastAsia="Times New Roman" w:cs="Arial"/>
                <w:color w:val="000000"/>
                <w:sz w:val="22"/>
                <w:szCs w:val="22"/>
              </w:rPr>
              <w:t>Quality, Contracts and Safeguarding Adults</w:t>
            </w:r>
          </w:p>
        </w:tc>
        <w:tc>
          <w:tcPr>
            <w:tcW w:w="1223" w:type="dxa"/>
            <w:tcBorders>
              <w:top w:val="nil"/>
              <w:left w:val="nil"/>
              <w:bottom w:val="single" w:sz="4" w:space="0" w:color="auto"/>
              <w:right w:val="single" w:sz="4" w:space="0" w:color="auto"/>
            </w:tcBorders>
            <w:shd w:val="clear" w:color="auto" w:fill="auto"/>
            <w:noWrap/>
            <w:vAlign w:val="bottom"/>
            <w:hideMark/>
          </w:tcPr>
          <w:p w14:paraId="7D4D6F11" w14:textId="77777777" w:rsidR="00363C39" w:rsidRPr="00363C39" w:rsidRDefault="004A7A82" w:rsidP="00363C39">
            <w:pPr>
              <w:jc w:val="right"/>
              <w:rPr>
                <w:rFonts w:eastAsia="Times New Roman" w:cs="Arial"/>
                <w:color w:val="000000"/>
                <w:sz w:val="22"/>
                <w:szCs w:val="22"/>
              </w:rPr>
            </w:pPr>
            <w:r w:rsidRPr="00363C39">
              <w:rPr>
                <w:rFonts w:eastAsia="Times New Roman" w:cs="Arial"/>
                <w:color w:val="000000"/>
                <w:sz w:val="22"/>
                <w:szCs w:val="22"/>
              </w:rPr>
              <w:t xml:space="preserve">7.504 </w:t>
            </w:r>
          </w:p>
        </w:tc>
        <w:tc>
          <w:tcPr>
            <w:tcW w:w="1467" w:type="dxa"/>
            <w:tcBorders>
              <w:top w:val="nil"/>
              <w:left w:val="nil"/>
              <w:bottom w:val="single" w:sz="4" w:space="0" w:color="auto"/>
              <w:right w:val="single" w:sz="4" w:space="0" w:color="auto"/>
            </w:tcBorders>
            <w:shd w:val="clear" w:color="auto" w:fill="auto"/>
            <w:noWrap/>
            <w:vAlign w:val="bottom"/>
            <w:hideMark/>
          </w:tcPr>
          <w:p w14:paraId="1EAAE2E7" w14:textId="77777777" w:rsidR="00363C39" w:rsidRPr="00363C39" w:rsidRDefault="004A7A82" w:rsidP="00363C39">
            <w:pPr>
              <w:jc w:val="right"/>
              <w:rPr>
                <w:rFonts w:eastAsia="Times New Roman" w:cs="Arial"/>
                <w:color w:val="000000"/>
                <w:sz w:val="22"/>
                <w:szCs w:val="22"/>
              </w:rPr>
            </w:pPr>
            <w:r w:rsidRPr="00363C39">
              <w:rPr>
                <w:rFonts w:eastAsia="Times New Roman" w:cs="Arial"/>
                <w:color w:val="000000"/>
                <w:sz w:val="22"/>
                <w:szCs w:val="22"/>
              </w:rPr>
              <w:t xml:space="preserve">0.000 </w:t>
            </w:r>
          </w:p>
        </w:tc>
        <w:tc>
          <w:tcPr>
            <w:tcW w:w="1472" w:type="dxa"/>
            <w:gridSpan w:val="2"/>
            <w:tcBorders>
              <w:top w:val="nil"/>
              <w:left w:val="nil"/>
              <w:bottom w:val="single" w:sz="4" w:space="0" w:color="auto"/>
              <w:right w:val="single" w:sz="4" w:space="0" w:color="auto"/>
            </w:tcBorders>
            <w:shd w:val="clear" w:color="auto" w:fill="auto"/>
            <w:noWrap/>
            <w:vAlign w:val="bottom"/>
            <w:hideMark/>
          </w:tcPr>
          <w:p w14:paraId="1CCF859F" w14:textId="77777777" w:rsidR="00363C39" w:rsidRPr="00363C39" w:rsidRDefault="004A7A82" w:rsidP="00363C39">
            <w:pPr>
              <w:jc w:val="right"/>
              <w:rPr>
                <w:rFonts w:eastAsia="Times New Roman" w:cs="Arial"/>
                <w:color w:val="000000"/>
                <w:sz w:val="22"/>
                <w:szCs w:val="22"/>
              </w:rPr>
            </w:pPr>
            <w:r w:rsidRPr="00363C39">
              <w:rPr>
                <w:rFonts w:eastAsia="Times New Roman" w:cs="Arial"/>
                <w:color w:val="000000"/>
                <w:sz w:val="22"/>
                <w:szCs w:val="22"/>
              </w:rPr>
              <w:t xml:space="preserve">7.504 </w:t>
            </w:r>
          </w:p>
        </w:tc>
      </w:tr>
      <w:tr w:rsidR="00C92CD8" w14:paraId="6DBB1EF3"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9935E7" w14:textId="77777777" w:rsidR="00363C39" w:rsidRPr="00363C39" w:rsidRDefault="004A7A82" w:rsidP="00363C39">
            <w:pPr>
              <w:rPr>
                <w:rFonts w:eastAsia="Times New Roman" w:cs="Arial"/>
                <w:color w:val="000000"/>
                <w:sz w:val="22"/>
                <w:szCs w:val="22"/>
              </w:rPr>
            </w:pPr>
            <w:r w:rsidRPr="00363C39">
              <w:rPr>
                <w:rFonts w:eastAsia="Times New Roman" w:cs="Arial"/>
                <w:color w:val="000000"/>
                <w:sz w:val="22"/>
                <w:szCs w:val="22"/>
              </w:rPr>
              <w:t>Strategic and Integrated Commissioning</w:t>
            </w:r>
          </w:p>
        </w:tc>
        <w:tc>
          <w:tcPr>
            <w:tcW w:w="1223" w:type="dxa"/>
            <w:tcBorders>
              <w:top w:val="nil"/>
              <w:left w:val="nil"/>
              <w:bottom w:val="single" w:sz="4" w:space="0" w:color="auto"/>
              <w:right w:val="single" w:sz="4" w:space="0" w:color="auto"/>
            </w:tcBorders>
            <w:shd w:val="clear" w:color="auto" w:fill="auto"/>
            <w:noWrap/>
            <w:vAlign w:val="bottom"/>
            <w:hideMark/>
          </w:tcPr>
          <w:p w14:paraId="34B5E38B" w14:textId="77777777" w:rsidR="00363C39" w:rsidRPr="00363C39" w:rsidRDefault="004A7A82" w:rsidP="00363C39">
            <w:pPr>
              <w:jc w:val="right"/>
              <w:rPr>
                <w:rFonts w:eastAsia="Times New Roman" w:cs="Arial"/>
                <w:color w:val="000000"/>
                <w:sz w:val="22"/>
                <w:szCs w:val="22"/>
              </w:rPr>
            </w:pPr>
            <w:r w:rsidRPr="00363C39">
              <w:rPr>
                <w:rFonts w:eastAsia="Times New Roman" w:cs="Arial"/>
                <w:color w:val="000000"/>
                <w:sz w:val="22"/>
                <w:szCs w:val="22"/>
              </w:rPr>
              <w:t xml:space="preserve">7.128 </w:t>
            </w:r>
          </w:p>
        </w:tc>
        <w:tc>
          <w:tcPr>
            <w:tcW w:w="1467" w:type="dxa"/>
            <w:tcBorders>
              <w:top w:val="nil"/>
              <w:left w:val="nil"/>
              <w:bottom w:val="single" w:sz="4" w:space="0" w:color="auto"/>
              <w:right w:val="single" w:sz="4" w:space="0" w:color="auto"/>
            </w:tcBorders>
            <w:shd w:val="clear" w:color="auto" w:fill="auto"/>
            <w:noWrap/>
            <w:vAlign w:val="bottom"/>
            <w:hideMark/>
          </w:tcPr>
          <w:p w14:paraId="40E71274" w14:textId="77777777" w:rsidR="00363C39" w:rsidRPr="00363C39" w:rsidRDefault="004A7A82" w:rsidP="00363C39">
            <w:pPr>
              <w:jc w:val="right"/>
              <w:rPr>
                <w:rFonts w:eastAsia="Times New Roman" w:cs="Arial"/>
                <w:color w:val="000000"/>
                <w:sz w:val="22"/>
                <w:szCs w:val="22"/>
              </w:rPr>
            </w:pPr>
            <w:r w:rsidRPr="00363C39">
              <w:rPr>
                <w:rFonts w:eastAsia="Times New Roman" w:cs="Arial"/>
                <w:color w:val="000000"/>
                <w:sz w:val="22"/>
                <w:szCs w:val="22"/>
              </w:rPr>
              <w:t xml:space="preserve">-1.932 </w:t>
            </w:r>
          </w:p>
        </w:tc>
        <w:tc>
          <w:tcPr>
            <w:tcW w:w="1472" w:type="dxa"/>
            <w:gridSpan w:val="2"/>
            <w:tcBorders>
              <w:top w:val="nil"/>
              <w:left w:val="nil"/>
              <w:bottom w:val="single" w:sz="4" w:space="0" w:color="auto"/>
              <w:right w:val="single" w:sz="4" w:space="0" w:color="auto"/>
            </w:tcBorders>
            <w:shd w:val="clear" w:color="auto" w:fill="auto"/>
            <w:noWrap/>
            <w:vAlign w:val="bottom"/>
            <w:hideMark/>
          </w:tcPr>
          <w:p w14:paraId="7BBBC680" w14:textId="77777777" w:rsidR="00363C39" w:rsidRPr="00363C39" w:rsidRDefault="004A7A82" w:rsidP="00363C39">
            <w:pPr>
              <w:jc w:val="right"/>
              <w:rPr>
                <w:rFonts w:eastAsia="Times New Roman" w:cs="Arial"/>
                <w:color w:val="000000"/>
                <w:sz w:val="22"/>
                <w:szCs w:val="22"/>
              </w:rPr>
            </w:pPr>
            <w:r w:rsidRPr="00363C39">
              <w:rPr>
                <w:rFonts w:eastAsia="Times New Roman" w:cs="Arial"/>
                <w:color w:val="000000"/>
                <w:sz w:val="22"/>
                <w:szCs w:val="22"/>
              </w:rPr>
              <w:t xml:space="preserve">5.196 </w:t>
            </w:r>
          </w:p>
        </w:tc>
      </w:tr>
      <w:tr w:rsidR="00C92CD8" w14:paraId="7D8C5027"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tcPr>
          <w:p w14:paraId="260AE7B9" w14:textId="095A8901" w:rsidR="004617CC" w:rsidRPr="00A93585" w:rsidRDefault="004A7A82" w:rsidP="004617CC">
            <w:pPr>
              <w:jc w:val="right"/>
              <w:rPr>
                <w:rFonts w:eastAsia="Times New Roman" w:cs="Arial"/>
                <w:b/>
                <w:bCs/>
                <w:color w:val="000000"/>
                <w:sz w:val="22"/>
                <w:szCs w:val="22"/>
              </w:rPr>
            </w:pPr>
            <w:r w:rsidRPr="00A93585">
              <w:rPr>
                <w:rFonts w:eastAsia="Times New Roman" w:cs="Arial"/>
                <w:b/>
                <w:bCs/>
                <w:color w:val="000000"/>
                <w:sz w:val="22"/>
                <w:szCs w:val="22"/>
              </w:rPr>
              <w:t>Adult Services Total</w:t>
            </w:r>
          </w:p>
        </w:tc>
        <w:tc>
          <w:tcPr>
            <w:tcW w:w="1223" w:type="dxa"/>
            <w:tcBorders>
              <w:top w:val="nil"/>
              <w:left w:val="nil"/>
              <w:bottom w:val="single" w:sz="8" w:space="0" w:color="auto"/>
              <w:right w:val="single" w:sz="8" w:space="0" w:color="auto"/>
            </w:tcBorders>
            <w:shd w:val="clear" w:color="auto" w:fill="auto"/>
            <w:noWrap/>
            <w:vAlign w:val="center"/>
          </w:tcPr>
          <w:p w14:paraId="0B686BB1" w14:textId="6B06BC7C" w:rsidR="004617CC" w:rsidRPr="00A93585" w:rsidRDefault="004A7A82" w:rsidP="004617CC">
            <w:pPr>
              <w:jc w:val="right"/>
              <w:rPr>
                <w:rFonts w:eastAsia="Times New Roman" w:cs="Arial"/>
                <w:b/>
                <w:bCs/>
                <w:color w:val="000000"/>
                <w:sz w:val="22"/>
                <w:szCs w:val="22"/>
              </w:rPr>
            </w:pPr>
            <w:r w:rsidRPr="00A93585">
              <w:rPr>
                <w:rFonts w:cs="Arial"/>
                <w:b/>
                <w:bCs/>
                <w:color w:val="000000"/>
                <w:sz w:val="22"/>
                <w:szCs w:val="22"/>
              </w:rPr>
              <w:t>82</w:t>
            </w:r>
            <w:r w:rsidR="005B28AD" w:rsidRPr="00A93585">
              <w:rPr>
                <w:rFonts w:cs="Arial"/>
                <w:b/>
                <w:bCs/>
                <w:color w:val="000000"/>
                <w:sz w:val="22"/>
                <w:szCs w:val="22"/>
              </w:rPr>
              <w:t>7.997</w:t>
            </w:r>
          </w:p>
        </w:tc>
        <w:tc>
          <w:tcPr>
            <w:tcW w:w="1467" w:type="dxa"/>
            <w:tcBorders>
              <w:top w:val="nil"/>
              <w:left w:val="nil"/>
              <w:bottom w:val="single" w:sz="8" w:space="0" w:color="auto"/>
              <w:right w:val="single" w:sz="8" w:space="0" w:color="auto"/>
            </w:tcBorders>
            <w:shd w:val="clear" w:color="auto" w:fill="auto"/>
            <w:noWrap/>
            <w:vAlign w:val="center"/>
          </w:tcPr>
          <w:p w14:paraId="3FF823B7" w14:textId="479ECB7E" w:rsidR="004617CC" w:rsidRPr="00A93585" w:rsidRDefault="004A7A82" w:rsidP="004617CC">
            <w:pPr>
              <w:jc w:val="right"/>
              <w:rPr>
                <w:rFonts w:eastAsia="Times New Roman" w:cs="Arial"/>
                <w:b/>
                <w:bCs/>
                <w:color w:val="000000"/>
                <w:sz w:val="22"/>
                <w:szCs w:val="22"/>
              </w:rPr>
            </w:pPr>
            <w:r w:rsidRPr="00A93585">
              <w:rPr>
                <w:rFonts w:cs="Arial"/>
                <w:b/>
                <w:bCs/>
                <w:color w:val="000000"/>
                <w:sz w:val="22"/>
                <w:szCs w:val="22"/>
              </w:rPr>
              <w:t>-356.773</w:t>
            </w:r>
          </w:p>
        </w:tc>
        <w:tc>
          <w:tcPr>
            <w:tcW w:w="1472" w:type="dxa"/>
            <w:gridSpan w:val="2"/>
            <w:tcBorders>
              <w:top w:val="nil"/>
              <w:left w:val="nil"/>
              <w:bottom w:val="single" w:sz="8" w:space="0" w:color="auto"/>
              <w:right w:val="single" w:sz="8" w:space="0" w:color="auto"/>
            </w:tcBorders>
            <w:shd w:val="clear" w:color="auto" w:fill="auto"/>
            <w:noWrap/>
            <w:vAlign w:val="center"/>
          </w:tcPr>
          <w:p w14:paraId="2D7F0916" w14:textId="3FF5F182" w:rsidR="004617CC" w:rsidRPr="00A93585" w:rsidRDefault="004A7A82" w:rsidP="004617CC">
            <w:pPr>
              <w:jc w:val="right"/>
              <w:rPr>
                <w:rFonts w:eastAsia="Times New Roman" w:cs="Arial"/>
                <w:b/>
                <w:bCs/>
                <w:color w:val="000000"/>
                <w:sz w:val="22"/>
                <w:szCs w:val="22"/>
              </w:rPr>
            </w:pPr>
            <w:r w:rsidRPr="00A93585">
              <w:rPr>
                <w:rFonts w:cs="Arial"/>
                <w:b/>
                <w:bCs/>
                <w:color w:val="000000"/>
                <w:sz w:val="22"/>
                <w:szCs w:val="22"/>
              </w:rPr>
              <w:t>471.225</w:t>
            </w:r>
          </w:p>
        </w:tc>
      </w:tr>
      <w:tr w:rsidR="00C92CD8" w14:paraId="780F66FE"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tcPr>
          <w:p w14:paraId="32AF0D65" w14:textId="77777777" w:rsidR="004617CC" w:rsidRPr="00A93585" w:rsidRDefault="004617CC" w:rsidP="004617CC">
            <w:pPr>
              <w:rPr>
                <w:rFonts w:eastAsia="Times New Roman" w:cs="Arial"/>
                <w:color w:val="000000"/>
                <w:sz w:val="22"/>
                <w:szCs w:val="22"/>
              </w:rPr>
            </w:pPr>
          </w:p>
        </w:tc>
        <w:tc>
          <w:tcPr>
            <w:tcW w:w="1223" w:type="dxa"/>
            <w:tcBorders>
              <w:top w:val="nil"/>
              <w:left w:val="nil"/>
              <w:bottom w:val="single" w:sz="4" w:space="0" w:color="auto"/>
              <w:right w:val="single" w:sz="4" w:space="0" w:color="auto"/>
            </w:tcBorders>
            <w:shd w:val="clear" w:color="auto" w:fill="auto"/>
            <w:noWrap/>
            <w:vAlign w:val="bottom"/>
          </w:tcPr>
          <w:p w14:paraId="00A1BD07" w14:textId="77777777" w:rsidR="004617CC" w:rsidRPr="00A93585" w:rsidRDefault="004617CC" w:rsidP="004617CC">
            <w:pPr>
              <w:jc w:val="right"/>
              <w:rPr>
                <w:rFonts w:eastAsia="Times New Roman" w:cs="Arial"/>
                <w:color w:val="000000"/>
                <w:sz w:val="22"/>
                <w:szCs w:val="22"/>
              </w:rPr>
            </w:pPr>
          </w:p>
        </w:tc>
        <w:tc>
          <w:tcPr>
            <w:tcW w:w="1467" w:type="dxa"/>
            <w:tcBorders>
              <w:top w:val="nil"/>
              <w:left w:val="nil"/>
              <w:bottom w:val="single" w:sz="4" w:space="0" w:color="auto"/>
              <w:right w:val="single" w:sz="4" w:space="0" w:color="auto"/>
            </w:tcBorders>
            <w:shd w:val="clear" w:color="auto" w:fill="auto"/>
            <w:noWrap/>
            <w:vAlign w:val="bottom"/>
          </w:tcPr>
          <w:p w14:paraId="57DD6725" w14:textId="77777777" w:rsidR="004617CC" w:rsidRPr="00A93585" w:rsidRDefault="004617CC" w:rsidP="004617CC">
            <w:pPr>
              <w:jc w:val="right"/>
              <w:rPr>
                <w:rFonts w:eastAsia="Times New Roman" w:cs="Arial"/>
                <w:color w:val="000000"/>
                <w:sz w:val="22"/>
                <w:szCs w:val="22"/>
              </w:rPr>
            </w:pPr>
          </w:p>
        </w:tc>
        <w:tc>
          <w:tcPr>
            <w:tcW w:w="1472" w:type="dxa"/>
            <w:gridSpan w:val="2"/>
            <w:tcBorders>
              <w:top w:val="nil"/>
              <w:left w:val="nil"/>
              <w:bottom w:val="single" w:sz="4" w:space="0" w:color="auto"/>
              <w:right w:val="single" w:sz="4" w:space="0" w:color="auto"/>
            </w:tcBorders>
            <w:shd w:val="clear" w:color="auto" w:fill="auto"/>
            <w:noWrap/>
            <w:vAlign w:val="bottom"/>
          </w:tcPr>
          <w:p w14:paraId="63CAD9B8" w14:textId="77777777" w:rsidR="004617CC" w:rsidRPr="00A93585" w:rsidRDefault="004617CC" w:rsidP="004617CC">
            <w:pPr>
              <w:jc w:val="right"/>
              <w:rPr>
                <w:rFonts w:eastAsia="Times New Roman" w:cs="Arial"/>
                <w:color w:val="000000"/>
                <w:sz w:val="22"/>
                <w:szCs w:val="22"/>
              </w:rPr>
            </w:pPr>
          </w:p>
        </w:tc>
      </w:tr>
      <w:tr w:rsidR="00C92CD8" w14:paraId="17DC09F2"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tcPr>
          <w:p w14:paraId="47CD1A6F" w14:textId="42AE01FB" w:rsidR="004617CC" w:rsidRPr="00A93585" w:rsidRDefault="004A7A82" w:rsidP="004617CC">
            <w:pPr>
              <w:rPr>
                <w:rFonts w:eastAsia="Times New Roman" w:cs="Arial"/>
                <w:b/>
                <w:bCs/>
                <w:color w:val="000000"/>
                <w:sz w:val="22"/>
                <w:szCs w:val="22"/>
              </w:rPr>
            </w:pPr>
            <w:r w:rsidRPr="00A93585">
              <w:rPr>
                <w:rFonts w:eastAsia="Times New Roman" w:cs="Arial"/>
                <w:b/>
                <w:bCs/>
                <w:color w:val="000000"/>
                <w:sz w:val="22"/>
                <w:szCs w:val="22"/>
              </w:rPr>
              <w:t>Education and Children's Services</w:t>
            </w:r>
          </w:p>
        </w:tc>
        <w:tc>
          <w:tcPr>
            <w:tcW w:w="1223" w:type="dxa"/>
            <w:tcBorders>
              <w:top w:val="nil"/>
              <w:left w:val="nil"/>
              <w:bottom w:val="single" w:sz="4" w:space="0" w:color="auto"/>
              <w:right w:val="single" w:sz="4" w:space="0" w:color="auto"/>
            </w:tcBorders>
            <w:shd w:val="clear" w:color="auto" w:fill="auto"/>
            <w:noWrap/>
            <w:vAlign w:val="bottom"/>
          </w:tcPr>
          <w:p w14:paraId="227BF6DB" w14:textId="77777777" w:rsidR="004617CC" w:rsidRPr="00A93585" w:rsidRDefault="004617CC" w:rsidP="004617CC">
            <w:pPr>
              <w:jc w:val="right"/>
              <w:rPr>
                <w:rFonts w:eastAsia="Times New Roman" w:cs="Arial"/>
                <w:color w:val="000000"/>
                <w:sz w:val="22"/>
                <w:szCs w:val="22"/>
              </w:rPr>
            </w:pPr>
          </w:p>
        </w:tc>
        <w:tc>
          <w:tcPr>
            <w:tcW w:w="1467" w:type="dxa"/>
            <w:tcBorders>
              <w:top w:val="nil"/>
              <w:left w:val="nil"/>
              <w:bottom w:val="single" w:sz="4" w:space="0" w:color="auto"/>
              <w:right w:val="single" w:sz="4" w:space="0" w:color="auto"/>
            </w:tcBorders>
            <w:shd w:val="clear" w:color="auto" w:fill="auto"/>
            <w:noWrap/>
            <w:vAlign w:val="bottom"/>
          </w:tcPr>
          <w:p w14:paraId="08BA03EE" w14:textId="77777777" w:rsidR="004617CC" w:rsidRPr="00A93585" w:rsidRDefault="004617CC" w:rsidP="004617CC">
            <w:pPr>
              <w:jc w:val="right"/>
              <w:rPr>
                <w:rFonts w:eastAsia="Times New Roman" w:cs="Arial"/>
                <w:color w:val="000000"/>
                <w:sz w:val="22"/>
                <w:szCs w:val="22"/>
              </w:rPr>
            </w:pPr>
          </w:p>
        </w:tc>
        <w:tc>
          <w:tcPr>
            <w:tcW w:w="1472" w:type="dxa"/>
            <w:gridSpan w:val="2"/>
            <w:tcBorders>
              <w:top w:val="nil"/>
              <w:left w:val="nil"/>
              <w:bottom w:val="single" w:sz="4" w:space="0" w:color="auto"/>
              <w:right w:val="single" w:sz="4" w:space="0" w:color="auto"/>
            </w:tcBorders>
            <w:shd w:val="clear" w:color="auto" w:fill="auto"/>
            <w:noWrap/>
            <w:vAlign w:val="bottom"/>
          </w:tcPr>
          <w:p w14:paraId="6335892A" w14:textId="77777777" w:rsidR="004617CC" w:rsidRPr="00A93585" w:rsidRDefault="004617CC" w:rsidP="004617CC">
            <w:pPr>
              <w:jc w:val="right"/>
              <w:rPr>
                <w:rFonts w:eastAsia="Times New Roman" w:cs="Arial"/>
                <w:color w:val="000000"/>
                <w:sz w:val="22"/>
                <w:szCs w:val="22"/>
              </w:rPr>
            </w:pPr>
          </w:p>
        </w:tc>
      </w:tr>
      <w:tr w:rsidR="00C92CD8" w14:paraId="05BE0D20"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64B4BB" w14:textId="77777777" w:rsidR="004617CC" w:rsidRPr="00363C39" w:rsidRDefault="004A7A82" w:rsidP="004617CC">
            <w:pPr>
              <w:rPr>
                <w:rFonts w:eastAsia="Times New Roman" w:cs="Arial"/>
                <w:color w:val="000000"/>
                <w:sz w:val="22"/>
                <w:szCs w:val="22"/>
              </w:rPr>
            </w:pPr>
            <w:r w:rsidRPr="00363C39">
              <w:rPr>
                <w:rFonts w:eastAsia="Times New Roman" w:cs="Arial"/>
                <w:color w:val="000000"/>
                <w:sz w:val="22"/>
                <w:szCs w:val="22"/>
              </w:rPr>
              <w:t>Children's Social Care</w:t>
            </w:r>
          </w:p>
        </w:tc>
        <w:tc>
          <w:tcPr>
            <w:tcW w:w="1223" w:type="dxa"/>
            <w:tcBorders>
              <w:top w:val="nil"/>
              <w:left w:val="nil"/>
              <w:bottom w:val="single" w:sz="4" w:space="0" w:color="auto"/>
              <w:right w:val="single" w:sz="4" w:space="0" w:color="auto"/>
            </w:tcBorders>
            <w:shd w:val="clear" w:color="auto" w:fill="auto"/>
            <w:noWrap/>
            <w:vAlign w:val="bottom"/>
            <w:hideMark/>
          </w:tcPr>
          <w:p w14:paraId="55765AED" w14:textId="77777777" w:rsidR="004617CC" w:rsidRPr="00363C39" w:rsidRDefault="004A7A82" w:rsidP="004617CC">
            <w:pPr>
              <w:jc w:val="right"/>
              <w:rPr>
                <w:rFonts w:eastAsia="Times New Roman" w:cs="Arial"/>
                <w:color w:val="000000"/>
                <w:sz w:val="22"/>
                <w:szCs w:val="22"/>
              </w:rPr>
            </w:pPr>
            <w:r w:rsidRPr="00363C39">
              <w:rPr>
                <w:rFonts w:eastAsia="Times New Roman" w:cs="Arial"/>
                <w:color w:val="000000"/>
                <w:sz w:val="22"/>
                <w:szCs w:val="22"/>
              </w:rPr>
              <w:t xml:space="preserve">211.424 </w:t>
            </w:r>
          </w:p>
        </w:tc>
        <w:tc>
          <w:tcPr>
            <w:tcW w:w="1467" w:type="dxa"/>
            <w:tcBorders>
              <w:top w:val="nil"/>
              <w:left w:val="nil"/>
              <w:bottom w:val="single" w:sz="4" w:space="0" w:color="auto"/>
              <w:right w:val="single" w:sz="4" w:space="0" w:color="auto"/>
            </w:tcBorders>
            <w:shd w:val="clear" w:color="auto" w:fill="auto"/>
            <w:noWrap/>
            <w:vAlign w:val="bottom"/>
            <w:hideMark/>
          </w:tcPr>
          <w:p w14:paraId="388B0CA4" w14:textId="77777777" w:rsidR="004617CC" w:rsidRPr="00363C39" w:rsidRDefault="004A7A82" w:rsidP="004617CC">
            <w:pPr>
              <w:jc w:val="right"/>
              <w:rPr>
                <w:rFonts w:eastAsia="Times New Roman" w:cs="Arial"/>
                <w:color w:val="000000"/>
                <w:sz w:val="22"/>
                <w:szCs w:val="22"/>
              </w:rPr>
            </w:pPr>
            <w:r w:rsidRPr="00363C39">
              <w:rPr>
                <w:rFonts w:eastAsia="Times New Roman" w:cs="Arial"/>
                <w:color w:val="000000"/>
                <w:sz w:val="22"/>
                <w:szCs w:val="22"/>
              </w:rPr>
              <w:t xml:space="preserve">-8.050 </w:t>
            </w:r>
          </w:p>
        </w:tc>
        <w:tc>
          <w:tcPr>
            <w:tcW w:w="1472" w:type="dxa"/>
            <w:gridSpan w:val="2"/>
            <w:tcBorders>
              <w:top w:val="nil"/>
              <w:left w:val="nil"/>
              <w:bottom w:val="single" w:sz="4" w:space="0" w:color="auto"/>
              <w:right w:val="single" w:sz="4" w:space="0" w:color="auto"/>
            </w:tcBorders>
            <w:shd w:val="clear" w:color="auto" w:fill="auto"/>
            <w:noWrap/>
            <w:vAlign w:val="bottom"/>
            <w:hideMark/>
          </w:tcPr>
          <w:p w14:paraId="4970C18D" w14:textId="77777777" w:rsidR="004617CC" w:rsidRPr="00363C39" w:rsidRDefault="004A7A82" w:rsidP="004617CC">
            <w:pPr>
              <w:jc w:val="right"/>
              <w:rPr>
                <w:rFonts w:eastAsia="Times New Roman" w:cs="Arial"/>
                <w:color w:val="000000"/>
                <w:sz w:val="22"/>
                <w:szCs w:val="22"/>
              </w:rPr>
            </w:pPr>
            <w:r w:rsidRPr="00363C39">
              <w:rPr>
                <w:rFonts w:eastAsia="Times New Roman" w:cs="Arial"/>
                <w:color w:val="000000"/>
                <w:sz w:val="22"/>
                <w:szCs w:val="22"/>
              </w:rPr>
              <w:t xml:space="preserve">203.374 </w:t>
            </w:r>
          </w:p>
        </w:tc>
      </w:tr>
      <w:tr w:rsidR="00C92CD8" w14:paraId="6891D37A"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0A425D" w14:textId="77777777" w:rsidR="004617CC" w:rsidRPr="00363C39" w:rsidRDefault="004A7A82" w:rsidP="004617CC">
            <w:pPr>
              <w:rPr>
                <w:rFonts w:eastAsia="Times New Roman" w:cs="Arial"/>
                <w:color w:val="000000"/>
                <w:sz w:val="22"/>
                <w:szCs w:val="22"/>
              </w:rPr>
            </w:pPr>
            <w:r w:rsidRPr="00363C39">
              <w:rPr>
                <w:rFonts w:eastAsia="Times New Roman" w:cs="Arial"/>
                <w:color w:val="000000"/>
                <w:sz w:val="22"/>
                <w:szCs w:val="22"/>
              </w:rPr>
              <w:t>Education, Culture and Skills</w:t>
            </w:r>
          </w:p>
        </w:tc>
        <w:tc>
          <w:tcPr>
            <w:tcW w:w="1223" w:type="dxa"/>
            <w:tcBorders>
              <w:top w:val="nil"/>
              <w:left w:val="nil"/>
              <w:bottom w:val="single" w:sz="4" w:space="0" w:color="auto"/>
              <w:right w:val="single" w:sz="4" w:space="0" w:color="auto"/>
            </w:tcBorders>
            <w:shd w:val="clear" w:color="auto" w:fill="auto"/>
            <w:noWrap/>
            <w:vAlign w:val="bottom"/>
            <w:hideMark/>
          </w:tcPr>
          <w:p w14:paraId="0FA0DD67" w14:textId="77777777" w:rsidR="004617CC" w:rsidRPr="00363C39" w:rsidRDefault="004A7A82" w:rsidP="004617CC">
            <w:pPr>
              <w:jc w:val="right"/>
              <w:rPr>
                <w:rFonts w:eastAsia="Times New Roman" w:cs="Arial"/>
                <w:color w:val="000000"/>
                <w:sz w:val="22"/>
                <w:szCs w:val="22"/>
              </w:rPr>
            </w:pPr>
            <w:r w:rsidRPr="00363C39">
              <w:rPr>
                <w:rFonts w:eastAsia="Times New Roman" w:cs="Arial"/>
                <w:color w:val="000000"/>
                <w:sz w:val="22"/>
                <w:szCs w:val="22"/>
              </w:rPr>
              <w:t xml:space="preserve">83.919 </w:t>
            </w:r>
          </w:p>
        </w:tc>
        <w:tc>
          <w:tcPr>
            <w:tcW w:w="1467" w:type="dxa"/>
            <w:tcBorders>
              <w:top w:val="nil"/>
              <w:left w:val="nil"/>
              <w:bottom w:val="single" w:sz="4" w:space="0" w:color="auto"/>
              <w:right w:val="single" w:sz="4" w:space="0" w:color="auto"/>
            </w:tcBorders>
            <w:shd w:val="clear" w:color="auto" w:fill="auto"/>
            <w:noWrap/>
            <w:vAlign w:val="bottom"/>
            <w:hideMark/>
          </w:tcPr>
          <w:p w14:paraId="295A764F" w14:textId="77777777" w:rsidR="004617CC" w:rsidRPr="00363C39" w:rsidRDefault="004A7A82" w:rsidP="004617CC">
            <w:pPr>
              <w:jc w:val="right"/>
              <w:rPr>
                <w:rFonts w:eastAsia="Times New Roman" w:cs="Arial"/>
                <w:color w:val="000000"/>
                <w:sz w:val="22"/>
                <w:szCs w:val="22"/>
              </w:rPr>
            </w:pPr>
            <w:r w:rsidRPr="00363C39">
              <w:rPr>
                <w:rFonts w:eastAsia="Times New Roman" w:cs="Arial"/>
                <w:color w:val="000000"/>
                <w:sz w:val="22"/>
                <w:szCs w:val="22"/>
              </w:rPr>
              <w:t xml:space="preserve">-34.682 </w:t>
            </w:r>
          </w:p>
        </w:tc>
        <w:tc>
          <w:tcPr>
            <w:tcW w:w="1472" w:type="dxa"/>
            <w:gridSpan w:val="2"/>
            <w:tcBorders>
              <w:top w:val="nil"/>
              <w:left w:val="nil"/>
              <w:bottom w:val="single" w:sz="4" w:space="0" w:color="auto"/>
              <w:right w:val="single" w:sz="4" w:space="0" w:color="auto"/>
            </w:tcBorders>
            <w:shd w:val="clear" w:color="auto" w:fill="auto"/>
            <w:noWrap/>
            <w:vAlign w:val="bottom"/>
            <w:hideMark/>
          </w:tcPr>
          <w:p w14:paraId="0E798FE4" w14:textId="77777777" w:rsidR="004617CC" w:rsidRPr="00363C39" w:rsidRDefault="004A7A82" w:rsidP="004617CC">
            <w:pPr>
              <w:jc w:val="right"/>
              <w:rPr>
                <w:rFonts w:eastAsia="Times New Roman" w:cs="Arial"/>
                <w:color w:val="000000"/>
                <w:sz w:val="22"/>
                <w:szCs w:val="22"/>
              </w:rPr>
            </w:pPr>
            <w:r w:rsidRPr="00363C39">
              <w:rPr>
                <w:rFonts w:eastAsia="Times New Roman" w:cs="Arial"/>
                <w:color w:val="000000"/>
                <w:sz w:val="22"/>
                <w:szCs w:val="22"/>
              </w:rPr>
              <w:t xml:space="preserve">49.236 </w:t>
            </w:r>
          </w:p>
        </w:tc>
      </w:tr>
      <w:tr w:rsidR="00C92CD8" w14:paraId="06A99682"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6ACB42" w14:textId="77777777" w:rsidR="004617CC" w:rsidRPr="00363C39" w:rsidRDefault="004A7A82" w:rsidP="004617CC">
            <w:pPr>
              <w:rPr>
                <w:rFonts w:eastAsia="Times New Roman" w:cs="Arial"/>
                <w:color w:val="000000"/>
                <w:sz w:val="22"/>
                <w:szCs w:val="22"/>
              </w:rPr>
            </w:pPr>
            <w:r w:rsidRPr="00363C39">
              <w:rPr>
                <w:rFonts w:eastAsia="Times New Roman" w:cs="Arial"/>
                <w:color w:val="000000"/>
                <w:sz w:val="22"/>
                <w:szCs w:val="22"/>
              </w:rPr>
              <w:t>Education and Children's Services</w:t>
            </w:r>
          </w:p>
        </w:tc>
        <w:tc>
          <w:tcPr>
            <w:tcW w:w="1223" w:type="dxa"/>
            <w:tcBorders>
              <w:top w:val="nil"/>
              <w:left w:val="nil"/>
              <w:bottom w:val="single" w:sz="4" w:space="0" w:color="auto"/>
              <w:right w:val="single" w:sz="4" w:space="0" w:color="auto"/>
            </w:tcBorders>
            <w:shd w:val="clear" w:color="auto" w:fill="auto"/>
            <w:noWrap/>
            <w:vAlign w:val="bottom"/>
            <w:hideMark/>
          </w:tcPr>
          <w:p w14:paraId="450477F2" w14:textId="77777777" w:rsidR="004617CC" w:rsidRPr="00363C39" w:rsidRDefault="004A7A82" w:rsidP="004617CC">
            <w:pPr>
              <w:jc w:val="right"/>
              <w:rPr>
                <w:rFonts w:eastAsia="Times New Roman" w:cs="Arial"/>
                <w:color w:val="000000"/>
                <w:sz w:val="22"/>
                <w:szCs w:val="22"/>
              </w:rPr>
            </w:pPr>
            <w:r w:rsidRPr="00363C39">
              <w:rPr>
                <w:rFonts w:eastAsia="Times New Roman" w:cs="Arial"/>
                <w:color w:val="000000"/>
                <w:sz w:val="22"/>
                <w:szCs w:val="22"/>
              </w:rPr>
              <w:t xml:space="preserve">19.929 </w:t>
            </w:r>
          </w:p>
        </w:tc>
        <w:tc>
          <w:tcPr>
            <w:tcW w:w="1467" w:type="dxa"/>
            <w:tcBorders>
              <w:top w:val="nil"/>
              <w:left w:val="nil"/>
              <w:bottom w:val="single" w:sz="4" w:space="0" w:color="auto"/>
              <w:right w:val="single" w:sz="4" w:space="0" w:color="auto"/>
            </w:tcBorders>
            <w:shd w:val="clear" w:color="auto" w:fill="auto"/>
            <w:noWrap/>
            <w:vAlign w:val="bottom"/>
            <w:hideMark/>
          </w:tcPr>
          <w:p w14:paraId="577A5801" w14:textId="77777777" w:rsidR="004617CC" w:rsidRPr="00363C39" w:rsidRDefault="004A7A82" w:rsidP="004617CC">
            <w:pPr>
              <w:jc w:val="right"/>
              <w:rPr>
                <w:rFonts w:eastAsia="Times New Roman" w:cs="Arial"/>
                <w:color w:val="000000"/>
                <w:sz w:val="22"/>
                <w:szCs w:val="22"/>
              </w:rPr>
            </w:pPr>
            <w:r w:rsidRPr="00363C39">
              <w:rPr>
                <w:rFonts w:eastAsia="Times New Roman" w:cs="Arial"/>
                <w:color w:val="000000"/>
                <w:sz w:val="22"/>
                <w:szCs w:val="22"/>
              </w:rPr>
              <w:t xml:space="preserve">-8.275 </w:t>
            </w:r>
          </w:p>
        </w:tc>
        <w:tc>
          <w:tcPr>
            <w:tcW w:w="1472" w:type="dxa"/>
            <w:gridSpan w:val="2"/>
            <w:tcBorders>
              <w:top w:val="nil"/>
              <w:left w:val="nil"/>
              <w:bottom w:val="single" w:sz="4" w:space="0" w:color="auto"/>
              <w:right w:val="single" w:sz="4" w:space="0" w:color="auto"/>
            </w:tcBorders>
            <w:shd w:val="clear" w:color="auto" w:fill="auto"/>
            <w:noWrap/>
            <w:vAlign w:val="bottom"/>
            <w:hideMark/>
          </w:tcPr>
          <w:p w14:paraId="0B8EF715" w14:textId="77777777" w:rsidR="004617CC" w:rsidRPr="00363C39" w:rsidRDefault="004A7A82" w:rsidP="004617CC">
            <w:pPr>
              <w:jc w:val="right"/>
              <w:rPr>
                <w:rFonts w:eastAsia="Times New Roman" w:cs="Arial"/>
                <w:color w:val="000000"/>
                <w:sz w:val="22"/>
                <w:szCs w:val="22"/>
              </w:rPr>
            </w:pPr>
            <w:r w:rsidRPr="00363C39">
              <w:rPr>
                <w:rFonts w:eastAsia="Times New Roman" w:cs="Arial"/>
                <w:color w:val="000000"/>
                <w:sz w:val="22"/>
                <w:szCs w:val="22"/>
              </w:rPr>
              <w:t xml:space="preserve">11.654 </w:t>
            </w:r>
          </w:p>
        </w:tc>
      </w:tr>
      <w:tr w:rsidR="00C92CD8" w14:paraId="23404302"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FF9D58" w14:textId="77777777" w:rsidR="004617CC" w:rsidRPr="00363C39" w:rsidRDefault="004A7A82" w:rsidP="004617CC">
            <w:pPr>
              <w:rPr>
                <w:rFonts w:eastAsia="Times New Roman" w:cs="Arial"/>
                <w:color w:val="000000"/>
                <w:sz w:val="22"/>
                <w:szCs w:val="22"/>
              </w:rPr>
            </w:pPr>
            <w:r w:rsidRPr="00363C39">
              <w:rPr>
                <w:rFonts w:eastAsia="Times New Roman" w:cs="Arial"/>
                <w:color w:val="000000"/>
                <w:sz w:val="22"/>
                <w:szCs w:val="22"/>
              </w:rPr>
              <w:t>Policy Commissioning and Children's Health</w:t>
            </w:r>
          </w:p>
        </w:tc>
        <w:tc>
          <w:tcPr>
            <w:tcW w:w="1223" w:type="dxa"/>
            <w:tcBorders>
              <w:top w:val="nil"/>
              <w:left w:val="nil"/>
              <w:bottom w:val="single" w:sz="4" w:space="0" w:color="auto"/>
              <w:right w:val="single" w:sz="4" w:space="0" w:color="auto"/>
            </w:tcBorders>
            <w:shd w:val="clear" w:color="auto" w:fill="auto"/>
            <w:noWrap/>
            <w:vAlign w:val="bottom"/>
            <w:hideMark/>
          </w:tcPr>
          <w:p w14:paraId="13440194" w14:textId="77777777" w:rsidR="004617CC" w:rsidRPr="00363C39" w:rsidRDefault="004A7A82" w:rsidP="004617CC">
            <w:pPr>
              <w:jc w:val="right"/>
              <w:rPr>
                <w:rFonts w:eastAsia="Times New Roman" w:cs="Arial"/>
                <w:color w:val="000000"/>
                <w:sz w:val="22"/>
                <w:szCs w:val="22"/>
              </w:rPr>
            </w:pPr>
            <w:r w:rsidRPr="00363C39">
              <w:rPr>
                <w:rFonts w:eastAsia="Times New Roman" w:cs="Arial"/>
                <w:color w:val="000000"/>
                <w:sz w:val="22"/>
                <w:szCs w:val="22"/>
              </w:rPr>
              <w:t xml:space="preserve">11.346 </w:t>
            </w:r>
          </w:p>
        </w:tc>
        <w:tc>
          <w:tcPr>
            <w:tcW w:w="1467" w:type="dxa"/>
            <w:tcBorders>
              <w:top w:val="nil"/>
              <w:left w:val="nil"/>
              <w:bottom w:val="single" w:sz="4" w:space="0" w:color="auto"/>
              <w:right w:val="single" w:sz="4" w:space="0" w:color="auto"/>
            </w:tcBorders>
            <w:shd w:val="clear" w:color="auto" w:fill="auto"/>
            <w:noWrap/>
            <w:vAlign w:val="bottom"/>
            <w:hideMark/>
          </w:tcPr>
          <w:p w14:paraId="32FD3E9E" w14:textId="77777777" w:rsidR="004617CC" w:rsidRPr="00363C39" w:rsidRDefault="004A7A82" w:rsidP="004617CC">
            <w:pPr>
              <w:jc w:val="right"/>
              <w:rPr>
                <w:rFonts w:eastAsia="Times New Roman" w:cs="Arial"/>
                <w:color w:val="000000"/>
                <w:sz w:val="22"/>
                <w:szCs w:val="22"/>
              </w:rPr>
            </w:pPr>
            <w:r w:rsidRPr="00363C39">
              <w:rPr>
                <w:rFonts w:eastAsia="Times New Roman" w:cs="Arial"/>
                <w:color w:val="000000"/>
                <w:sz w:val="22"/>
                <w:szCs w:val="22"/>
              </w:rPr>
              <w:t xml:space="preserve">-9.442 </w:t>
            </w:r>
          </w:p>
        </w:tc>
        <w:tc>
          <w:tcPr>
            <w:tcW w:w="1472" w:type="dxa"/>
            <w:gridSpan w:val="2"/>
            <w:tcBorders>
              <w:top w:val="nil"/>
              <w:left w:val="nil"/>
              <w:bottom w:val="single" w:sz="4" w:space="0" w:color="auto"/>
              <w:right w:val="single" w:sz="4" w:space="0" w:color="auto"/>
            </w:tcBorders>
            <w:shd w:val="clear" w:color="auto" w:fill="auto"/>
            <w:noWrap/>
            <w:vAlign w:val="bottom"/>
            <w:hideMark/>
          </w:tcPr>
          <w:p w14:paraId="3858018D" w14:textId="77777777" w:rsidR="004617CC" w:rsidRPr="00363C39" w:rsidRDefault="004A7A82" w:rsidP="004617CC">
            <w:pPr>
              <w:jc w:val="right"/>
              <w:rPr>
                <w:rFonts w:eastAsia="Times New Roman" w:cs="Arial"/>
                <w:color w:val="000000"/>
                <w:sz w:val="22"/>
                <w:szCs w:val="22"/>
              </w:rPr>
            </w:pPr>
            <w:r w:rsidRPr="00363C39">
              <w:rPr>
                <w:rFonts w:eastAsia="Times New Roman" w:cs="Arial"/>
                <w:color w:val="000000"/>
                <w:sz w:val="22"/>
                <w:szCs w:val="22"/>
              </w:rPr>
              <w:t xml:space="preserve">1.904 </w:t>
            </w:r>
          </w:p>
        </w:tc>
      </w:tr>
      <w:tr w:rsidR="00C92CD8" w14:paraId="23E76A64"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tcPr>
          <w:p w14:paraId="5537E756" w14:textId="48248528" w:rsidR="00E92D07" w:rsidRPr="00A93585" w:rsidRDefault="004A7A82" w:rsidP="00E92D07">
            <w:pPr>
              <w:jc w:val="right"/>
              <w:rPr>
                <w:rFonts w:eastAsia="Times New Roman" w:cs="Arial"/>
                <w:color w:val="000000"/>
                <w:sz w:val="22"/>
                <w:szCs w:val="22"/>
              </w:rPr>
            </w:pPr>
            <w:r w:rsidRPr="00A93585">
              <w:rPr>
                <w:rFonts w:eastAsia="Times New Roman" w:cs="Arial"/>
                <w:b/>
                <w:bCs/>
                <w:color w:val="000000"/>
                <w:sz w:val="22"/>
                <w:szCs w:val="22"/>
              </w:rPr>
              <w:t>Education and Children's Services Total</w:t>
            </w:r>
          </w:p>
        </w:tc>
        <w:tc>
          <w:tcPr>
            <w:tcW w:w="1223" w:type="dxa"/>
            <w:tcBorders>
              <w:top w:val="nil"/>
              <w:left w:val="nil"/>
              <w:bottom w:val="single" w:sz="8" w:space="0" w:color="auto"/>
              <w:right w:val="single" w:sz="8" w:space="0" w:color="auto"/>
            </w:tcBorders>
            <w:shd w:val="clear" w:color="auto" w:fill="auto"/>
            <w:noWrap/>
            <w:vAlign w:val="center"/>
          </w:tcPr>
          <w:p w14:paraId="5CB2A77B" w14:textId="777426E1" w:rsidR="00E92D07" w:rsidRPr="00A93585" w:rsidRDefault="004A7A82" w:rsidP="00E92D07">
            <w:pPr>
              <w:jc w:val="right"/>
              <w:rPr>
                <w:rFonts w:eastAsia="Times New Roman" w:cs="Arial"/>
                <w:b/>
                <w:bCs/>
                <w:color w:val="000000"/>
                <w:sz w:val="22"/>
                <w:szCs w:val="22"/>
              </w:rPr>
            </w:pPr>
            <w:r w:rsidRPr="00A93585">
              <w:rPr>
                <w:rFonts w:cs="Arial"/>
                <w:b/>
                <w:bCs/>
                <w:color w:val="000000"/>
                <w:sz w:val="22"/>
                <w:szCs w:val="22"/>
              </w:rPr>
              <w:t>326.617</w:t>
            </w:r>
          </w:p>
        </w:tc>
        <w:tc>
          <w:tcPr>
            <w:tcW w:w="1467" w:type="dxa"/>
            <w:tcBorders>
              <w:top w:val="nil"/>
              <w:left w:val="nil"/>
              <w:bottom w:val="single" w:sz="8" w:space="0" w:color="auto"/>
              <w:right w:val="single" w:sz="8" w:space="0" w:color="auto"/>
            </w:tcBorders>
            <w:shd w:val="clear" w:color="auto" w:fill="auto"/>
            <w:noWrap/>
            <w:vAlign w:val="center"/>
          </w:tcPr>
          <w:p w14:paraId="4CD00056" w14:textId="3E0487AA" w:rsidR="00E92D07" w:rsidRPr="00A93585" w:rsidRDefault="004A7A82" w:rsidP="00E92D07">
            <w:pPr>
              <w:jc w:val="right"/>
              <w:rPr>
                <w:rFonts w:eastAsia="Times New Roman" w:cs="Arial"/>
                <w:b/>
                <w:bCs/>
                <w:color w:val="000000"/>
                <w:sz w:val="22"/>
                <w:szCs w:val="22"/>
              </w:rPr>
            </w:pPr>
            <w:r w:rsidRPr="00A93585">
              <w:rPr>
                <w:rFonts w:cs="Arial"/>
                <w:b/>
                <w:bCs/>
                <w:color w:val="000000"/>
                <w:sz w:val="22"/>
                <w:szCs w:val="22"/>
              </w:rPr>
              <w:t>-60.448</w:t>
            </w:r>
          </w:p>
        </w:tc>
        <w:tc>
          <w:tcPr>
            <w:tcW w:w="1472" w:type="dxa"/>
            <w:gridSpan w:val="2"/>
            <w:tcBorders>
              <w:top w:val="nil"/>
              <w:left w:val="nil"/>
              <w:bottom w:val="single" w:sz="8" w:space="0" w:color="auto"/>
              <w:right w:val="single" w:sz="8" w:space="0" w:color="auto"/>
            </w:tcBorders>
            <w:shd w:val="clear" w:color="auto" w:fill="auto"/>
            <w:noWrap/>
            <w:vAlign w:val="center"/>
          </w:tcPr>
          <w:p w14:paraId="62A9B73C" w14:textId="4ED55D66" w:rsidR="00E92D07" w:rsidRPr="00A93585" w:rsidRDefault="004A7A82" w:rsidP="00E92D07">
            <w:pPr>
              <w:jc w:val="right"/>
              <w:rPr>
                <w:rFonts w:eastAsia="Times New Roman" w:cs="Arial"/>
                <w:b/>
                <w:bCs/>
                <w:color w:val="000000"/>
                <w:sz w:val="22"/>
                <w:szCs w:val="22"/>
              </w:rPr>
            </w:pPr>
            <w:r w:rsidRPr="00A93585">
              <w:rPr>
                <w:rFonts w:cs="Arial"/>
                <w:b/>
                <w:bCs/>
                <w:color w:val="000000"/>
                <w:sz w:val="22"/>
                <w:szCs w:val="22"/>
              </w:rPr>
              <w:t>266.168</w:t>
            </w:r>
          </w:p>
        </w:tc>
      </w:tr>
      <w:tr w:rsidR="00C92CD8" w14:paraId="0AEBD6DC"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tcPr>
          <w:p w14:paraId="0916777A" w14:textId="77777777" w:rsidR="00E92D07" w:rsidRPr="00A93585" w:rsidRDefault="00E92D07" w:rsidP="00E92D07">
            <w:pPr>
              <w:rPr>
                <w:rFonts w:eastAsia="Times New Roman" w:cs="Arial"/>
                <w:color w:val="000000"/>
                <w:sz w:val="22"/>
                <w:szCs w:val="22"/>
              </w:rPr>
            </w:pPr>
          </w:p>
        </w:tc>
        <w:tc>
          <w:tcPr>
            <w:tcW w:w="1223" w:type="dxa"/>
            <w:tcBorders>
              <w:top w:val="nil"/>
              <w:left w:val="nil"/>
              <w:bottom w:val="single" w:sz="4" w:space="0" w:color="auto"/>
              <w:right w:val="single" w:sz="4" w:space="0" w:color="auto"/>
            </w:tcBorders>
            <w:shd w:val="clear" w:color="auto" w:fill="auto"/>
            <w:noWrap/>
            <w:vAlign w:val="bottom"/>
          </w:tcPr>
          <w:p w14:paraId="3DF2287C" w14:textId="77777777" w:rsidR="00E92D07" w:rsidRPr="00A93585" w:rsidRDefault="00E92D07" w:rsidP="00E92D07">
            <w:pPr>
              <w:jc w:val="right"/>
              <w:rPr>
                <w:rFonts w:eastAsia="Times New Roman" w:cs="Arial"/>
                <w:color w:val="000000"/>
                <w:sz w:val="22"/>
                <w:szCs w:val="22"/>
              </w:rPr>
            </w:pPr>
          </w:p>
        </w:tc>
        <w:tc>
          <w:tcPr>
            <w:tcW w:w="1467" w:type="dxa"/>
            <w:tcBorders>
              <w:top w:val="nil"/>
              <w:left w:val="nil"/>
              <w:bottom w:val="single" w:sz="4" w:space="0" w:color="auto"/>
              <w:right w:val="single" w:sz="4" w:space="0" w:color="auto"/>
            </w:tcBorders>
            <w:shd w:val="clear" w:color="auto" w:fill="auto"/>
            <w:noWrap/>
            <w:vAlign w:val="bottom"/>
          </w:tcPr>
          <w:p w14:paraId="0E07FA7C" w14:textId="77777777" w:rsidR="00E92D07" w:rsidRPr="00A93585" w:rsidRDefault="00E92D07" w:rsidP="00E92D07">
            <w:pPr>
              <w:jc w:val="right"/>
              <w:rPr>
                <w:rFonts w:eastAsia="Times New Roman" w:cs="Arial"/>
                <w:color w:val="000000"/>
                <w:sz w:val="22"/>
                <w:szCs w:val="22"/>
              </w:rPr>
            </w:pPr>
          </w:p>
        </w:tc>
        <w:tc>
          <w:tcPr>
            <w:tcW w:w="1472" w:type="dxa"/>
            <w:gridSpan w:val="2"/>
            <w:tcBorders>
              <w:top w:val="nil"/>
              <w:left w:val="nil"/>
              <w:bottom w:val="single" w:sz="4" w:space="0" w:color="auto"/>
              <w:right w:val="single" w:sz="4" w:space="0" w:color="auto"/>
            </w:tcBorders>
            <w:shd w:val="clear" w:color="auto" w:fill="auto"/>
            <w:noWrap/>
            <w:vAlign w:val="bottom"/>
          </w:tcPr>
          <w:p w14:paraId="63212DED" w14:textId="77777777" w:rsidR="00E92D07" w:rsidRPr="00A93585" w:rsidRDefault="00E92D07" w:rsidP="00E92D07">
            <w:pPr>
              <w:jc w:val="right"/>
              <w:rPr>
                <w:rFonts w:eastAsia="Times New Roman" w:cs="Arial"/>
                <w:color w:val="000000"/>
                <w:sz w:val="22"/>
                <w:szCs w:val="22"/>
              </w:rPr>
            </w:pPr>
          </w:p>
        </w:tc>
      </w:tr>
      <w:tr w:rsidR="00C92CD8" w14:paraId="3EB92948"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tcPr>
          <w:p w14:paraId="0C2AD709" w14:textId="3C5BFAB3" w:rsidR="00E92D07" w:rsidRPr="00A93585" w:rsidRDefault="004A7A82" w:rsidP="00E92D07">
            <w:pPr>
              <w:rPr>
                <w:rFonts w:eastAsia="Times New Roman" w:cs="Arial"/>
                <w:b/>
                <w:bCs/>
                <w:color w:val="000000"/>
                <w:sz w:val="22"/>
                <w:szCs w:val="22"/>
              </w:rPr>
            </w:pPr>
            <w:r w:rsidRPr="00A93585">
              <w:rPr>
                <w:rFonts w:eastAsia="Times New Roman" w:cs="Arial"/>
                <w:b/>
                <w:bCs/>
                <w:color w:val="000000"/>
                <w:sz w:val="22"/>
                <w:szCs w:val="22"/>
              </w:rPr>
              <w:t>Growth, Environment, Transport and Health</w:t>
            </w:r>
          </w:p>
        </w:tc>
        <w:tc>
          <w:tcPr>
            <w:tcW w:w="1223" w:type="dxa"/>
            <w:tcBorders>
              <w:top w:val="nil"/>
              <w:left w:val="nil"/>
              <w:bottom w:val="single" w:sz="4" w:space="0" w:color="auto"/>
              <w:right w:val="single" w:sz="4" w:space="0" w:color="auto"/>
            </w:tcBorders>
            <w:shd w:val="clear" w:color="auto" w:fill="auto"/>
            <w:noWrap/>
            <w:vAlign w:val="bottom"/>
          </w:tcPr>
          <w:p w14:paraId="62881B88" w14:textId="77777777" w:rsidR="00E92D07" w:rsidRPr="00A93585" w:rsidRDefault="00E92D07" w:rsidP="00E92D07">
            <w:pPr>
              <w:jc w:val="right"/>
              <w:rPr>
                <w:rFonts w:eastAsia="Times New Roman" w:cs="Arial"/>
                <w:b/>
                <w:bCs/>
                <w:color w:val="000000"/>
                <w:sz w:val="22"/>
                <w:szCs w:val="22"/>
              </w:rPr>
            </w:pPr>
          </w:p>
        </w:tc>
        <w:tc>
          <w:tcPr>
            <w:tcW w:w="1467" w:type="dxa"/>
            <w:tcBorders>
              <w:top w:val="nil"/>
              <w:left w:val="nil"/>
              <w:bottom w:val="single" w:sz="4" w:space="0" w:color="auto"/>
              <w:right w:val="single" w:sz="4" w:space="0" w:color="auto"/>
            </w:tcBorders>
            <w:shd w:val="clear" w:color="auto" w:fill="auto"/>
            <w:noWrap/>
            <w:vAlign w:val="bottom"/>
          </w:tcPr>
          <w:p w14:paraId="1A951124" w14:textId="77777777" w:rsidR="00E92D07" w:rsidRPr="00A93585" w:rsidRDefault="00E92D07" w:rsidP="00E92D07">
            <w:pPr>
              <w:jc w:val="right"/>
              <w:rPr>
                <w:rFonts w:eastAsia="Times New Roman" w:cs="Arial"/>
                <w:b/>
                <w:bCs/>
                <w:color w:val="000000"/>
                <w:sz w:val="22"/>
                <w:szCs w:val="22"/>
              </w:rPr>
            </w:pPr>
          </w:p>
        </w:tc>
        <w:tc>
          <w:tcPr>
            <w:tcW w:w="1472" w:type="dxa"/>
            <w:gridSpan w:val="2"/>
            <w:tcBorders>
              <w:top w:val="nil"/>
              <w:left w:val="nil"/>
              <w:bottom w:val="single" w:sz="4" w:space="0" w:color="auto"/>
              <w:right w:val="single" w:sz="4" w:space="0" w:color="auto"/>
            </w:tcBorders>
            <w:shd w:val="clear" w:color="auto" w:fill="auto"/>
            <w:noWrap/>
            <w:vAlign w:val="bottom"/>
          </w:tcPr>
          <w:p w14:paraId="63BF58A9" w14:textId="77777777" w:rsidR="00E92D07" w:rsidRPr="00A93585" w:rsidRDefault="00E92D07" w:rsidP="00E92D07">
            <w:pPr>
              <w:jc w:val="right"/>
              <w:rPr>
                <w:rFonts w:eastAsia="Times New Roman" w:cs="Arial"/>
                <w:b/>
                <w:bCs/>
                <w:color w:val="000000"/>
                <w:sz w:val="22"/>
                <w:szCs w:val="22"/>
              </w:rPr>
            </w:pPr>
          </w:p>
        </w:tc>
      </w:tr>
      <w:tr w:rsidR="00C92CD8" w14:paraId="4D16496C"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55B490" w14:textId="77777777" w:rsidR="00E92D07" w:rsidRPr="00363C39" w:rsidRDefault="004A7A82" w:rsidP="00E92D07">
            <w:pPr>
              <w:rPr>
                <w:rFonts w:eastAsia="Times New Roman" w:cs="Arial"/>
                <w:color w:val="000000"/>
                <w:sz w:val="22"/>
                <w:szCs w:val="22"/>
              </w:rPr>
            </w:pPr>
            <w:r w:rsidRPr="00363C39">
              <w:rPr>
                <w:rFonts w:eastAsia="Times New Roman" w:cs="Arial"/>
                <w:color w:val="000000"/>
                <w:sz w:val="22"/>
                <w:szCs w:val="22"/>
              </w:rPr>
              <w:t>Public Health</w:t>
            </w:r>
          </w:p>
        </w:tc>
        <w:tc>
          <w:tcPr>
            <w:tcW w:w="1223" w:type="dxa"/>
            <w:tcBorders>
              <w:top w:val="nil"/>
              <w:left w:val="nil"/>
              <w:bottom w:val="single" w:sz="4" w:space="0" w:color="auto"/>
              <w:right w:val="single" w:sz="4" w:space="0" w:color="auto"/>
            </w:tcBorders>
            <w:shd w:val="clear" w:color="auto" w:fill="auto"/>
            <w:noWrap/>
            <w:vAlign w:val="bottom"/>
            <w:hideMark/>
          </w:tcPr>
          <w:p w14:paraId="41FCB8AD" w14:textId="77777777" w:rsidR="00E92D07" w:rsidRPr="00363C39" w:rsidRDefault="004A7A82" w:rsidP="00E92D07">
            <w:pPr>
              <w:jc w:val="right"/>
              <w:rPr>
                <w:rFonts w:eastAsia="Times New Roman" w:cs="Arial"/>
                <w:color w:val="000000"/>
                <w:sz w:val="22"/>
                <w:szCs w:val="22"/>
              </w:rPr>
            </w:pPr>
            <w:r w:rsidRPr="00363C39">
              <w:rPr>
                <w:rFonts w:eastAsia="Times New Roman" w:cs="Arial"/>
                <w:color w:val="000000"/>
                <w:sz w:val="22"/>
                <w:szCs w:val="22"/>
              </w:rPr>
              <w:t xml:space="preserve">85.316 </w:t>
            </w:r>
          </w:p>
        </w:tc>
        <w:tc>
          <w:tcPr>
            <w:tcW w:w="1467" w:type="dxa"/>
            <w:tcBorders>
              <w:top w:val="nil"/>
              <w:left w:val="nil"/>
              <w:bottom w:val="single" w:sz="4" w:space="0" w:color="auto"/>
              <w:right w:val="single" w:sz="4" w:space="0" w:color="auto"/>
            </w:tcBorders>
            <w:shd w:val="clear" w:color="auto" w:fill="auto"/>
            <w:noWrap/>
            <w:vAlign w:val="bottom"/>
            <w:hideMark/>
          </w:tcPr>
          <w:p w14:paraId="17459FD0" w14:textId="77777777" w:rsidR="00E92D07" w:rsidRPr="00363C39" w:rsidRDefault="004A7A82" w:rsidP="00E92D07">
            <w:pPr>
              <w:jc w:val="right"/>
              <w:rPr>
                <w:rFonts w:eastAsia="Times New Roman" w:cs="Arial"/>
                <w:color w:val="000000"/>
                <w:sz w:val="22"/>
                <w:szCs w:val="22"/>
              </w:rPr>
            </w:pPr>
            <w:r w:rsidRPr="00363C39">
              <w:rPr>
                <w:rFonts w:eastAsia="Times New Roman" w:cs="Arial"/>
                <w:color w:val="000000"/>
                <w:sz w:val="22"/>
                <w:szCs w:val="22"/>
              </w:rPr>
              <w:t xml:space="preserve">-88.817 </w:t>
            </w:r>
          </w:p>
        </w:tc>
        <w:tc>
          <w:tcPr>
            <w:tcW w:w="1472" w:type="dxa"/>
            <w:gridSpan w:val="2"/>
            <w:tcBorders>
              <w:top w:val="nil"/>
              <w:left w:val="nil"/>
              <w:bottom w:val="single" w:sz="4" w:space="0" w:color="auto"/>
              <w:right w:val="single" w:sz="4" w:space="0" w:color="auto"/>
            </w:tcBorders>
            <w:shd w:val="clear" w:color="auto" w:fill="auto"/>
            <w:noWrap/>
            <w:vAlign w:val="bottom"/>
            <w:hideMark/>
          </w:tcPr>
          <w:p w14:paraId="6510B5AB" w14:textId="77777777" w:rsidR="00E92D07" w:rsidRPr="00363C39" w:rsidRDefault="004A7A82" w:rsidP="00E92D07">
            <w:pPr>
              <w:jc w:val="right"/>
              <w:rPr>
                <w:rFonts w:eastAsia="Times New Roman" w:cs="Arial"/>
                <w:color w:val="000000"/>
                <w:sz w:val="22"/>
                <w:szCs w:val="22"/>
              </w:rPr>
            </w:pPr>
            <w:r w:rsidRPr="00363C39">
              <w:rPr>
                <w:rFonts w:eastAsia="Times New Roman" w:cs="Arial"/>
                <w:color w:val="000000"/>
                <w:sz w:val="22"/>
                <w:szCs w:val="22"/>
              </w:rPr>
              <w:t xml:space="preserve">-3.500 </w:t>
            </w:r>
          </w:p>
        </w:tc>
      </w:tr>
      <w:tr w:rsidR="00C92CD8" w14:paraId="333CAAFB"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5773D2" w14:textId="77777777" w:rsidR="00E92D07" w:rsidRPr="00363C39" w:rsidRDefault="004A7A82" w:rsidP="00E92D07">
            <w:pPr>
              <w:rPr>
                <w:rFonts w:eastAsia="Times New Roman" w:cs="Arial"/>
                <w:color w:val="000000"/>
                <w:sz w:val="22"/>
                <w:szCs w:val="22"/>
              </w:rPr>
            </w:pPr>
            <w:r w:rsidRPr="00363C39">
              <w:rPr>
                <w:rFonts w:eastAsia="Times New Roman" w:cs="Arial"/>
                <w:color w:val="000000"/>
                <w:sz w:val="22"/>
                <w:szCs w:val="22"/>
              </w:rPr>
              <w:t>Highways and Transport</w:t>
            </w:r>
          </w:p>
        </w:tc>
        <w:tc>
          <w:tcPr>
            <w:tcW w:w="1223" w:type="dxa"/>
            <w:tcBorders>
              <w:top w:val="nil"/>
              <w:left w:val="nil"/>
              <w:bottom w:val="single" w:sz="4" w:space="0" w:color="auto"/>
              <w:right w:val="single" w:sz="4" w:space="0" w:color="auto"/>
            </w:tcBorders>
            <w:shd w:val="clear" w:color="auto" w:fill="auto"/>
            <w:noWrap/>
            <w:vAlign w:val="bottom"/>
            <w:hideMark/>
          </w:tcPr>
          <w:p w14:paraId="7D034628" w14:textId="7682B5C7" w:rsidR="00E92D07" w:rsidRPr="00363C39" w:rsidRDefault="004A7A82" w:rsidP="00E92D07">
            <w:pPr>
              <w:jc w:val="right"/>
              <w:rPr>
                <w:rFonts w:eastAsia="Times New Roman" w:cs="Arial"/>
                <w:color w:val="000000"/>
                <w:sz w:val="22"/>
                <w:szCs w:val="22"/>
              </w:rPr>
            </w:pPr>
            <w:r w:rsidRPr="00363C39">
              <w:rPr>
                <w:rFonts w:eastAsia="Times New Roman" w:cs="Arial"/>
                <w:color w:val="000000"/>
                <w:sz w:val="22"/>
                <w:szCs w:val="22"/>
              </w:rPr>
              <w:t>2</w:t>
            </w:r>
            <w:r w:rsidR="00F470EA">
              <w:rPr>
                <w:rFonts w:eastAsia="Times New Roman" w:cs="Arial"/>
                <w:color w:val="000000"/>
                <w:sz w:val="22"/>
                <w:szCs w:val="22"/>
              </w:rPr>
              <w:t>89.136</w:t>
            </w:r>
            <w:r w:rsidRPr="00363C39">
              <w:rPr>
                <w:rFonts w:eastAsia="Times New Roman" w:cs="Arial"/>
                <w:color w:val="000000"/>
                <w:sz w:val="22"/>
                <w:szCs w:val="22"/>
              </w:rPr>
              <w:t xml:space="preserve"> </w:t>
            </w:r>
          </w:p>
        </w:tc>
        <w:tc>
          <w:tcPr>
            <w:tcW w:w="1467" w:type="dxa"/>
            <w:tcBorders>
              <w:top w:val="nil"/>
              <w:left w:val="nil"/>
              <w:bottom w:val="single" w:sz="4" w:space="0" w:color="auto"/>
              <w:right w:val="single" w:sz="4" w:space="0" w:color="auto"/>
            </w:tcBorders>
            <w:shd w:val="clear" w:color="auto" w:fill="auto"/>
            <w:noWrap/>
            <w:vAlign w:val="bottom"/>
            <w:hideMark/>
          </w:tcPr>
          <w:p w14:paraId="01A76AF0" w14:textId="77777777" w:rsidR="00E92D07" w:rsidRPr="00363C39" w:rsidRDefault="004A7A82" w:rsidP="00E92D07">
            <w:pPr>
              <w:jc w:val="right"/>
              <w:rPr>
                <w:rFonts w:eastAsia="Times New Roman" w:cs="Arial"/>
                <w:color w:val="000000"/>
                <w:sz w:val="22"/>
                <w:szCs w:val="22"/>
              </w:rPr>
            </w:pPr>
            <w:r w:rsidRPr="00363C39">
              <w:rPr>
                <w:rFonts w:eastAsia="Times New Roman" w:cs="Arial"/>
                <w:color w:val="000000"/>
                <w:sz w:val="22"/>
                <w:szCs w:val="22"/>
              </w:rPr>
              <w:t xml:space="preserve">-107.233 </w:t>
            </w:r>
          </w:p>
        </w:tc>
        <w:tc>
          <w:tcPr>
            <w:tcW w:w="1472" w:type="dxa"/>
            <w:gridSpan w:val="2"/>
            <w:tcBorders>
              <w:top w:val="nil"/>
              <w:left w:val="nil"/>
              <w:bottom w:val="single" w:sz="4" w:space="0" w:color="auto"/>
              <w:right w:val="single" w:sz="4" w:space="0" w:color="auto"/>
            </w:tcBorders>
            <w:shd w:val="clear" w:color="auto" w:fill="auto"/>
            <w:noWrap/>
            <w:vAlign w:val="bottom"/>
            <w:hideMark/>
          </w:tcPr>
          <w:p w14:paraId="0EBE3D27" w14:textId="3AA40252" w:rsidR="00E92D07" w:rsidRPr="00363C39" w:rsidRDefault="004A7A82" w:rsidP="00E92D07">
            <w:pPr>
              <w:jc w:val="right"/>
              <w:rPr>
                <w:rFonts w:eastAsia="Times New Roman" w:cs="Arial"/>
                <w:color w:val="000000"/>
                <w:sz w:val="22"/>
                <w:szCs w:val="22"/>
              </w:rPr>
            </w:pPr>
            <w:r w:rsidRPr="00363C39">
              <w:rPr>
                <w:rFonts w:eastAsia="Times New Roman" w:cs="Arial"/>
                <w:color w:val="000000"/>
                <w:sz w:val="22"/>
                <w:szCs w:val="22"/>
              </w:rPr>
              <w:t>18</w:t>
            </w:r>
            <w:r w:rsidR="0031076B">
              <w:rPr>
                <w:rFonts w:eastAsia="Times New Roman" w:cs="Arial"/>
                <w:color w:val="000000"/>
                <w:sz w:val="22"/>
                <w:szCs w:val="22"/>
              </w:rPr>
              <w:t>1.903</w:t>
            </w:r>
            <w:r w:rsidRPr="00363C39">
              <w:rPr>
                <w:rFonts w:eastAsia="Times New Roman" w:cs="Arial"/>
                <w:color w:val="000000"/>
                <w:sz w:val="22"/>
                <w:szCs w:val="22"/>
              </w:rPr>
              <w:t xml:space="preserve"> </w:t>
            </w:r>
          </w:p>
        </w:tc>
      </w:tr>
      <w:tr w:rsidR="00C92CD8" w14:paraId="55249506"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782BCC" w14:textId="77777777" w:rsidR="00E92D07" w:rsidRPr="00363C39" w:rsidRDefault="004A7A82" w:rsidP="00E92D07">
            <w:pPr>
              <w:rPr>
                <w:rFonts w:eastAsia="Times New Roman" w:cs="Arial"/>
                <w:color w:val="000000"/>
                <w:sz w:val="22"/>
                <w:szCs w:val="22"/>
              </w:rPr>
            </w:pPr>
            <w:r w:rsidRPr="00363C39">
              <w:rPr>
                <w:rFonts w:eastAsia="Times New Roman" w:cs="Arial"/>
                <w:color w:val="000000"/>
                <w:sz w:val="22"/>
                <w:szCs w:val="22"/>
              </w:rPr>
              <w:t>Growth and Regeneration</w:t>
            </w:r>
          </w:p>
        </w:tc>
        <w:tc>
          <w:tcPr>
            <w:tcW w:w="1223" w:type="dxa"/>
            <w:tcBorders>
              <w:top w:val="nil"/>
              <w:left w:val="nil"/>
              <w:bottom w:val="single" w:sz="4" w:space="0" w:color="auto"/>
              <w:right w:val="single" w:sz="4" w:space="0" w:color="auto"/>
            </w:tcBorders>
            <w:shd w:val="clear" w:color="auto" w:fill="auto"/>
            <w:noWrap/>
            <w:vAlign w:val="bottom"/>
            <w:hideMark/>
          </w:tcPr>
          <w:p w14:paraId="523513AD" w14:textId="77777777" w:rsidR="00E92D07" w:rsidRPr="00363C39" w:rsidRDefault="004A7A82" w:rsidP="00E92D07">
            <w:pPr>
              <w:jc w:val="right"/>
              <w:rPr>
                <w:rFonts w:eastAsia="Times New Roman" w:cs="Arial"/>
                <w:color w:val="000000"/>
                <w:sz w:val="22"/>
                <w:szCs w:val="22"/>
              </w:rPr>
            </w:pPr>
            <w:r w:rsidRPr="00363C39">
              <w:rPr>
                <w:rFonts w:eastAsia="Times New Roman" w:cs="Arial"/>
                <w:color w:val="000000"/>
                <w:sz w:val="22"/>
                <w:szCs w:val="22"/>
              </w:rPr>
              <w:t xml:space="preserve">23.597 </w:t>
            </w:r>
          </w:p>
        </w:tc>
        <w:tc>
          <w:tcPr>
            <w:tcW w:w="1467" w:type="dxa"/>
            <w:tcBorders>
              <w:top w:val="nil"/>
              <w:left w:val="nil"/>
              <w:bottom w:val="single" w:sz="4" w:space="0" w:color="auto"/>
              <w:right w:val="single" w:sz="4" w:space="0" w:color="auto"/>
            </w:tcBorders>
            <w:shd w:val="clear" w:color="auto" w:fill="auto"/>
            <w:noWrap/>
            <w:vAlign w:val="bottom"/>
            <w:hideMark/>
          </w:tcPr>
          <w:p w14:paraId="5940BED8" w14:textId="77777777" w:rsidR="00E92D07" w:rsidRPr="00363C39" w:rsidRDefault="004A7A82" w:rsidP="00E92D07">
            <w:pPr>
              <w:jc w:val="right"/>
              <w:rPr>
                <w:rFonts w:eastAsia="Times New Roman" w:cs="Arial"/>
                <w:color w:val="000000"/>
                <w:sz w:val="22"/>
                <w:szCs w:val="22"/>
              </w:rPr>
            </w:pPr>
            <w:r w:rsidRPr="00363C39">
              <w:rPr>
                <w:rFonts w:eastAsia="Times New Roman" w:cs="Arial"/>
                <w:color w:val="000000"/>
                <w:sz w:val="22"/>
                <w:szCs w:val="22"/>
              </w:rPr>
              <w:t xml:space="preserve">-20.750 </w:t>
            </w:r>
          </w:p>
        </w:tc>
        <w:tc>
          <w:tcPr>
            <w:tcW w:w="1472" w:type="dxa"/>
            <w:gridSpan w:val="2"/>
            <w:tcBorders>
              <w:top w:val="nil"/>
              <w:left w:val="nil"/>
              <w:bottom w:val="single" w:sz="4" w:space="0" w:color="auto"/>
              <w:right w:val="single" w:sz="4" w:space="0" w:color="auto"/>
            </w:tcBorders>
            <w:shd w:val="clear" w:color="auto" w:fill="auto"/>
            <w:noWrap/>
            <w:vAlign w:val="bottom"/>
            <w:hideMark/>
          </w:tcPr>
          <w:p w14:paraId="23E64CFF" w14:textId="77777777" w:rsidR="00E92D07" w:rsidRPr="00363C39" w:rsidRDefault="004A7A82" w:rsidP="00E92D07">
            <w:pPr>
              <w:jc w:val="right"/>
              <w:rPr>
                <w:rFonts w:eastAsia="Times New Roman" w:cs="Arial"/>
                <w:color w:val="000000"/>
                <w:sz w:val="22"/>
                <w:szCs w:val="22"/>
              </w:rPr>
            </w:pPr>
            <w:r w:rsidRPr="00363C39">
              <w:rPr>
                <w:rFonts w:eastAsia="Times New Roman" w:cs="Arial"/>
                <w:color w:val="000000"/>
                <w:sz w:val="22"/>
                <w:szCs w:val="22"/>
              </w:rPr>
              <w:t xml:space="preserve">2.847 </w:t>
            </w:r>
          </w:p>
        </w:tc>
      </w:tr>
      <w:tr w:rsidR="00C92CD8" w14:paraId="4EE04C2E"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75DE78" w14:textId="77777777" w:rsidR="00E92D07" w:rsidRPr="00363C39" w:rsidRDefault="004A7A82" w:rsidP="00E92D07">
            <w:pPr>
              <w:rPr>
                <w:rFonts w:eastAsia="Times New Roman" w:cs="Arial"/>
                <w:color w:val="000000"/>
                <w:sz w:val="22"/>
                <w:szCs w:val="22"/>
              </w:rPr>
            </w:pPr>
            <w:r w:rsidRPr="00363C39">
              <w:rPr>
                <w:rFonts w:eastAsia="Times New Roman" w:cs="Arial"/>
                <w:color w:val="000000"/>
                <w:sz w:val="22"/>
                <w:szCs w:val="22"/>
              </w:rPr>
              <w:t>Environment and Planning</w:t>
            </w:r>
          </w:p>
        </w:tc>
        <w:tc>
          <w:tcPr>
            <w:tcW w:w="1223" w:type="dxa"/>
            <w:tcBorders>
              <w:top w:val="nil"/>
              <w:left w:val="nil"/>
              <w:bottom w:val="single" w:sz="4" w:space="0" w:color="auto"/>
              <w:right w:val="single" w:sz="4" w:space="0" w:color="auto"/>
            </w:tcBorders>
            <w:shd w:val="clear" w:color="auto" w:fill="auto"/>
            <w:noWrap/>
            <w:vAlign w:val="bottom"/>
            <w:hideMark/>
          </w:tcPr>
          <w:p w14:paraId="7FE492E2" w14:textId="77777777" w:rsidR="00E92D07" w:rsidRPr="00363C39" w:rsidRDefault="004A7A82" w:rsidP="00E92D07">
            <w:pPr>
              <w:jc w:val="right"/>
              <w:rPr>
                <w:rFonts w:eastAsia="Times New Roman" w:cs="Arial"/>
                <w:color w:val="000000"/>
                <w:sz w:val="22"/>
                <w:szCs w:val="22"/>
              </w:rPr>
            </w:pPr>
            <w:r w:rsidRPr="00363C39">
              <w:rPr>
                <w:rFonts w:eastAsia="Times New Roman" w:cs="Arial"/>
                <w:color w:val="000000"/>
                <w:sz w:val="22"/>
                <w:szCs w:val="22"/>
              </w:rPr>
              <w:t xml:space="preserve">7.270 </w:t>
            </w:r>
          </w:p>
        </w:tc>
        <w:tc>
          <w:tcPr>
            <w:tcW w:w="1467" w:type="dxa"/>
            <w:tcBorders>
              <w:top w:val="nil"/>
              <w:left w:val="nil"/>
              <w:bottom w:val="single" w:sz="4" w:space="0" w:color="auto"/>
              <w:right w:val="single" w:sz="4" w:space="0" w:color="auto"/>
            </w:tcBorders>
            <w:shd w:val="clear" w:color="auto" w:fill="auto"/>
            <w:noWrap/>
            <w:vAlign w:val="bottom"/>
            <w:hideMark/>
          </w:tcPr>
          <w:p w14:paraId="7EE3DA83" w14:textId="77777777" w:rsidR="00E92D07" w:rsidRPr="00363C39" w:rsidRDefault="004A7A82" w:rsidP="00E92D07">
            <w:pPr>
              <w:jc w:val="right"/>
              <w:rPr>
                <w:rFonts w:eastAsia="Times New Roman" w:cs="Arial"/>
                <w:color w:val="000000"/>
                <w:sz w:val="22"/>
                <w:szCs w:val="22"/>
              </w:rPr>
            </w:pPr>
            <w:r w:rsidRPr="00363C39">
              <w:rPr>
                <w:rFonts w:eastAsia="Times New Roman" w:cs="Arial"/>
                <w:color w:val="000000"/>
                <w:sz w:val="22"/>
                <w:szCs w:val="22"/>
              </w:rPr>
              <w:t xml:space="preserve">-3.793 </w:t>
            </w:r>
          </w:p>
        </w:tc>
        <w:tc>
          <w:tcPr>
            <w:tcW w:w="1472" w:type="dxa"/>
            <w:gridSpan w:val="2"/>
            <w:tcBorders>
              <w:top w:val="nil"/>
              <w:left w:val="nil"/>
              <w:bottom w:val="single" w:sz="4" w:space="0" w:color="auto"/>
              <w:right w:val="single" w:sz="4" w:space="0" w:color="auto"/>
            </w:tcBorders>
            <w:shd w:val="clear" w:color="auto" w:fill="auto"/>
            <w:noWrap/>
            <w:vAlign w:val="bottom"/>
            <w:hideMark/>
          </w:tcPr>
          <w:p w14:paraId="0642E1E2" w14:textId="77777777" w:rsidR="00E92D07" w:rsidRPr="00363C39" w:rsidRDefault="004A7A82" w:rsidP="00E92D07">
            <w:pPr>
              <w:jc w:val="right"/>
              <w:rPr>
                <w:rFonts w:eastAsia="Times New Roman" w:cs="Arial"/>
                <w:color w:val="000000"/>
                <w:sz w:val="22"/>
                <w:szCs w:val="22"/>
              </w:rPr>
            </w:pPr>
            <w:r w:rsidRPr="00363C39">
              <w:rPr>
                <w:rFonts w:eastAsia="Times New Roman" w:cs="Arial"/>
                <w:color w:val="000000"/>
                <w:sz w:val="22"/>
                <w:szCs w:val="22"/>
              </w:rPr>
              <w:t xml:space="preserve">3.476 </w:t>
            </w:r>
          </w:p>
        </w:tc>
      </w:tr>
      <w:tr w:rsidR="00C92CD8" w14:paraId="51E5857E"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tcPr>
          <w:p w14:paraId="7C6AAF7B" w14:textId="2B78FD4B" w:rsidR="00B12F65" w:rsidRPr="00A93585" w:rsidRDefault="004A7A82" w:rsidP="00607F14">
            <w:pPr>
              <w:jc w:val="right"/>
              <w:rPr>
                <w:rFonts w:eastAsia="Times New Roman" w:cs="Arial"/>
                <w:color w:val="000000"/>
                <w:sz w:val="22"/>
                <w:szCs w:val="22"/>
              </w:rPr>
            </w:pPr>
            <w:r w:rsidRPr="00A93585">
              <w:rPr>
                <w:rFonts w:eastAsia="Times New Roman" w:cs="Arial"/>
                <w:b/>
                <w:bCs/>
                <w:color w:val="000000"/>
                <w:sz w:val="22"/>
                <w:szCs w:val="22"/>
              </w:rPr>
              <w:t>Growth, Environment, Transport and Health</w:t>
            </w:r>
            <w:r w:rsidR="00607F14" w:rsidRPr="00A93585">
              <w:rPr>
                <w:rFonts w:eastAsia="Times New Roman" w:cs="Arial"/>
                <w:b/>
                <w:bCs/>
                <w:color w:val="000000"/>
                <w:sz w:val="22"/>
                <w:szCs w:val="22"/>
              </w:rPr>
              <w:t xml:space="preserve"> </w:t>
            </w:r>
            <w:r w:rsidRPr="00A93585">
              <w:rPr>
                <w:rFonts w:eastAsia="Times New Roman" w:cs="Arial"/>
                <w:b/>
                <w:bCs/>
                <w:color w:val="000000"/>
                <w:sz w:val="22"/>
                <w:szCs w:val="22"/>
              </w:rPr>
              <w:t>Total</w:t>
            </w:r>
          </w:p>
        </w:tc>
        <w:tc>
          <w:tcPr>
            <w:tcW w:w="1223" w:type="dxa"/>
            <w:tcBorders>
              <w:top w:val="nil"/>
              <w:left w:val="nil"/>
              <w:bottom w:val="single" w:sz="8" w:space="0" w:color="auto"/>
              <w:right w:val="single" w:sz="8" w:space="0" w:color="auto"/>
            </w:tcBorders>
            <w:shd w:val="clear" w:color="auto" w:fill="auto"/>
            <w:noWrap/>
            <w:vAlign w:val="center"/>
          </w:tcPr>
          <w:p w14:paraId="23DAF347" w14:textId="4C1DB975" w:rsidR="00B12F65" w:rsidRPr="00A93585" w:rsidRDefault="004A7A82" w:rsidP="00B12F65">
            <w:pPr>
              <w:jc w:val="right"/>
              <w:rPr>
                <w:rFonts w:eastAsia="Times New Roman" w:cs="Arial"/>
                <w:b/>
                <w:bCs/>
                <w:color w:val="000000"/>
                <w:sz w:val="22"/>
                <w:szCs w:val="22"/>
              </w:rPr>
            </w:pPr>
            <w:r w:rsidRPr="00A93585">
              <w:rPr>
                <w:rFonts w:cs="Arial"/>
                <w:b/>
                <w:bCs/>
                <w:color w:val="000000"/>
                <w:sz w:val="22"/>
                <w:szCs w:val="22"/>
              </w:rPr>
              <w:t>40</w:t>
            </w:r>
            <w:r w:rsidR="0031076B">
              <w:rPr>
                <w:rFonts w:cs="Arial"/>
                <w:b/>
                <w:bCs/>
                <w:color w:val="000000"/>
                <w:sz w:val="22"/>
                <w:szCs w:val="22"/>
              </w:rPr>
              <w:t>5.319</w:t>
            </w:r>
          </w:p>
        </w:tc>
        <w:tc>
          <w:tcPr>
            <w:tcW w:w="1467" w:type="dxa"/>
            <w:tcBorders>
              <w:top w:val="nil"/>
              <w:left w:val="nil"/>
              <w:bottom w:val="single" w:sz="8" w:space="0" w:color="auto"/>
              <w:right w:val="single" w:sz="8" w:space="0" w:color="auto"/>
            </w:tcBorders>
            <w:shd w:val="clear" w:color="auto" w:fill="auto"/>
            <w:noWrap/>
            <w:vAlign w:val="center"/>
          </w:tcPr>
          <w:p w14:paraId="21B3AC5B" w14:textId="25079C3A" w:rsidR="00B12F65" w:rsidRPr="00A93585" w:rsidRDefault="004A7A82" w:rsidP="00B12F65">
            <w:pPr>
              <w:jc w:val="right"/>
              <w:rPr>
                <w:rFonts w:eastAsia="Times New Roman" w:cs="Arial"/>
                <w:b/>
                <w:bCs/>
                <w:color w:val="000000"/>
                <w:sz w:val="22"/>
                <w:szCs w:val="22"/>
              </w:rPr>
            </w:pPr>
            <w:r w:rsidRPr="00A93585">
              <w:rPr>
                <w:rFonts w:cs="Arial"/>
                <w:b/>
                <w:bCs/>
                <w:color w:val="000000"/>
                <w:sz w:val="22"/>
                <w:szCs w:val="22"/>
              </w:rPr>
              <w:t>-220.593</w:t>
            </w:r>
          </w:p>
        </w:tc>
        <w:tc>
          <w:tcPr>
            <w:tcW w:w="1472" w:type="dxa"/>
            <w:gridSpan w:val="2"/>
            <w:tcBorders>
              <w:top w:val="nil"/>
              <w:left w:val="nil"/>
              <w:bottom w:val="single" w:sz="8" w:space="0" w:color="auto"/>
              <w:right w:val="single" w:sz="8" w:space="0" w:color="auto"/>
            </w:tcBorders>
            <w:shd w:val="clear" w:color="auto" w:fill="auto"/>
            <w:noWrap/>
            <w:vAlign w:val="center"/>
          </w:tcPr>
          <w:p w14:paraId="04E7F66E" w14:textId="5A246029" w:rsidR="00B12F65" w:rsidRPr="00A93585" w:rsidRDefault="004A7A82" w:rsidP="00B12F65">
            <w:pPr>
              <w:jc w:val="right"/>
              <w:rPr>
                <w:rFonts w:eastAsia="Times New Roman" w:cs="Arial"/>
                <w:b/>
                <w:bCs/>
                <w:color w:val="000000"/>
                <w:sz w:val="22"/>
                <w:szCs w:val="22"/>
              </w:rPr>
            </w:pPr>
            <w:r w:rsidRPr="00A93585">
              <w:rPr>
                <w:rFonts w:cs="Arial"/>
                <w:b/>
                <w:bCs/>
                <w:color w:val="000000"/>
                <w:sz w:val="22"/>
                <w:szCs w:val="22"/>
              </w:rPr>
              <w:t>18</w:t>
            </w:r>
            <w:r w:rsidR="007059C1">
              <w:rPr>
                <w:rFonts w:cs="Arial"/>
                <w:b/>
                <w:bCs/>
                <w:color w:val="000000"/>
                <w:sz w:val="22"/>
                <w:szCs w:val="22"/>
              </w:rPr>
              <w:t>4.726</w:t>
            </w:r>
          </w:p>
        </w:tc>
      </w:tr>
      <w:tr w:rsidR="00C92CD8" w14:paraId="18B133B2"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tcPr>
          <w:p w14:paraId="3B7C4552" w14:textId="77777777" w:rsidR="00B12F65" w:rsidRPr="00A93585" w:rsidRDefault="00B12F65" w:rsidP="00B12F65">
            <w:pPr>
              <w:rPr>
                <w:rFonts w:eastAsia="Times New Roman" w:cs="Arial"/>
                <w:color w:val="000000"/>
                <w:sz w:val="22"/>
                <w:szCs w:val="22"/>
              </w:rPr>
            </w:pPr>
          </w:p>
        </w:tc>
        <w:tc>
          <w:tcPr>
            <w:tcW w:w="1223" w:type="dxa"/>
            <w:tcBorders>
              <w:top w:val="nil"/>
              <w:left w:val="nil"/>
              <w:bottom w:val="single" w:sz="4" w:space="0" w:color="auto"/>
              <w:right w:val="single" w:sz="4" w:space="0" w:color="auto"/>
            </w:tcBorders>
            <w:shd w:val="clear" w:color="auto" w:fill="auto"/>
            <w:noWrap/>
            <w:vAlign w:val="bottom"/>
          </w:tcPr>
          <w:p w14:paraId="297C2785" w14:textId="77777777" w:rsidR="00B12F65" w:rsidRPr="00A93585" w:rsidRDefault="00B12F65" w:rsidP="00B12F65">
            <w:pPr>
              <w:jc w:val="right"/>
              <w:rPr>
                <w:rFonts w:eastAsia="Times New Roman" w:cs="Arial"/>
                <w:color w:val="000000"/>
                <w:sz w:val="22"/>
                <w:szCs w:val="22"/>
              </w:rPr>
            </w:pPr>
          </w:p>
        </w:tc>
        <w:tc>
          <w:tcPr>
            <w:tcW w:w="1467" w:type="dxa"/>
            <w:tcBorders>
              <w:top w:val="nil"/>
              <w:left w:val="nil"/>
              <w:bottom w:val="single" w:sz="4" w:space="0" w:color="auto"/>
              <w:right w:val="single" w:sz="4" w:space="0" w:color="auto"/>
            </w:tcBorders>
            <w:shd w:val="clear" w:color="auto" w:fill="auto"/>
            <w:noWrap/>
            <w:vAlign w:val="bottom"/>
          </w:tcPr>
          <w:p w14:paraId="1B04E3CC" w14:textId="77777777" w:rsidR="00B12F65" w:rsidRPr="00A93585" w:rsidRDefault="00B12F65" w:rsidP="00B12F65">
            <w:pPr>
              <w:jc w:val="right"/>
              <w:rPr>
                <w:rFonts w:eastAsia="Times New Roman" w:cs="Arial"/>
                <w:color w:val="000000"/>
                <w:sz w:val="22"/>
                <w:szCs w:val="22"/>
              </w:rPr>
            </w:pPr>
          </w:p>
        </w:tc>
        <w:tc>
          <w:tcPr>
            <w:tcW w:w="1472" w:type="dxa"/>
            <w:gridSpan w:val="2"/>
            <w:tcBorders>
              <w:top w:val="nil"/>
              <w:left w:val="nil"/>
              <w:bottom w:val="single" w:sz="4" w:space="0" w:color="auto"/>
              <w:right w:val="single" w:sz="4" w:space="0" w:color="auto"/>
            </w:tcBorders>
            <w:shd w:val="clear" w:color="auto" w:fill="auto"/>
            <w:noWrap/>
            <w:vAlign w:val="bottom"/>
          </w:tcPr>
          <w:p w14:paraId="25A3D1B8" w14:textId="77777777" w:rsidR="00B12F65" w:rsidRPr="00A93585" w:rsidRDefault="00B12F65" w:rsidP="00B12F65">
            <w:pPr>
              <w:jc w:val="right"/>
              <w:rPr>
                <w:rFonts w:eastAsia="Times New Roman" w:cs="Arial"/>
                <w:color w:val="000000"/>
                <w:sz w:val="22"/>
                <w:szCs w:val="22"/>
              </w:rPr>
            </w:pPr>
          </w:p>
        </w:tc>
      </w:tr>
      <w:tr w:rsidR="00C92CD8" w14:paraId="7C1DADD3"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tcPr>
          <w:p w14:paraId="75F18ECB" w14:textId="4B8140EE" w:rsidR="00B12F65" w:rsidRPr="00A93585" w:rsidRDefault="004A7A82" w:rsidP="00B12F65">
            <w:pPr>
              <w:rPr>
                <w:rFonts w:eastAsia="Times New Roman" w:cs="Arial"/>
                <w:b/>
                <w:bCs/>
                <w:color w:val="000000"/>
                <w:sz w:val="22"/>
                <w:szCs w:val="22"/>
              </w:rPr>
            </w:pPr>
            <w:r w:rsidRPr="00A93585">
              <w:rPr>
                <w:rFonts w:eastAsia="Times New Roman" w:cs="Arial"/>
                <w:b/>
                <w:bCs/>
                <w:color w:val="000000"/>
                <w:sz w:val="22"/>
                <w:szCs w:val="22"/>
              </w:rPr>
              <w:t>Resources and Chief Executive Services</w:t>
            </w:r>
          </w:p>
        </w:tc>
        <w:tc>
          <w:tcPr>
            <w:tcW w:w="1223" w:type="dxa"/>
            <w:tcBorders>
              <w:top w:val="nil"/>
              <w:left w:val="nil"/>
              <w:bottom w:val="single" w:sz="4" w:space="0" w:color="auto"/>
              <w:right w:val="single" w:sz="4" w:space="0" w:color="auto"/>
            </w:tcBorders>
            <w:shd w:val="clear" w:color="auto" w:fill="auto"/>
            <w:noWrap/>
            <w:vAlign w:val="bottom"/>
          </w:tcPr>
          <w:p w14:paraId="4EFFEEFE" w14:textId="77777777" w:rsidR="00B12F65" w:rsidRPr="00A93585" w:rsidRDefault="00B12F65" w:rsidP="00B12F65">
            <w:pPr>
              <w:jc w:val="right"/>
              <w:rPr>
                <w:rFonts w:eastAsia="Times New Roman" w:cs="Arial"/>
                <w:color w:val="000000"/>
                <w:sz w:val="22"/>
                <w:szCs w:val="22"/>
              </w:rPr>
            </w:pPr>
          </w:p>
        </w:tc>
        <w:tc>
          <w:tcPr>
            <w:tcW w:w="1467" w:type="dxa"/>
            <w:tcBorders>
              <w:top w:val="nil"/>
              <w:left w:val="nil"/>
              <w:bottom w:val="single" w:sz="4" w:space="0" w:color="auto"/>
              <w:right w:val="single" w:sz="4" w:space="0" w:color="auto"/>
            </w:tcBorders>
            <w:shd w:val="clear" w:color="auto" w:fill="auto"/>
            <w:noWrap/>
            <w:vAlign w:val="bottom"/>
          </w:tcPr>
          <w:p w14:paraId="4B8059D1" w14:textId="77777777" w:rsidR="00B12F65" w:rsidRPr="00A93585" w:rsidRDefault="00B12F65" w:rsidP="00B12F65">
            <w:pPr>
              <w:jc w:val="right"/>
              <w:rPr>
                <w:rFonts w:eastAsia="Times New Roman" w:cs="Arial"/>
                <w:color w:val="000000"/>
                <w:sz w:val="22"/>
                <w:szCs w:val="22"/>
              </w:rPr>
            </w:pPr>
          </w:p>
        </w:tc>
        <w:tc>
          <w:tcPr>
            <w:tcW w:w="1472" w:type="dxa"/>
            <w:gridSpan w:val="2"/>
            <w:tcBorders>
              <w:top w:val="nil"/>
              <w:left w:val="nil"/>
              <w:bottom w:val="single" w:sz="4" w:space="0" w:color="auto"/>
              <w:right w:val="single" w:sz="4" w:space="0" w:color="auto"/>
            </w:tcBorders>
            <w:shd w:val="clear" w:color="auto" w:fill="auto"/>
            <w:noWrap/>
            <w:vAlign w:val="bottom"/>
          </w:tcPr>
          <w:p w14:paraId="16029513" w14:textId="77777777" w:rsidR="00B12F65" w:rsidRPr="00A93585" w:rsidRDefault="00B12F65" w:rsidP="00B12F65">
            <w:pPr>
              <w:jc w:val="right"/>
              <w:rPr>
                <w:rFonts w:eastAsia="Times New Roman" w:cs="Arial"/>
                <w:color w:val="000000"/>
                <w:sz w:val="22"/>
                <w:szCs w:val="22"/>
              </w:rPr>
            </w:pPr>
          </w:p>
        </w:tc>
      </w:tr>
      <w:tr w:rsidR="00C92CD8" w14:paraId="0C890705"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D75994" w14:textId="3C72C89D" w:rsidR="00B12F65" w:rsidRPr="00363C39" w:rsidRDefault="004A7A82" w:rsidP="00B12F65">
            <w:pPr>
              <w:rPr>
                <w:rFonts w:eastAsia="Times New Roman" w:cs="Arial"/>
                <w:color w:val="000000"/>
                <w:sz w:val="22"/>
                <w:szCs w:val="22"/>
              </w:rPr>
            </w:pPr>
            <w:r w:rsidRPr="00363C39">
              <w:rPr>
                <w:rFonts w:eastAsia="Times New Roman" w:cs="Arial"/>
                <w:color w:val="000000"/>
                <w:sz w:val="22"/>
                <w:szCs w:val="22"/>
              </w:rPr>
              <w:t>Resources</w:t>
            </w:r>
            <w:r w:rsidR="000A5B26">
              <w:rPr>
                <w:rFonts w:eastAsia="Times New Roman" w:cs="Arial"/>
                <w:color w:val="000000"/>
                <w:sz w:val="22"/>
                <w:szCs w:val="22"/>
              </w:rPr>
              <w:t xml:space="preserve"> &amp; Chief Executive Services</w:t>
            </w:r>
          </w:p>
        </w:tc>
        <w:tc>
          <w:tcPr>
            <w:tcW w:w="1223" w:type="dxa"/>
            <w:tcBorders>
              <w:top w:val="nil"/>
              <w:left w:val="nil"/>
              <w:bottom w:val="single" w:sz="4" w:space="0" w:color="auto"/>
              <w:right w:val="single" w:sz="4" w:space="0" w:color="auto"/>
            </w:tcBorders>
            <w:shd w:val="clear" w:color="auto" w:fill="auto"/>
            <w:noWrap/>
            <w:vAlign w:val="bottom"/>
            <w:hideMark/>
          </w:tcPr>
          <w:p w14:paraId="19944694" w14:textId="055FC6AD" w:rsidR="00B12F65" w:rsidRPr="00363C39" w:rsidRDefault="004A7A82" w:rsidP="00B12F65">
            <w:pPr>
              <w:jc w:val="right"/>
              <w:rPr>
                <w:rFonts w:eastAsia="Times New Roman" w:cs="Arial"/>
                <w:color w:val="000000"/>
                <w:sz w:val="22"/>
                <w:szCs w:val="22"/>
              </w:rPr>
            </w:pPr>
            <w:r w:rsidRPr="00363C39">
              <w:rPr>
                <w:rFonts w:eastAsia="Times New Roman" w:cs="Arial"/>
                <w:color w:val="000000"/>
                <w:sz w:val="22"/>
                <w:szCs w:val="22"/>
              </w:rPr>
              <w:t>1</w:t>
            </w:r>
            <w:r w:rsidR="005512F8">
              <w:rPr>
                <w:rFonts w:eastAsia="Times New Roman" w:cs="Arial"/>
                <w:color w:val="000000"/>
                <w:sz w:val="22"/>
                <w:szCs w:val="22"/>
              </w:rPr>
              <w:t>4.876</w:t>
            </w:r>
            <w:r w:rsidRPr="00363C39">
              <w:rPr>
                <w:rFonts w:eastAsia="Times New Roman" w:cs="Arial"/>
                <w:color w:val="000000"/>
                <w:sz w:val="22"/>
                <w:szCs w:val="22"/>
              </w:rPr>
              <w:t xml:space="preserve"> </w:t>
            </w:r>
          </w:p>
        </w:tc>
        <w:tc>
          <w:tcPr>
            <w:tcW w:w="1467" w:type="dxa"/>
            <w:tcBorders>
              <w:top w:val="nil"/>
              <w:left w:val="nil"/>
              <w:bottom w:val="single" w:sz="4" w:space="0" w:color="auto"/>
              <w:right w:val="single" w:sz="4" w:space="0" w:color="auto"/>
            </w:tcBorders>
            <w:shd w:val="clear" w:color="auto" w:fill="auto"/>
            <w:noWrap/>
            <w:vAlign w:val="bottom"/>
            <w:hideMark/>
          </w:tcPr>
          <w:p w14:paraId="68645E00" w14:textId="77777777" w:rsidR="00B12F65" w:rsidRPr="00363C39" w:rsidRDefault="004A7A82" w:rsidP="00B12F65">
            <w:pPr>
              <w:jc w:val="right"/>
              <w:rPr>
                <w:rFonts w:eastAsia="Times New Roman" w:cs="Arial"/>
                <w:color w:val="000000"/>
                <w:sz w:val="22"/>
                <w:szCs w:val="22"/>
              </w:rPr>
            </w:pPr>
            <w:r w:rsidRPr="00363C39">
              <w:rPr>
                <w:rFonts w:eastAsia="Times New Roman" w:cs="Arial"/>
                <w:color w:val="000000"/>
                <w:sz w:val="22"/>
                <w:szCs w:val="22"/>
              </w:rPr>
              <w:t xml:space="preserve">-1.340 </w:t>
            </w:r>
          </w:p>
        </w:tc>
        <w:tc>
          <w:tcPr>
            <w:tcW w:w="1472" w:type="dxa"/>
            <w:gridSpan w:val="2"/>
            <w:tcBorders>
              <w:top w:val="nil"/>
              <w:left w:val="nil"/>
              <w:bottom w:val="single" w:sz="4" w:space="0" w:color="auto"/>
              <w:right w:val="single" w:sz="4" w:space="0" w:color="auto"/>
            </w:tcBorders>
            <w:shd w:val="clear" w:color="auto" w:fill="auto"/>
            <w:noWrap/>
            <w:vAlign w:val="bottom"/>
            <w:hideMark/>
          </w:tcPr>
          <w:p w14:paraId="6D7715B7" w14:textId="0415A524" w:rsidR="00B12F65" w:rsidRPr="00363C39" w:rsidRDefault="004A7A82" w:rsidP="00B12F65">
            <w:pPr>
              <w:jc w:val="right"/>
              <w:rPr>
                <w:rFonts w:eastAsia="Times New Roman" w:cs="Arial"/>
                <w:color w:val="000000"/>
                <w:sz w:val="22"/>
                <w:szCs w:val="22"/>
              </w:rPr>
            </w:pPr>
            <w:r>
              <w:rPr>
                <w:rFonts w:eastAsia="Times New Roman" w:cs="Arial"/>
                <w:color w:val="000000"/>
                <w:sz w:val="22"/>
                <w:szCs w:val="22"/>
              </w:rPr>
              <w:t>1</w:t>
            </w:r>
            <w:r w:rsidR="005512F8">
              <w:rPr>
                <w:rFonts w:eastAsia="Times New Roman" w:cs="Arial"/>
                <w:color w:val="000000"/>
                <w:sz w:val="22"/>
                <w:szCs w:val="22"/>
              </w:rPr>
              <w:t>3.536</w:t>
            </w:r>
          </w:p>
        </w:tc>
      </w:tr>
      <w:tr w:rsidR="00C92CD8" w14:paraId="187D63DD"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DEEFE7" w14:textId="77777777" w:rsidR="00B12F65" w:rsidRPr="00363C39" w:rsidRDefault="004A7A82" w:rsidP="00B12F65">
            <w:pPr>
              <w:rPr>
                <w:rFonts w:eastAsia="Times New Roman" w:cs="Arial"/>
                <w:color w:val="000000"/>
                <w:sz w:val="22"/>
                <w:szCs w:val="22"/>
              </w:rPr>
            </w:pPr>
            <w:r w:rsidRPr="00363C39">
              <w:rPr>
                <w:rFonts w:eastAsia="Times New Roman" w:cs="Arial"/>
                <w:color w:val="000000"/>
                <w:sz w:val="22"/>
                <w:szCs w:val="22"/>
              </w:rPr>
              <w:t>Finance Services</w:t>
            </w:r>
          </w:p>
        </w:tc>
        <w:tc>
          <w:tcPr>
            <w:tcW w:w="1223" w:type="dxa"/>
            <w:tcBorders>
              <w:top w:val="nil"/>
              <w:left w:val="nil"/>
              <w:bottom w:val="single" w:sz="4" w:space="0" w:color="auto"/>
              <w:right w:val="single" w:sz="4" w:space="0" w:color="auto"/>
            </w:tcBorders>
            <w:shd w:val="clear" w:color="auto" w:fill="auto"/>
            <w:noWrap/>
            <w:vAlign w:val="bottom"/>
            <w:hideMark/>
          </w:tcPr>
          <w:p w14:paraId="26A66DC0" w14:textId="682CDB4D" w:rsidR="00B12F65" w:rsidRPr="00363C39" w:rsidRDefault="004A7A82" w:rsidP="00B12F65">
            <w:pPr>
              <w:jc w:val="right"/>
              <w:rPr>
                <w:rFonts w:eastAsia="Times New Roman" w:cs="Arial"/>
                <w:color w:val="000000"/>
                <w:sz w:val="22"/>
                <w:szCs w:val="22"/>
              </w:rPr>
            </w:pPr>
            <w:r>
              <w:rPr>
                <w:rFonts w:eastAsia="Times New Roman" w:cs="Arial"/>
                <w:color w:val="000000"/>
                <w:sz w:val="22"/>
                <w:szCs w:val="22"/>
              </w:rPr>
              <w:t>36.623</w:t>
            </w:r>
          </w:p>
        </w:tc>
        <w:tc>
          <w:tcPr>
            <w:tcW w:w="1467" w:type="dxa"/>
            <w:tcBorders>
              <w:top w:val="nil"/>
              <w:left w:val="nil"/>
              <w:bottom w:val="single" w:sz="4" w:space="0" w:color="auto"/>
              <w:right w:val="single" w:sz="4" w:space="0" w:color="auto"/>
            </w:tcBorders>
            <w:shd w:val="clear" w:color="auto" w:fill="auto"/>
            <w:noWrap/>
            <w:vAlign w:val="bottom"/>
            <w:hideMark/>
          </w:tcPr>
          <w:p w14:paraId="59CD29E7" w14:textId="77777777" w:rsidR="00B12F65" w:rsidRPr="00363C39" w:rsidRDefault="004A7A82" w:rsidP="00B12F65">
            <w:pPr>
              <w:jc w:val="right"/>
              <w:rPr>
                <w:rFonts w:eastAsia="Times New Roman" w:cs="Arial"/>
                <w:color w:val="000000"/>
                <w:sz w:val="22"/>
                <w:szCs w:val="22"/>
              </w:rPr>
            </w:pPr>
            <w:r w:rsidRPr="00363C39">
              <w:rPr>
                <w:rFonts w:eastAsia="Times New Roman" w:cs="Arial"/>
                <w:color w:val="000000"/>
                <w:sz w:val="22"/>
                <w:szCs w:val="22"/>
              </w:rPr>
              <w:t xml:space="preserve">-16.526 </w:t>
            </w:r>
          </w:p>
        </w:tc>
        <w:tc>
          <w:tcPr>
            <w:tcW w:w="1472" w:type="dxa"/>
            <w:gridSpan w:val="2"/>
            <w:tcBorders>
              <w:top w:val="nil"/>
              <w:left w:val="nil"/>
              <w:bottom w:val="single" w:sz="4" w:space="0" w:color="auto"/>
              <w:right w:val="single" w:sz="4" w:space="0" w:color="auto"/>
            </w:tcBorders>
            <w:shd w:val="clear" w:color="auto" w:fill="auto"/>
            <w:noWrap/>
            <w:vAlign w:val="bottom"/>
            <w:hideMark/>
          </w:tcPr>
          <w:p w14:paraId="2ECD63E0" w14:textId="00B084C6" w:rsidR="00B12F65" w:rsidRPr="00363C39" w:rsidRDefault="004A7A82" w:rsidP="00B12F65">
            <w:pPr>
              <w:jc w:val="right"/>
              <w:rPr>
                <w:rFonts w:eastAsia="Times New Roman" w:cs="Arial"/>
                <w:color w:val="000000"/>
                <w:sz w:val="22"/>
                <w:szCs w:val="22"/>
              </w:rPr>
            </w:pPr>
            <w:r>
              <w:rPr>
                <w:rFonts w:eastAsia="Times New Roman" w:cs="Arial"/>
                <w:color w:val="000000"/>
                <w:sz w:val="22"/>
                <w:szCs w:val="22"/>
              </w:rPr>
              <w:t>20.097</w:t>
            </w:r>
          </w:p>
        </w:tc>
      </w:tr>
      <w:tr w:rsidR="00C92CD8" w14:paraId="0EC1C59C"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6CE6CF" w14:textId="77777777" w:rsidR="00B12F65" w:rsidRPr="00363C39" w:rsidRDefault="004A7A82" w:rsidP="00B12F65">
            <w:pPr>
              <w:rPr>
                <w:rFonts w:eastAsia="Times New Roman" w:cs="Arial"/>
                <w:color w:val="000000"/>
                <w:sz w:val="22"/>
                <w:szCs w:val="22"/>
              </w:rPr>
            </w:pPr>
            <w:r w:rsidRPr="00363C39">
              <w:rPr>
                <w:rFonts w:eastAsia="Times New Roman" w:cs="Arial"/>
                <w:color w:val="000000"/>
                <w:sz w:val="22"/>
                <w:szCs w:val="22"/>
              </w:rPr>
              <w:t>Strategy and Performance</w:t>
            </w:r>
          </w:p>
        </w:tc>
        <w:tc>
          <w:tcPr>
            <w:tcW w:w="1223" w:type="dxa"/>
            <w:tcBorders>
              <w:top w:val="nil"/>
              <w:left w:val="nil"/>
              <w:bottom w:val="single" w:sz="4" w:space="0" w:color="auto"/>
              <w:right w:val="single" w:sz="4" w:space="0" w:color="auto"/>
            </w:tcBorders>
            <w:shd w:val="clear" w:color="auto" w:fill="auto"/>
            <w:noWrap/>
            <w:vAlign w:val="bottom"/>
            <w:hideMark/>
          </w:tcPr>
          <w:p w14:paraId="75DF5EA6" w14:textId="77777777" w:rsidR="00B12F65" w:rsidRPr="00363C39" w:rsidRDefault="004A7A82" w:rsidP="00B12F65">
            <w:pPr>
              <w:jc w:val="right"/>
              <w:rPr>
                <w:rFonts w:eastAsia="Times New Roman" w:cs="Arial"/>
                <w:color w:val="000000"/>
                <w:sz w:val="22"/>
                <w:szCs w:val="22"/>
              </w:rPr>
            </w:pPr>
            <w:r w:rsidRPr="00363C39">
              <w:rPr>
                <w:rFonts w:eastAsia="Times New Roman" w:cs="Arial"/>
                <w:color w:val="000000"/>
                <w:sz w:val="22"/>
                <w:szCs w:val="22"/>
              </w:rPr>
              <w:t xml:space="preserve">136.041 </w:t>
            </w:r>
          </w:p>
        </w:tc>
        <w:tc>
          <w:tcPr>
            <w:tcW w:w="1467" w:type="dxa"/>
            <w:tcBorders>
              <w:top w:val="nil"/>
              <w:left w:val="nil"/>
              <w:bottom w:val="single" w:sz="4" w:space="0" w:color="auto"/>
              <w:right w:val="single" w:sz="4" w:space="0" w:color="auto"/>
            </w:tcBorders>
            <w:shd w:val="clear" w:color="auto" w:fill="auto"/>
            <w:noWrap/>
            <w:vAlign w:val="bottom"/>
            <w:hideMark/>
          </w:tcPr>
          <w:p w14:paraId="153F0323" w14:textId="77777777" w:rsidR="00B12F65" w:rsidRPr="00363C39" w:rsidRDefault="004A7A82" w:rsidP="00B12F65">
            <w:pPr>
              <w:jc w:val="right"/>
              <w:rPr>
                <w:rFonts w:eastAsia="Times New Roman" w:cs="Arial"/>
                <w:color w:val="000000"/>
                <w:sz w:val="22"/>
                <w:szCs w:val="22"/>
              </w:rPr>
            </w:pPr>
            <w:r w:rsidRPr="00363C39">
              <w:rPr>
                <w:rFonts w:eastAsia="Times New Roman" w:cs="Arial"/>
                <w:color w:val="000000"/>
                <w:sz w:val="22"/>
                <w:szCs w:val="22"/>
              </w:rPr>
              <w:t xml:space="preserve">-97.071 </w:t>
            </w:r>
          </w:p>
        </w:tc>
        <w:tc>
          <w:tcPr>
            <w:tcW w:w="1472" w:type="dxa"/>
            <w:gridSpan w:val="2"/>
            <w:tcBorders>
              <w:top w:val="nil"/>
              <w:left w:val="nil"/>
              <w:bottom w:val="single" w:sz="4" w:space="0" w:color="auto"/>
              <w:right w:val="single" w:sz="4" w:space="0" w:color="auto"/>
            </w:tcBorders>
            <w:shd w:val="clear" w:color="auto" w:fill="auto"/>
            <w:noWrap/>
            <w:vAlign w:val="bottom"/>
            <w:hideMark/>
          </w:tcPr>
          <w:p w14:paraId="2D6820DF" w14:textId="77777777" w:rsidR="00B12F65" w:rsidRPr="00363C39" w:rsidRDefault="004A7A82" w:rsidP="00B12F65">
            <w:pPr>
              <w:jc w:val="right"/>
              <w:rPr>
                <w:rFonts w:eastAsia="Times New Roman" w:cs="Arial"/>
                <w:color w:val="000000"/>
                <w:sz w:val="22"/>
                <w:szCs w:val="22"/>
              </w:rPr>
            </w:pPr>
            <w:r w:rsidRPr="00363C39">
              <w:rPr>
                <w:rFonts w:eastAsia="Times New Roman" w:cs="Arial"/>
                <w:color w:val="000000"/>
                <w:sz w:val="22"/>
                <w:szCs w:val="22"/>
              </w:rPr>
              <w:t xml:space="preserve">38.971 </w:t>
            </w:r>
          </w:p>
        </w:tc>
      </w:tr>
      <w:tr w:rsidR="00C92CD8" w14:paraId="6288CEB5"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C6A6CC" w14:textId="77777777" w:rsidR="00B12F65" w:rsidRPr="00363C39" w:rsidRDefault="004A7A82" w:rsidP="00B12F65">
            <w:pPr>
              <w:rPr>
                <w:rFonts w:eastAsia="Times New Roman" w:cs="Arial"/>
                <w:color w:val="000000"/>
                <w:sz w:val="22"/>
                <w:szCs w:val="22"/>
              </w:rPr>
            </w:pPr>
            <w:r w:rsidRPr="00363C39">
              <w:rPr>
                <w:rFonts w:eastAsia="Times New Roman" w:cs="Arial"/>
                <w:color w:val="000000"/>
                <w:sz w:val="22"/>
                <w:szCs w:val="22"/>
              </w:rPr>
              <w:t>Law and Governance</w:t>
            </w:r>
          </w:p>
        </w:tc>
        <w:tc>
          <w:tcPr>
            <w:tcW w:w="1223" w:type="dxa"/>
            <w:tcBorders>
              <w:top w:val="nil"/>
              <w:left w:val="nil"/>
              <w:bottom w:val="single" w:sz="4" w:space="0" w:color="auto"/>
              <w:right w:val="single" w:sz="4" w:space="0" w:color="auto"/>
            </w:tcBorders>
            <w:shd w:val="clear" w:color="auto" w:fill="auto"/>
            <w:noWrap/>
            <w:vAlign w:val="bottom"/>
            <w:hideMark/>
          </w:tcPr>
          <w:p w14:paraId="71F9B1A1" w14:textId="77777777" w:rsidR="00B12F65" w:rsidRPr="00363C39" w:rsidRDefault="004A7A82" w:rsidP="00B12F65">
            <w:pPr>
              <w:jc w:val="right"/>
              <w:rPr>
                <w:rFonts w:eastAsia="Times New Roman" w:cs="Arial"/>
                <w:color w:val="000000"/>
                <w:sz w:val="22"/>
                <w:szCs w:val="22"/>
              </w:rPr>
            </w:pPr>
            <w:r w:rsidRPr="00363C39">
              <w:rPr>
                <w:rFonts w:eastAsia="Times New Roman" w:cs="Arial"/>
                <w:color w:val="000000"/>
                <w:sz w:val="22"/>
                <w:szCs w:val="22"/>
              </w:rPr>
              <w:t xml:space="preserve">26.562 </w:t>
            </w:r>
          </w:p>
        </w:tc>
        <w:tc>
          <w:tcPr>
            <w:tcW w:w="1467" w:type="dxa"/>
            <w:tcBorders>
              <w:top w:val="nil"/>
              <w:left w:val="nil"/>
              <w:bottom w:val="single" w:sz="4" w:space="0" w:color="auto"/>
              <w:right w:val="single" w:sz="4" w:space="0" w:color="auto"/>
            </w:tcBorders>
            <w:shd w:val="clear" w:color="auto" w:fill="auto"/>
            <w:noWrap/>
            <w:vAlign w:val="bottom"/>
            <w:hideMark/>
          </w:tcPr>
          <w:p w14:paraId="13205F4F" w14:textId="77777777" w:rsidR="00B12F65" w:rsidRPr="00363C39" w:rsidRDefault="004A7A82" w:rsidP="00B12F65">
            <w:pPr>
              <w:jc w:val="right"/>
              <w:rPr>
                <w:rFonts w:eastAsia="Times New Roman" w:cs="Arial"/>
                <w:color w:val="000000"/>
                <w:sz w:val="22"/>
                <w:szCs w:val="22"/>
              </w:rPr>
            </w:pPr>
            <w:r w:rsidRPr="00363C39">
              <w:rPr>
                <w:rFonts w:eastAsia="Times New Roman" w:cs="Arial"/>
                <w:color w:val="000000"/>
                <w:sz w:val="22"/>
                <w:szCs w:val="22"/>
              </w:rPr>
              <w:t xml:space="preserve">-5.500 </w:t>
            </w:r>
          </w:p>
        </w:tc>
        <w:tc>
          <w:tcPr>
            <w:tcW w:w="1472" w:type="dxa"/>
            <w:gridSpan w:val="2"/>
            <w:tcBorders>
              <w:top w:val="nil"/>
              <w:left w:val="nil"/>
              <w:bottom w:val="single" w:sz="4" w:space="0" w:color="auto"/>
              <w:right w:val="single" w:sz="4" w:space="0" w:color="auto"/>
            </w:tcBorders>
            <w:shd w:val="clear" w:color="auto" w:fill="auto"/>
            <w:noWrap/>
            <w:vAlign w:val="bottom"/>
            <w:hideMark/>
          </w:tcPr>
          <w:p w14:paraId="5BF509E0" w14:textId="77777777" w:rsidR="00B12F65" w:rsidRPr="00363C39" w:rsidRDefault="004A7A82" w:rsidP="00B12F65">
            <w:pPr>
              <w:jc w:val="right"/>
              <w:rPr>
                <w:rFonts w:eastAsia="Times New Roman" w:cs="Arial"/>
                <w:color w:val="000000"/>
                <w:sz w:val="22"/>
                <w:szCs w:val="22"/>
              </w:rPr>
            </w:pPr>
            <w:r w:rsidRPr="00363C39">
              <w:rPr>
                <w:rFonts w:eastAsia="Times New Roman" w:cs="Arial"/>
                <w:color w:val="000000"/>
                <w:sz w:val="22"/>
                <w:szCs w:val="22"/>
              </w:rPr>
              <w:t xml:space="preserve">21.062 </w:t>
            </w:r>
          </w:p>
        </w:tc>
      </w:tr>
      <w:tr w:rsidR="00C92CD8" w14:paraId="4E48BAB7"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6EEB05" w14:textId="77777777" w:rsidR="00B12F65" w:rsidRPr="00363C39" w:rsidRDefault="004A7A82" w:rsidP="00B12F65">
            <w:pPr>
              <w:rPr>
                <w:rFonts w:eastAsia="Times New Roman" w:cs="Arial"/>
                <w:color w:val="000000"/>
                <w:sz w:val="22"/>
                <w:szCs w:val="22"/>
              </w:rPr>
            </w:pPr>
            <w:r w:rsidRPr="00363C39">
              <w:rPr>
                <w:rFonts w:eastAsia="Times New Roman" w:cs="Arial"/>
                <w:color w:val="000000"/>
                <w:sz w:val="22"/>
                <w:szCs w:val="22"/>
              </w:rPr>
              <w:t>Digital Service</w:t>
            </w:r>
          </w:p>
        </w:tc>
        <w:tc>
          <w:tcPr>
            <w:tcW w:w="1223" w:type="dxa"/>
            <w:tcBorders>
              <w:top w:val="nil"/>
              <w:left w:val="nil"/>
              <w:bottom w:val="single" w:sz="4" w:space="0" w:color="auto"/>
              <w:right w:val="single" w:sz="4" w:space="0" w:color="auto"/>
            </w:tcBorders>
            <w:shd w:val="clear" w:color="auto" w:fill="auto"/>
            <w:noWrap/>
            <w:vAlign w:val="bottom"/>
            <w:hideMark/>
          </w:tcPr>
          <w:p w14:paraId="7B3ADC8E" w14:textId="77777777" w:rsidR="00B12F65" w:rsidRPr="00363C39" w:rsidRDefault="004A7A82" w:rsidP="00B12F65">
            <w:pPr>
              <w:jc w:val="right"/>
              <w:rPr>
                <w:rFonts w:eastAsia="Times New Roman" w:cs="Arial"/>
                <w:color w:val="000000"/>
                <w:sz w:val="22"/>
                <w:szCs w:val="22"/>
              </w:rPr>
            </w:pPr>
            <w:r w:rsidRPr="00363C39">
              <w:rPr>
                <w:rFonts w:eastAsia="Times New Roman" w:cs="Arial"/>
                <w:color w:val="000000"/>
                <w:sz w:val="22"/>
                <w:szCs w:val="22"/>
              </w:rPr>
              <w:t xml:space="preserve">52.933 </w:t>
            </w:r>
          </w:p>
        </w:tc>
        <w:tc>
          <w:tcPr>
            <w:tcW w:w="1467" w:type="dxa"/>
            <w:tcBorders>
              <w:top w:val="nil"/>
              <w:left w:val="nil"/>
              <w:bottom w:val="single" w:sz="4" w:space="0" w:color="auto"/>
              <w:right w:val="single" w:sz="4" w:space="0" w:color="auto"/>
            </w:tcBorders>
            <w:shd w:val="clear" w:color="auto" w:fill="auto"/>
            <w:noWrap/>
            <w:vAlign w:val="bottom"/>
            <w:hideMark/>
          </w:tcPr>
          <w:p w14:paraId="1C2C2734" w14:textId="77777777" w:rsidR="00B12F65" w:rsidRPr="00363C39" w:rsidRDefault="004A7A82" w:rsidP="00B12F65">
            <w:pPr>
              <w:jc w:val="right"/>
              <w:rPr>
                <w:rFonts w:eastAsia="Times New Roman" w:cs="Arial"/>
                <w:color w:val="000000"/>
                <w:sz w:val="22"/>
                <w:szCs w:val="22"/>
              </w:rPr>
            </w:pPr>
            <w:r w:rsidRPr="00363C39">
              <w:rPr>
                <w:rFonts w:eastAsia="Times New Roman" w:cs="Arial"/>
                <w:color w:val="000000"/>
                <w:sz w:val="22"/>
                <w:szCs w:val="22"/>
              </w:rPr>
              <w:t xml:space="preserve">-12.649 </w:t>
            </w:r>
          </w:p>
        </w:tc>
        <w:tc>
          <w:tcPr>
            <w:tcW w:w="1472" w:type="dxa"/>
            <w:gridSpan w:val="2"/>
            <w:tcBorders>
              <w:top w:val="nil"/>
              <w:left w:val="nil"/>
              <w:bottom w:val="single" w:sz="4" w:space="0" w:color="auto"/>
              <w:right w:val="single" w:sz="4" w:space="0" w:color="auto"/>
            </w:tcBorders>
            <w:shd w:val="clear" w:color="auto" w:fill="auto"/>
            <w:noWrap/>
            <w:vAlign w:val="bottom"/>
            <w:hideMark/>
          </w:tcPr>
          <w:p w14:paraId="64E8B3DB" w14:textId="77777777" w:rsidR="00B12F65" w:rsidRPr="00363C39" w:rsidRDefault="004A7A82" w:rsidP="00B12F65">
            <w:pPr>
              <w:jc w:val="right"/>
              <w:rPr>
                <w:rFonts w:eastAsia="Times New Roman" w:cs="Arial"/>
                <w:color w:val="000000"/>
                <w:sz w:val="22"/>
                <w:szCs w:val="22"/>
              </w:rPr>
            </w:pPr>
            <w:r w:rsidRPr="00363C39">
              <w:rPr>
                <w:rFonts w:eastAsia="Times New Roman" w:cs="Arial"/>
                <w:color w:val="000000"/>
                <w:sz w:val="22"/>
                <w:szCs w:val="22"/>
              </w:rPr>
              <w:t xml:space="preserve">40.284 </w:t>
            </w:r>
          </w:p>
        </w:tc>
      </w:tr>
      <w:tr w:rsidR="00C92CD8" w14:paraId="4557080D"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2FD65F" w14:textId="77777777" w:rsidR="00B12F65" w:rsidRPr="00363C39" w:rsidRDefault="004A7A82" w:rsidP="00B12F65">
            <w:pPr>
              <w:rPr>
                <w:rFonts w:eastAsia="Times New Roman" w:cs="Arial"/>
                <w:color w:val="000000"/>
                <w:sz w:val="22"/>
                <w:szCs w:val="22"/>
              </w:rPr>
            </w:pPr>
            <w:r w:rsidRPr="00363C39">
              <w:rPr>
                <w:rFonts w:eastAsia="Times New Roman" w:cs="Arial"/>
                <w:color w:val="000000"/>
                <w:sz w:val="22"/>
                <w:szCs w:val="22"/>
              </w:rPr>
              <w:t>Communications</w:t>
            </w:r>
          </w:p>
        </w:tc>
        <w:tc>
          <w:tcPr>
            <w:tcW w:w="1223" w:type="dxa"/>
            <w:tcBorders>
              <w:top w:val="nil"/>
              <w:left w:val="nil"/>
              <w:bottom w:val="single" w:sz="4" w:space="0" w:color="auto"/>
              <w:right w:val="single" w:sz="4" w:space="0" w:color="auto"/>
            </w:tcBorders>
            <w:shd w:val="clear" w:color="auto" w:fill="auto"/>
            <w:noWrap/>
            <w:vAlign w:val="bottom"/>
            <w:hideMark/>
          </w:tcPr>
          <w:p w14:paraId="613FD6D2" w14:textId="77777777" w:rsidR="00B12F65" w:rsidRPr="00363C39" w:rsidRDefault="004A7A82" w:rsidP="00B12F65">
            <w:pPr>
              <w:jc w:val="right"/>
              <w:rPr>
                <w:rFonts w:eastAsia="Times New Roman" w:cs="Arial"/>
                <w:color w:val="000000"/>
                <w:sz w:val="22"/>
                <w:szCs w:val="22"/>
              </w:rPr>
            </w:pPr>
            <w:r w:rsidRPr="00363C39">
              <w:rPr>
                <w:rFonts w:eastAsia="Times New Roman" w:cs="Arial"/>
                <w:color w:val="000000"/>
                <w:sz w:val="22"/>
                <w:szCs w:val="22"/>
              </w:rPr>
              <w:t xml:space="preserve">1.775 </w:t>
            </w:r>
          </w:p>
        </w:tc>
        <w:tc>
          <w:tcPr>
            <w:tcW w:w="1467" w:type="dxa"/>
            <w:tcBorders>
              <w:top w:val="nil"/>
              <w:left w:val="nil"/>
              <w:bottom w:val="single" w:sz="4" w:space="0" w:color="auto"/>
              <w:right w:val="single" w:sz="4" w:space="0" w:color="auto"/>
            </w:tcBorders>
            <w:shd w:val="clear" w:color="auto" w:fill="auto"/>
            <w:noWrap/>
            <w:vAlign w:val="bottom"/>
            <w:hideMark/>
          </w:tcPr>
          <w:p w14:paraId="69212E19" w14:textId="77777777" w:rsidR="00B12F65" w:rsidRPr="00363C39" w:rsidRDefault="004A7A82" w:rsidP="00B12F65">
            <w:pPr>
              <w:jc w:val="right"/>
              <w:rPr>
                <w:rFonts w:eastAsia="Times New Roman" w:cs="Arial"/>
                <w:color w:val="000000"/>
                <w:sz w:val="22"/>
                <w:szCs w:val="22"/>
              </w:rPr>
            </w:pPr>
            <w:r w:rsidRPr="00363C39">
              <w:rPr>
                <w:rFonts w:eastAsia="Times New Roman" w:cs="Arial"/>
                <w:color w:val="000000"/>
                <w:sz w:val="22"/>
                <w:szCs w:val="22"/>
              </w:rPr>
              <w:t xml:space="preserve">-0.198 </w:t>
            </w:r>
          </w:p>
        </w:tc>
        <w:tc>
          <w:tcPr>
            <w:tcW w:w="1472" w:type="dxa"/>
            <w:gridSpan w:val="2"/>
            <w:tcBorders>
              <w:top w:val="nil"/>
              <w:left w:val="nil"/>
              <w:bottom w:val="single" w:sz="4" w:space="0" w:color="auto"/>
              <w:right w:val="single" w:sz="4" w:space="0" w:color="auto"/>
            </w:tcBorders>
            <w:shd w:val="clear" w:color="auto" w:fill="auto"/>
            <w:noWrap/>
            <w:vAlign w:val="bottom"/>
            <w:hideMark/>
          </w:tcPr>
          <w:p w14:paraId="38F25FEE" w14:textId="77777777" w:rsidR="00B12F65" w:rsidRPr="00363C39" w:rsidRDefault="004A7A82" w:rsidP="00B12F65">
            <w:pPr>
              <w:jc w:val="right"/>
              <w:rPr>
                <w:rFonts w:eastAsia="Times New Roman" w:cs="Arial"/>
                <w:color w:val="000000"/>
                <w:sz w:val="22"/>
                <w:szCs w:val="22"/>
              </w:rPr>
            </w:pPr>
            <w:r w:rsidRPr="00363C39">
              <w:rPr>
                <w:rFonts w:eastAsia="Times New Roman" w:cs="Arial"/>
                <w:color w:val="000000"/>
                <w:sz w:val="22"/>
                <w:szCs w:val="22"/>
              </w:rPr>
              <w:t xml:space="preserve">1.577 </w:t>
            </w:r>
          </w:p>
        </w:tc>
      </w:tr>
      <w:tr w:rsidR="00C92CD8" w14:paraId="4F9EE06E"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DCA55A" w14:textId="77777777" w:rsidR="00B12F65" w:rsidRPr="00363C39" w:rsidRDefault="004A7A82" w:rsidP="00B12F65">
            <w:pPr>
              <w:rPr>
                <w:rFonts w:eastAsia="Times New Roman" w:cs="Arial"/>
                <w:color w:val="000000"/>
                <w:sz w:val="22"/>
                <w:szCs w:val="22"/>
              </w:rPr>
            </w:pPr>
            <w:r w:rsidRPr="00363C39">
              <w:rPr>
                <w:rFonts w:eastAsia="Times New Roman" w:cs="Arial"/>
                <w:color w:val="000000"/>
                <w:sz w:val="22"/>
                <w:szCs w:val="22"/>
              </w:rPr>
              <w:t>People Services</w:t>
            </w:r>
          </w:p>
        </w:tc>
        <w:tc>
          <w:tcPr>
            <w:tcW w:w="1223" w:type="dxa"/>
            <w:tcBorders>
              <w:top w:val="nil"/>
              <w:left w:val="nil"/>
              <w:bottom w:val="single" w:sz="4" w:space="0" w:color="auto"/>
              <w:right w:val="single" w:sz="4" w:space="0" w:color="auto"/>
            </w:tcBorders>
            <w:shd w:val="clear" w:color="auto" w:fill="auto"/>
            <w:noWrap/>
            <w:vAlign w:val="bottom"/>
            <w:hideMark/>
          </w:tcPr>
          <w:p w14:paraId="49C0443D" w14:textId="77777777" w:rsidR="00B12F65" w:rsidRPr="00363C39" w:rsidRDefault="004A7A82" w:rsidP="00B12F65">
            <w:pPr>
              <w:jc w:val="right"/>
              <w:rPr>
                <w:rFonts w:eastAsia="Times New Roman" w:cs="Arial"/>
                <w:color w:val="000000"/>
                <w:sz w:val="22"/>
                <w:szCs w:val="22"/>
              </w:rPr>
            </w:pPr>
            <w:r w:rsidRPr="00363C39">
              <w:rPr>
                <w:rFonts w:eastAsia="Times New Roman" w:cs="Arial"/>
                <w:color w:val="000000"/>
                <w:sz w:val="22"/>
                <w:szCs w:val="22"/>
              </w:rPr>
              <w:t xml:space="preserve">16.110 </w:t>
            </w:r>
          </w:p>
        </w:tc>
        <w:tc>
          <w:tcPr>
            <w:tcW w:w="1467" w:type="dxa"/>
            <w:tcBorders>
              <w:top w:val="nil"/>
              <w:left w:val="nil"/>
              <w:bottom w:val="single" w:sz="4" w:space="0" w:color="auto"/>
              <w:right w:val="single" w:sz="4" w:space="0" w:color="auto"/>
            </w:tcBorders>
            <w:shd w:val="clear" w:color="auto" w:fill="auto"/>
            <w:noWrap/>
            <w:vAlign w:val="bottom"/>
            <w:hideMark/>
          </w:tcPr>
          <w:p w14:paraId="7006AA21" w14:textId="77777777" w:rsidR="00B12F65" w:rsidRPr="00363C39" w:rsidRDefault="004A7A82" w:rsidP="00B12F65">
            <w:pPr>
              <w:jc w:val="right"/>
              <w:rPr>
                <w:rFonts w:eastAsia="Times New Roman" w:cs="Arial"/>
                <w:color w:val="000000"/>
                <w:sz w:val="22"/>
                <w:szCs w:val="22"/>
              </w:rPr>
            </w:pPr>
            <w:r w:rsidRPr="00363C39">
              <w:rPr>
                <w:rFonts w:eastAsia="Times New Roman" w:cs="Arial"/>
                <w:color w:val="000000"/>
                <w:sz w:val="22"/>
                <w:szCs w:val="22"/>
              </w:rPr>
              <w:t xml:space="preserve">-9.644 </w:t>
            </w:r>
          </w:p>
        </w:tc>
        <w:tc>
          <w:tcPr>
            <w:tcW w:w="1472" w:type="dxa"/>
            <w:gridSpan w:val="2"/>
            <w:tcBorders>
              <w:top w:val="nil"/>
              <w:left w:val="nil"/>
              <w:bottom w:val="single" w:sz="4" w:space="0" w:color="auto"/>
              <w:right w:val="single" w:sz="4" w:space="0" w:color="auto"/>
            </w:tcBorders>
            <w:shd w:val="clear" w:color="auto" w:fill="auto"/>
            <w:noWrap/>
            <w:vAlign w:val="bottom"/>
            <w:hideMark/>
          </w:tcPr>
          <w:p w14:paraId="4AB9A940" w14:textId="77777777" w:rsidR="00B12F65" w:rsidRPr="00363C39" w:rsidRDefault="004A7A82" w:rsidP="00B12F65">
            <w:pPr>
              <w:jc w:val="right"/>
              <w:rPr>
                <w:rFonts w:eastAsia="Times New Roman" w:cs="Arial"/>
                <w:color w:val="000000"/>
                <w:sz w:val="22"/>
                <w:szCs w:val="22"/>
              </w:rPr>
            </w:pPr>
            <w:r w:rsidRPr="00363C39">
              <w:rPr>
                <w:rFonts w:eastAsia="Times New Roman" w:cs="Arial"/>
                <w:color w:val="000000"/>
                <w:sz w:val="22"/>
                <w:szCs w:val="22"/>
              </w:rPr>
              <w:t xml:space="preserve">6.467 </w:t>
            </w:r>
          </w:p>
        </w:tc>
      </w:tr>
      <w:tr w:rsidR="00C92CD8" w14:paraId="1A631D64"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14B02F" w14:textId="77777777" w:rsidR="00B12F65" w:rsidRPr="00363C39" w:rsidRDefault="004A7A82" w:rsidP="00B12F65">
            <w:pPr>
              <w:rPr>
                <w:rFonts w:eastAsia="Times New Roman" w:cs="Arial"/>
                <w:color w:val="000000"/>
                <w:sz w:val="22"/>
                <w:szCs w:val="22"/>
              </w:rPr>
            </w:pPr>
            <w:r w:rsidRPr="00363C39">
              <w:rPr>
                <w:rFonts w:eastAsia="Times New Roman" w:cs="Arial"/>
                <w:color w:val="000000"/>
                <w:sz w:val="22"/>
                <w:szCs w:val="22"/>
              </w:rPr>
              <w:t>Organisational Development and Change</w:t>
            </w:r>
          </w:p>
        </w:tc>
        <w:tc>
          <w:tcPr>
            <w:tcW w:w="1223" w:type="dxa"/>
            <w:tcBorders>
              <w:top w:val="nil"/>
              <w:left w:val="nil"/>
              <w:bottom w:val="single" w:sz="4" w:space="0" w:color="auto"/>
              <w:right w:val="single" w:sz="4" w:space="0" w:color="auto"/>
            </w:tcBorders>
            <w:shd w:val="clear" w:color="auto" w:fill="auto"/>
            <w:noWrap/>
            <w:vAlign w:val="bottom"/>
            <w:hideMark/>
          </w:tcPr>
          <w:p w14:paraId="3DB7B4D8" w14:textId="77777777" w:rsidR="00B12F65" w:rsidRPr="00363C39" w:rsidRDefault="004A7A82" w:rsidP="00B12F65">
            <w:pPr>
              <w:jc w:val="right"/>
              <w:rPr>
                <w:rFonts w:eastAsia="Times New Roman" w:cs="Arial"/>
                <w:color w:val="000000"/>
                <w:sz w:val="22"/>
                <w:szCs w:val="22"/>
              </w:rPr>
            </w:pPr>
            <w:r w:rsidRPr="00363C39">
              <w:rPr>
                <w:rFonts w:eastAsia="Times New Roman" w:cs="Arial"/>
                <w:color w:val="000000"/>
                <w:sz w:val="22"/>
                <w:szCs w:val="22"/>
              </w:rPr>
              <w:t xml:space="preserve">2.262 </w:t>
            </w:r>
          </w:p>
        </w:tc>
        <w:tc>
          <w:tcPr>
            <w:tcW w:w="1467" w:type="dxa"/>
            <w:tcBorders>
              <w:top w:val="nil"/>
              <w:left w:val="nil"/>
              <w:bottom w:val="single" w:sz="4" w:space="0" w:color="auto"/>
              <w:right w:val="single" w:sz="4" w:space="0" w:color="auto"/>
            </w:tcBorders>
            <w:shd w:val="clear" w:color="auto" w:fill="auto"/>
            <w:noWrap/>
            <w:vAlign w:val="bottom"/>
            <w:hideMark/>
          </w:tcPr>
          <w:p w14:paraId="4BA19E08" w14:textId="77777777" w:rsidR="00B12F65" w:rsidRPr="00363C39" w:rsidRDefault="004A7A82" w:rsidP="00B12F65">
            <w:pPr>
              <w:jc w:val="right"/>
              <w:rPr>
                <w:rFonts w:eastAsia="Times New Roman" w:cs="Arial"/>
                <w:color w:val="000000"/>
                <w:sz w:val="22"/>
                <w:szCs w:val="22"/>
              </w:rPr>
            </w:pPr>
            <w:r w:rsidRPr="00363C39">
              <w:rPr>
                <w:rFonts w:eastAsia="Times New Roman" w:cs="Arial"/>
                <w:color w:val="000000"/>
                <w:sz w:val="22"/>
                <w:szCs w:val="22"/>
              </w:rPr>
              <w:t xml:space="preserve">-0.102 </w:t>
            </w:r>
          </w:p>
        </w:tc>
        <w:tc>
          <w:tcPr>
            <w:tcW w:w="1472" w:type="dxa"/>
            <w:gridSpan w:val="2"/>
            <w:tcBorders>
              <w:top w:val="nil"/>
              <w:left w:val="nil"/>
              <w:bottom w:val="single" w:sz="4" w:space="0" w:color="auto"/>
              <w:right w:val="single" w:sz="4" w:space="0" w:color="auto"/>
            </w:tcBorders>
            <w:shd w:val="clear" w:color="auto" w:fill="auto"/>
            <w:noWrap/>
            <w:vAlign w:val="bottom"/>
            <w:hideMark/>
          </w:tcPr>
          <w:p w14:paraId="12387166" w14:textId="77777777" w:rsidR="00B12F65" w:rsidRPr="00363C39" w:rsidRDefault="004A7A82" w:rsidP="00B12F65">
            <w:pPr>
              <w:jc w:val="right"/>
              <w:rPr>
                <w:rFonts w:eastAsia="Times New Roman" w:cs="Arial"/>
                <w:color w:val="000000"/>
                <w:sz w:val="22"/>
                <w:szCs w:val="22"/>
              </w:rPr>
            </w:pPr>
            <w:r w:rsidRPr="00363C39">
              <w:rPr>
                <w:rFonts w:eastAsia="Times New Roman" w:cs="Arial"/>
                <w:color w:val="000000"/>
                <w:sz w:val="22"/>
                <w:szCs w:val="22"/>
              </w:rPr>
              <w:t xml:space="preserve">2.160 </w:t>
            </w:r>
          </w:p>
        </w:tc>
      </w:tr>
      <w:tr w:rsidR="00C92CD8" w14:paraId="6ABE1EC0"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tcPr>
          <w:p w14:paraId="2A6ACF51" w14:textId="0FF8D79C" w:rsidR="00607F14" w:rsidRPr="00A93585" w:rsidRDefault="004A7A82" w:rsidP="00607F14">
            <w:pPr>
              <w:jc w:val="right"/>
              <w:rPr>
                <w:rFonts w:eastAsia="Times New Roman" w:cs="Arial"/>
                <w:color w:val="000000"/>
                <w:sz w:val="22"/>
                <w:szCs w:val="22"/>
              </w:rPr>
            </w:pPr>
            <w:r w:rsidRPr="00A93585">
              <w:rPr>
                <w:rFonts w:eastAsia="Times New Roman" w:cs="Arial"/>
                <w:b/>
                <w:bCs/>
                <w:color w:val="000000"/>
                <w:sz w:val="22"/>
                <w:szCs w:val="22"/>
              </w:rPr>
              <w:t>Resources and Chief Executive Services Total</w:t>
            </w:r>
          </w:p>
        </w:tc>
        <w:tc>
          <w:tcPr>
            <w:tcW w:w="1223" w:type="dxa"/>
            <w:tcBorders>
              <w:top w:val="nil"/>
              <w:left w:val="nil"/>
              <w:bottom w:val="single" w:sz="8" w:space="0" w:color="auto"/>
              <w:right w:val="single" w:sz="8" w:space="0" w:color="auto"/>
            </w:tcBorders>
            <w:shd w:val="clear" w:color="auto" w:fill="auto"/>
            <w:noWrap/>
            <w:vAlign w:val="center"/>
          </w:tcPr>
          <w:p w14:paraId="5EA030F0" w14:textId="57A888EA" w:rsidR="00607F14" w:rsidRPr="00A93585" w:rsidRDefault="004A7A82" w:rsidP="00607F14">
            <w:pPr>
              <w:jc w:val="right"/>
              <w:rPr>
                <w:rFonts w:eastAsia="Times New Roman" w:cs="Arial"/>
                <w:b/>
                <w:bCs/>
                <w:color w:val="000000"/>
                <w:sz w:val="22"/>
                <w:szCs w:val="22"/>
              </w:rPr>
            </w:pPr>
            <w:r w:rsidRPr="00A93585">
              <w:rPr>
                <w:rFonts w:cs="Arial"/>
                <w:b/>
                <w:bCs/>
                <w:color w:val="000000"/>
                <w:sz w:val="22"/>
                <w:szCs w:val="22"/>
              </w:rPr>
              <w:t>28</w:t>
            </w:r>
            <w:r w:rsidR="00963F2A" w:rsidRPr="00A93585">
              <w:rPr>
                <w:rFonts w:cs="Arial"/>
                <w:b/>
                <w:bCs/>
                <w:color w:val="000000"/>
                <w:sz w:val="22"/>
                <w:szCs w:val="22"/>
              </w:rPr>
              <w:t>7.184</w:t>
            </w:r>
          </w:p>
        </w:tc>
        <w:tc>
          <w:tcPr>
            <w:tcW w:w="1467" w:type="dxa"/>
            <w:tcBorders>
              <w:top w:val="nil"/>
              <w:left w:val="nil"/>
              <w:bottom w:val="single" w:sz="8" w:space="0" w:color="auto"/>
              <w:right w:val="single" w:sz="8" w:space="0" w:color="auto"/>
            </w:tcBorders>
            <w:shd w:val="clear" w:color="auto" w:fill="auto"/>
            <w:noWrap/>
            <w:vAlign w:val="center"/>
          </w:tcPr>
          <w:p w14:paraId="42825136" w14:textId="24C8DD7D" w:rsidR="00607F14" w:rsidRPr="00A93585" w:rsidRDefault="004A7A82" w:rsidP="00607F14">
            <w:pPr>
              <w:jc w:val="right"/>
              <w:rPr>
                <w:rFonts w:eastAsia="Times New Roman" w:cs="Arial"/>
                <w:b/>
                <w:bCs/>
                <w:color w:val="000000"/>
                <w:sz w:val="22"/>
                <w:szCs w:val="22"/>
              </w:rPr>
            </w:pPr>
            <w:r w:rsidRPr="00A93585">
              <w:rPr>
                <w:rFonts w:cs="Arial"/>
                <w:b/>
                <w:bCs/>
                <w:color w:val="000000"/>
                <w:sz w:val="22"/>
                <w:szCs w:val="22"/>
              </w:rPr>
              <w:t>-143.029</w:t>
            </w:r>
          </w:p>
        </w:tc>
        <w:tc>
          <w:tcPr>
            <w:tcW w:w="1472" w:type="dxa"/>
            <w:gridSpan w:val="2"/>
            <w:tcBorders>
              <w:top w:val="nil"/>
              <w:left w:val="nil"/>
              <w:bottom w:val="single" w:sz="8" w:space="0" w:color="auto"/>
              <w:right w:val="single" w:sz="8" w:space="0" w:color="auto"/>
            </w:tcBorders>
            <w:shd w:val="clear" w:color="auto" w:fill="auto"/>
            <w:noWrap/>
            <w:vAlign w:val="center"/>
          </w:tcPr>
          <w:p w14:paraId="1C725F48" w14:textId="2B69E0C9" w:rsidR="00607F14" w:rsidRPr="00A93585" w:rsidRDefault="004A7A82" w:rsidP="00607F14">
            <w:pPr>
              <w:jc w:val="right"/>
              <w:rPr>
                <w:rFonts w:eastAsia="Times New Roman" w:cs="Arial"/>
                <w:b/>
                <w:bCs/>
                <w:color w:val="000000"/>
                <w:sz w:val="22"/>
                <w:szCs w:val="22"/>
              </w:rPr>
            </w:pPr>
            <w:r w:rsidRPr="00A93585">
              <w:rPr>
                <w:rFonts w:cs="Arial"/>
                <w:b/>
                <w:bCs/>
                <w:color w:val="000000"/>
                <w:sz w:val="22"/>
                <w:szCs w:val="22"/>
              </w:rPr>
              <w:t>14</w:t>
            </w:r>
            <w:r w:rsidR="00963F2A" w:rsidRPr="00A93585">
              <w:rPr>
                <w:rFonts w:cs="Arial"/>
                <w:b/>
                <w:bCs/>
                <w:color w:val="000000"/>
                <w:sz w:val="22"/>
                <w:szCs w:val="22"/>
              </w:rPr>
              <w:t>4.154</w:t>
            </w:r>
          </w:p>
        </w:tc>
      </w:tr>
      <w:tr w:rsidR="00C92CD8" w14:paraId="1B14788B"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3605F75" w14:textId="03B60E07" w:rsidR="00607F14" w:rsidRPr="00363C39" w:rsidRDefault="004A7A82" w:rsidP="00607F14">
            <w:pPr>
              <w:rPr>
                <w:rFonts w:eastAsia="Times New Roman" w:cs="Arial"/>
                <w:b/>
                <w:bCs/>
                <w:color w:val="000000"/>
                <w:sz w:val="22"/>
                <w:szCs w:val="22"/>
              </w:rPr>
            </w:pPr>
            <w:r w:rsidRPr="00A93585">
              <w:rPr>
                <w:rFonts w:eastAsia="Times New Roman" w:cs="Arial"/>
                <w:b/>
                <w:bCs/>
                <w:color w:val="000000"/>
                <w:sz w:val="22"/>
                <w:szCs w:val="22"/>
              </w:rPr>
              <w:t>Sub-total</w:t>
            </w:r>
          </w:p>
        </w:tc>
        <w:tc>
          <w:tcPr>
            <w:tcW w:w="1223" w:type="dxa"/>
            <w:tcBorders>
              <w:top w:val="nil"/>
              <w:left w:val="nil"/>
              <w:bottom w:val="single" w:sz="4" w:space="0" w:color="auto"/>
              <w:right w:val="single" w:sz="4" w:space="0" w:color="auto"/>
            </w:tcBorders>
            <w:shd w:val="clear" w:color="auto" w:fill="D9D9D9" w:themeFill="background1" w:themeFillShade="D9"/>
            <w:noWrap/>
            <w:vAlign w:val="center"/>
            <w:hideMark/>
          </w:tcPr>
          <w:p w14:paraId="533AEE55" w14:textId="7A82EBC0" w:rsidR="00607F14" w:rsidRPr="00363C39" w:rsidRDefault="004A7A82" w:rsidP="00607F14">
            <w:pPr>
              <w:jc w:val="right"/>
              <w:rPr>
                <w:rFonts w:eastAsia="Times New Roman" w:cs="Arial"/>
                <w:b/>
                <w:bCs/>
                <w:color w:val="000000"/>
                <w:sz w:val="22"/>
                <w:szCs w:val="22"/>
              </w:rPr>
            </w:pPr>
            <w:r w:rsidRPr="00363C39">
              <w:rPr>
                <w:rFonts w:eastAsia="Times New Roman" w:cs="Arial"/>
                <w:b/>
                <w:bCs/>
                <w:color w:val="000000"/>
                <w:sz w:val="22"/>
                <w:szCs w:val="22"/>
              </w:rPr>
              <w:t>1,84</w:t>
            </w:r>
            <w:r w:rsidR="00CD18FC">
              <w:rPr>
                <w:rFonts w:eastAsia="Times New Roman" w:cs="Arial"/>
                <w:b/>
                <w:bCs/>
                <w:color w:val="000000"/>
                <w:sz w:val="22"/>
                <w:szCs w:val="22"/>
              </w:rPr>
              <w:t>7.117</w:t>
            </w:r>
            <w:r w:rsidRPr="00363C39">
              <w:rPr>
                <w:rFonts w:eastAsia="Times New Roman" w:cs="Arial"/>
                <w:b/>
                <w:bCs/>
                <w:color w:val="000000"/>
                <w:sz w:val="22"/>
                <w:szCs w:val="22"/>
              </w:rPr>
              <w:t xml:space="preserve"> </w:t>
            </w:r>
          </w:p>
        </w:tc>
        <w:tc>
          <w:tcPr>
            <w:tcW w:w="1467" w:type="dxa"/>
            <w:tcBorders>
              <w:top w:val="nil"/>
              <w:left w:val="nil"/>
              <w:bottom w:val="single" w:sz="4" w:space="0" w:color="auto"/>
              <w:right w:val="single" w:sz="4" w:space="0" w:color="auto"/>
            </w:tcBorders>
            <w:shd w:val="clear" w:color="auto" w:fill="D9D9D9" w:themeFill="background1" w:themeFillShade="D9"/>
            <w:noWrap/>
            <w:vAlign w:val="center"/>
            <w:hideMark/>
          </w:tcPr>
          <w:p w14:paraId="16D62333" w14:textId="77777777" w:rsidR="00607F14" w:rsidRPr="00363C39" w:rsidRDefault="004A7A82" w:rsidP="00607F14">
            <w:pPr>
              <w:jc w:val="right"/>
              <w:rPr>
                <w:rFonts w:eastAsia="Times New Roman" w:cs="Arial"/>
                <w:b/>
                <w:bCs/>
                <w:color w:val="000000"/>
                <w:sz w:val="22"/>
                <w:szCs w:val="22"/>
              </w:rPr>
            </w:pPr>
            <w:r w:rsidRPr="00363C39">
              <w:rPr>
                <w:rFonts w:eastAsia="Times New Roman" w:cs="Arial"/>
                <w:b/>
                <w:bCs/>
                <w:color w:val="000000"/>
                <w:sz w:val="22"/>
                <w:szCs w:val="22"/>
              </w:rPr>
              <w:t xml:space="preserve">-780.844 </w:t>
            </w:r>
          </w:p>
        </w:tc>
        <w:tc>
          <w:tcPr>
            <w:tcW w:w="1472"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301119B8" w14:textId="0AAD04AB" w:rsidR="00607F14" w:rsidRPr="00363C39" w:rsidRDefault="004A7A82" w:rsidP="00607F14">
            <w:pPr>
              <w:jc w:val="right"/>
              <w:rPr>
                <w:rFonts w:eastAsia="Times New Roman" w:cs="Arial"/>
                <w:b/>
                <w:bCs/>
                <w:color w:val="000000"/>
                <w:sz w:val="22"/>
                <w:szCs w:val="22"/>
              </w:rPr>
            </w:pPr>
            <w:r w:rsidRPr="00363C39">
              <w:rPr>
                <w:rFonts w:eastAsia="Times New Roman" w:cs="Arial"/>
                <w:b/>
                <w:bCs/>
                <w:color w:val="000000"/>
                <w:sz w:val="22"/>
                <w:szCs w:val="22"/>
              </w:rPr>
              <w:t>1,06</w:t>
            </w:r>
            <w:r w:rsidR="00991834">
              <w:rPr>
                <w:rFonts w:eastAsia="Times New Roman" w:cs="Arial"/>
                <w:b/>
                <w:bCs/>
                <w:color w:val="000000"/>
                <w:sz w:val="22"/>
                <w:szCs w:val="22"/>
              </w:rPr>
              <w:t>6.273</w:t>
            </w:r>
            <w:r w:rsidRPr="00363C39">
              <w:rPr>
                <w:rFonts w:eastAsia="Times New Roman" w:cs="Arial"/>
                <w:b/>
                <w:bCs/>
                <w:color w:val="000000"/>
                <w:sz w:val="22"/>
                <w:szCs w:val="22"/>
              </w:rPr>
              <w:t xml:space="preserve"> </w:t>
            </w:r>
          </w:p>
        </w:tc>
      </w:tr>
      <w:tr w:rsidR="00C92CD8" w14:paraId="00110F53"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613805" w14:textId="77777777" w:rsidR="00607F14" w:rsidRPr="00363C39" w:rsidRDefault="004A7A82" w:rsidP="00607F14">
            <w:pPr>
              <w:rPr>
                <w:rFonts w:eastAsia="Times New Roman" w:cs="Arial"/>
                <w:color w:val="000000"/>
                <w:sz w:val="22"/>
                <w:szCs w:val="22"/>
              </w:rPr>
            </w:pPr>
            <w:r w:rsidRPr="00363C39">
              <w:rPr>
                <w:rFonts w:eastAsia="Times New Roman" w:cs="Arial"/>
                <w:color w:val="000000"/>
                <w:sz w:val="22"/>
                <w:szCs w:val="22"/>
              </w:rPr>
              <w:t>Finance Charges</w:t>
            </w:r>
          </w:p>
        </w:tc>
        <w:tc>
          <w:tcPr>
            <w:tcW w:w="1223" w:type="dxa"/>
            <w:tcBorders>
              <w:top w:val="nil"/>
              <w:left w:val="nil"/>
              <w:bottom w:val="single" w:sz="4" w:space="0" w:color="auto"/>
              <w:right w:val="single" w:sz="4" w:space="0" w:color="auto"/>
            </w:tcBorders>
            <w:shd w:val="clear" w:color="auto" w:fill="auto"/>
            <w:noWrap/>
            <w:vAlign w:val="center"/>
            <w:hideMark/>
          </w:tcPr>
          <w:p w14:paraId="5BAF1B9D" w14:textId="77777777" w:rsidR="00607F14" w:rsidRPr="00363C39" w:rsidRDefault="004A7A82" w:rsidP="00607F14">
            <w:pPr>
              <w:jc w:val="right"/>
              <w:rPr>
                <w:rFonts w:eastAsia="Times New Roman" w:cs="Arial"/>
                <w:color w:val="000000"/>
                <w:sz w:val="22"/>
                <w:szCs w:val="22"/>
              </w:rPr>
            </w:pPr>
            <w:r w:rsidRPr="00363C39">
              <w:rPr>
                <w:rFonts w:eastAsia="Times New Roman" w:cs="Arial"/>
                <w:color w:val="000000"/>
                <w:sz w:val="22"/>
                <w:szCs w:val="22"/>
              </w:rPr>
              <w:t xml:space="preserve">46.817 </w:t>
            </w:r>
          </w:p>
        </w:tc>
        <w:tc>
          <w:tcPr>
            <w:tcW w:w="1467" w:type="dxa"/>
            <w:tcBorders>
              <w:top w:val="nil"/>
              <w:left w:val="nil"/>
              <w:bottom w:val="single" w:sz="4" w:space="0" w:color="auto"/>
              <w:right w:val="single" w:sz="4" w:space="0" w:color="auto"/>
            </w:tcBorders>
            <w:shd w:val="clear" w:color="auto" w:fill="auto"/>
            <w:noWrap/>
            <w:vAlign w:val="center"/>
            <w:hideMark/>
          </w:tcPr>
          <w:p w14:paraId="67C3435A" w14:textId="77777777" w:rsidR="00607F14" w:rsidRPr="00363C39" w:rsidRDefault="004A7A82" w:rsidP="00607F14">
            <w:pPr>
              <w:jc w:val="right"/>
              <w:rPr>
                <w:rFonts w:eastAsia="Times New Roman" w:cs="Arial"/>
                <w:color w:val="000000"/>
                <w:sz w:val="22"/>
                <w:szCs w:val="22"/>
              </w:rPr>
            </w:pPr>
            <w:r w:rsidRPr="00363C39">
              <w:rPr>
                <w:rFonts w:eastAsia="Times New Roman" w:cs="Arial"/>
                <w:color w:val="000000"/>
                <w:sz w:val="22"/>
                <w:szCs w:val="22"/>
              </w:rPr>
              <w:t xml:space="preserve">-0.480 </w:t>
            </w:r>
          </w:p>
        </w:tc>
        <w:tc>
          <w:tcPr>
            <w:tcW w:w="1472" w:type="dxa"/>
            <w:gridSpan w:val="2"/>
            <w:tcBorders>
              <w:top w:val="nil"/>
              <w:left w:val="nil"/>
              <w:bottom w:val="single" w:sz="4" w:space="0" w:color="auto"/>
              <w:right w:val="single" w:sz="4" w:space="0" w:color="auto"/>
            </w:tcBorders>
            <w:shd w:val="clear" w:color="auto" w:fill="auto"/>
            <w:noWrap/>
            <w:vAlign w:val="center"/>
            <w:hideMark/>
          </w:tcPr>
          <w:p w14:paraId="48FBD46C" w14:textId="77777777" w:rsidR="00607F14" w:rsidRPr="00363C39" w:rsidRDefault="004A7A82" w:rsidP="00607F14">
            <w:pPr>
              <w:jc w:val="right"/>
              <w:rPr>
                <w:rFonts w:eastAsia="Times New Roman" w:cs="Arial"/>
                <w:color w:val="000000"/>
                <w:sz w:val="22"/>
                <w:szCs w:val="22"/>
              </w:rPr>
            </w:pPr>
            <w:r w:rsidRPr="00363C39">
              <w:rPr>
                <w:rFonts w:eastAsia="Times New Roman" w:cs="Arial"/>
                <w:color w:val="000000"/>
                <w:sz w:val="22"/>
                <w:szCs w:val="22"/>
              </w:rPr>
              <w:t xml:space="preserve">46.337 </w:t>
            </w:r>
          </w:p>
        </w:tc>
      </w:tr>
      <w:tr w:rsidR="00C92CD8" w14:paraId="1AA1852A"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6140075" w14:textId="462A04ED" w:rsidR="00D14D8D" w:rsidRPr="00363C39" w:rsidRDefault="004A7A82" w:rsidP="00D14D8D">
            <w:pPr>
              <w:rPr>
                <w:rFonts w:eastAsia="Times New Roman" w:cs="Arial"/>
                <w:b/>
                <w:bCs/>
                <w:color w:val="000000"/>
                <w:sz w:val="22"/>
                <w:szCs w:val="22"/>
              </w:rPr>
            </w:pPr>
            <w:r w:rsidRPr="00A93585">
              <w:rPr>
                <w:rFonts w:eastAsia="Times New Roman" w:cs="Arial"/>
                <w:b/>
                <w:bCs/>
                <w:color w:val="000000"/>
                <w:sz w:val="22"/>
                <w:szCs w:val="22"/>
              </w:rPr>
              <w:t>Revenue Budget 2024/25 (Budget Requirement)</w:t>
            </w:r>
          </w:p>
        </w:tc>
        <w:tc>
          <w:tcPr>
            <w:tcW w:w="1223" w:type="dxa"/>
            <w:tcBorders>
              <w:top w:val="nil"/>
              <w:left w:val="nil"/>
              <w:bottom w:val="single" w:sz="8" w:space="0" w:color="auto"/>
              <w:right w:val="single" w:sz="8" w:space="0" w:color="auto"/>
            </w:tcBorders>
            <w:shd w:val="clear" w:color="auto" w:fill="D9D9D9" w:themeFill="background1" w:themeFillShade="D9"/>
            <w:noWrap/>
            <w:vAlign w:val="center"/>
            <w:hideMark/>
          </w:tcPr>
          <w:p w14:paraId="18623829" w14:textId="0C687DF4" w:rsidR="00D14D8D" w:rsidRPr="00363C39" w:rsidRDefault="004A7A82" w:rsidP="00D14D8D">
            <w:pPr>
              <w:jc w:val="right"/>
              <w:rPr>
                <w:rFonts w:eastAsia="Times New Roman" w:cs="Arial"/>
                <w:b/>
                <w:bCs/>
                <w:color w:val="000000"/>
                <w:sz w:val="22"/>
                <w:szCs w:val="22"/>
              </w:rPr>
            </w:pPr>
            <w:r w:rsidRPr="00A93585">
              <w:rPr>
                <w:rFonts w:cs="Arial"/>
                <w:b/>
                <w:bCs/>
                <w:color w:val="000000"/>
                <w:sz w:val="22"/>
                <w:szCs w:val="22"/>
              </w:rPr>
              <w:t>1,89</w:t>
            </w:r>
            <w:r w:rsidR="00CD18FC">
              <w:rPr>
                <w:rFonts w:cs="Arial"/>
                <w:b/>
                <w:bCs/>
                <w:color w:val="000000"/>
                <w:sz w:val="22"/>
                <w:szCs w:val="22"/>
              </w:rPr>
              <w:t>3</w:t>
            </w:r>
            <w:r w:rsidRPr="00A93585">
              <w:rPr>
                <w:rFonts w:cs="Arial"/>
                <w:b/>
                <w:bCs/>
                <w:color w:val="000000"/>
                <w:sz w:val="22"/>
                <w:szCs w:val="22"/>
              </w:rPr>
              <w:t>.9</w:t>
            </w:r>
            <w:r w:rsidR="00CD18FC">
              <w:rPr>
                <w:rFonts w:cs="Arial"/>
                <w:b/>
                <w:bCs/>
                <w:color w:val="000000"/>
                <w:sz w:val="22"/>
                <w:szCs w:val="22"/>
              </w:rPr>
              <w:t>34</w:t>
            </w:r>
          </w:p>
        </w:tc>
        <w:tc>
          <w:tcPr>
            <w:tcW w:w="1467" w:type="dxa"/>
            <w:tcBorders>
              <w:top w:val="nil"/>
              <w:left w:val="nil"/>
              <w:bottom w:val="single" w:sz="8" w:space="0" w:color="auto"/>
              <w:right w:val="single" w:sz="8" w:space="0" w:color="auto"/>
            </w:tcBorders>
            <w:shd w:val="clear" w:color="auto" w:fill="D9D9D9" w:themeFill="background1" w:themeFillShade="D9"/>
            <w:noWrap/>
            <w:vAlign w:val="center"/>
            <w:hideMark/>
          </w:tcPr>
          <w:p w14:paraId="0B114474" w14:textId="02A73B51" w:rsidR="00D14D8D" w:rsidRPr="00363C39" w:rsidRDefault="004A7A82" w:rsidP="00D14D8D">
            <w:pPr>
              <w:jc w:val="right"/>
              <w:rPr>
                <w:rFonts w:eastAsia="Times New Roman" w:cs="Arial"/>
                <w:b/>
                <w:bCs/>
                <w:color w:val="000000"/>
                <w:sz w:val="22"/>
                <w:szCs w:val="22"/>
              </w:rPr>
            </w:pPr>
            <w:r w:rsidRPr="00A93585">
              <w:rPr>
                <w:rFonts w:cs="Arial"/>
                <w:b/>
                <w:bCs/>
                <w:color w:val="000000"/>
                <w:sz w:val="22"/>
                <w:szCs w:val="22"/>
              </w:rPr>
              <w:t>-781.324</w:t>
            </w:r>
          </w:p>
        </w:tc>
        <w:tc>
          <w:tcPr>
            <w:tcW w:w="1472" w:type="dxa"/>
            <w:gridSpan w:val="2"/>
            <w:tcBorders>
              <w:top w:val="nil"/>
              <w:left w:val="nil"/>
              <w:bottom w:val="single" w:sz="8" w:space="0" w:color="auto"/>
              <w:right w:val="single" w:sz="8" w:space="0" w:color="auto"/>
            </w:tcBorders>
            <w:shd w:val="clear" w:color="auto" w:fill="D9D9D9" w:themeFill="background1" w:themeFillShade="D9"/>
            <w:noWrap/>
            <w:vAlign w:val="center"/>
            <w:hideMark/>
          </w:tcPr>
          <w:p w14:paraId="307BDB87" w14:textId="5037985E" w:rsidR="00D14D8D" w:rsidRPr="00363C39" w:rsidRDefault="004A7A82" w:rsidP="00D14D8D">
            <w:pPr>
              <w:jc w:val="right"/>
              <w:rPr>
                <w:rFonts w:eastAsia="Times New Roman" w:cs="Arial"/>
                <w:b/>
                <w:bCs/>
                <w:color w:val="000000"/>
                <w:sz w:val="22"/>
                <w:szCs w:val="22"/>
              </w:rPr>
            </w:pPr>
            <w:r w:rsidRPr="00A93585">
              <w:rPr>
                <w:rFonts w:cs="Arial"/>
                <w:b/>
                <w:bCs/>
                <w:color w:val="000000"/>
                <w:sz w:val="22"/>
                <w:szCs w:val="22"/>
              </w:rPr>
              <w:t>1,11</w:t>
            </w:r>
            <w:r w:rsidR="00512E87">
              <w:rPr>
                <w:rFonts w:cs="Arial"/>
                <w:b/>
                <w:bCs/>
                <w:color w:val="000000"/>
                <w:sz w:val="22"/>
                <w:szCs w:val="22"/>
              </w:rPr>
              <w:t>2.610</w:t>
            </w:r>
          </w:p>
        </w:tc>
      </w:tr>
      <w:tr w:rsidR="00C92CD8" w14:paraId="0AB422E4" w14:textId="77777777" w:rsidTr="005512F8">
        <w:trPr>
          <w:trHeight w:val="313"/>
        </w:trPr>
        <w:tc>
          <w:tcPr>
            <w:tcW w:w="5802" w:type="dxa"/>
            <w:gridSpan w:val="2"/>
            <w:tcBorders>
              <w:top w:val="nil"/>
              <w:left w:val="single" w:sz="4" w:space="0" w:color="auto"/>
              <w:bottom w:val="single" w:sz="4" w:space="0" w:color="auto"/>
              <w:right w:val="single" w:sz="4" w:space="0" w:color="auto"/>
            </w:tcBorders>
            <w:shd w:val="clear" w:color="auto" w:fill="auto"/>
            <w:vAlign w:val="center"/>
            <w:hideMark/>
          </w:tcPr>
          <w:p w14:paraId="29859FB2" w14:textId="5C160CB9" w:rsidR="00607F14" w:rsidRPr="00363C39" w:rsidRDefault="004A7A82" w:rsidP="00EB5FA4">
            <w:pPr>
              <w:rPr>
                <w:rFonts w:eastAsia="Times New Roman" w:cs="Arial"/>
                <w:color w:val="000000"/>
                <w:sz w:val="22"/>
                <w:szCs w:val="22"/>
              </w:rPr>
            </w:pPr>
            <w:r w:rsidRPr="00363C39">
              <w:rPr>
                <w:rFonts w:eastAsia="Times New Roman" w:cs="Arial"/>
                <w:color w:val="000000"/>
                <w:sz w:val="22"/>
                <w:szCs w:val="22"/>
              </w:rPr>
              <w:t xml:space="preserve">Use of one-off resources </w:t>
            </w:r>
            <w:r w:rsidR="00EB5FA4" w:rsidRPr="00A93585">
              <w:rPr>
                <w:rFonts w:eastAsia="Times New Roman" w:cs="Arial"/>
                <w:color w:val="000000"/>
                <w:sz w:val="22"/>
                <w:szCs w:val="22"/>
              </w:rPr>
              <w:t>(funding from transitional reserve)</w:t>
            </w:r>
          </w:p>
        </w:tc>
        <w:tc>
          <w:tcPr>
            <w:tcW w:w="1223" w:type="dxa"/>
            <w:tcBorders>
              <w:top w:val="nil"/>
              <w:left w:val="nil"/>
              <w:bottom w:val="single" w:sz="4" w:space="0" w:color="auto"/>
              <w:right w:val="single" w:sz="4" w:space="0" w:color="auto"/>
            </w:tcBorders>
            <w:shd w:val="clear" w:color="auto" w:fill="auto"/>
            <w:noWrap/>
            <w:vAlign w:val="center"/>
            <w:hideMark/>
          </w:tcPr>
          <w:p w14:paraId="064C4084" w14:textId="77777777" w:rsidR="00607F14" w:rsidRPr="00363C39" w:rsidRDefault="004A7A82" w:rsidP="00607F14">
            <w:pPr>
              <w:jc w:val="right"/>
              <w:rPr>
                <w:rFonts w:eastAsia="Times New Roman" w:cs="Arial"/>
                <w:color w:val="000000"/>
                <w:sz w:val="22"/>
                <w:szCs w:val="22"/>
              </w:rPr>
            </w:pPr>
            <w:r w:rsidRPr="00363C39">
              <w:rPr>
                <w:rFonts w:eastAsia="Times New Roman" w:cs="Arial"/>
                <w:color w:val="000000"/>
                <w:sz w:val="22"/>
                <w:szCs w:val="22"/>
              </w:rPr>
              <w:t xml:space="preserve">0.000 </w:t>
            </w:r>
          </w:p>
        </w:tc>
        <w:tc>
          <w:tcPr>
            <w:tcW w:w="1467" w:type="dxa"/>
            <w:tcBorders>
              <w:top w:val="nil"/>
              <w:left w:val="nil"/>
              <w:bottom w:val="single" w:sz="4" w:space="0" w:color="auto"/>
              <w:right w:val="single" w:sz="4" w:space="0" w:color="auto"/>
            </w:tcBorders>
            <w:shd w:val="clear" w:color="auto" w:fill="auto"/>
            <w:noWrap/>
            <w:vAlign w:val="center"/>
          </w:tcPr>
          <w:p w14:paraId="3653C8B1" w14:textId="4F1756A7" w:rsidR="00607F14" w:rsidRPr="00363C39" w:rsidRDefault="004A7A82" w:rsidP="00607F14">
            <w:pPr>
              <w:jc w:val="right"/>
              <w:rPr>
                <w:rFonts w:eastAsia="Times New Roman" w:cs="Arial"/>
                <w:color w:val="000000"/>
                <w:sz w:val="22"/>
                <w:szCs w:val="22"/>
              </w:rPr>
            </w:pPr>
            <w:r>
              <w:rPr>
                <w:rFonts w:eastAsia="Times New Roman" w:cs="Arial"/>
                <w:color w:val="000000"/>
                <w:sz w:val="22"/>
                <w:szCs w:val="22"/>
              </w:rPr>
              <w:t>-0.856</w:t>
            </w:r>
          </w:p>
        </w:tc>
        <w:tc>
          <w:tcPr>
            <w:tcW w:w="1472" w:type="dxa"/>
            <w:gridSpan w:val="2"/>
            <w:tcBorders>
              <w:top w:val="nil"/>
              <w:left w:val="nil"/>
              <w:bottom w:val="single" w:sz="4" w:space="0" w:color="auto"/>
              <w:right w:val="single" w:sz="4" w:space="0" w:color="auto"/>
            </w:tcBorders>
            <w:shd w:val="clear" w:color="auto" w:fill="auto"/>
            <w:noWrap/>
            <w:vAlign w:val="center"/>
          </w:tcPr>
          <w:p w14:paraId="474705BE" w14:textId="44B200DA" w:rsidR="00607F14" w:rsidRPr="00363C39" w:rsidRDefault="004A7A82" w:rsidP="00607F14">
            <w:pPr>
              <w:jc w:val="right"/>
              <w:rPr>
                <w:rFonts w:eastAsia="Times New Roman" w:cs="Arial"/>
                <w:color w:val="000000"/>
                <w:sz w:val="22"/>
                <w:szCs w:val="22"/>
              </w:rPr>
            </w:pPr>
            <w:r>
              <w:rPr>
                <w:rFonts w:eastAsia="Times New Roman" w:cs="Arial"/>
                <w:color w:val="000000"/>
                <w:sz w:val="22"/>
                <w:szCs w:val="22"/>
              </w:rPr>
              <w:t>-0.856</w:t>
            </w:r>
          </w:p>
        </w:tc>
      </w:tr>
      <w:tr w:rsidR="00C92CD8" w14:paraId="607C0ED1" w14:textId="77777777" w:rsidTr="005512F8">
        <w:trPr>
          <w:trHeight w:val="387"/>
        </w:trPr>
        <w:tc>
          <w:tcPr>
            <w:tcW w:w="5802"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BAB48A4" w14:textId="0052EF4F" w:rsidR="00607F14" w:rsidRPr="00363C39" w:rsidRDefault="004A7A82" w:rsidP="00EB5FA4">
            <w:pPr>
              <w:rPr>
                <w:rFonts w:eastAsia="Times New Roman" w:cs="Arial"/>
                <w:b/>
                <w:bCs/>
                <w:color w:val="000000"/>
                <w:sz w:val="22"/>
                <w:szCs w:val="22"/>
              </w:rPr>
            </w:pPr>
            <w:r w:rsidRPr="00363C39">
              <w:rPr>
                <w:rFonts w:eastAsia="Times New Roman" w:cs="Arial"/>
                <w:b/>
                <w:bCs/>
                <w:color w:val="000000"/>
                <w:sz w:val="22"/>
                <w:szCs w:val="22"/>
              </w:rPr>
              <w:t> </w:t>
            </w:r>
            <w:r w:rsidR="00B92641" w:rsidRPr="00A93585">
              <w:rPr>
                <w:rFonts w:eastAsia="Times New Roman" w:cs="Arial"/>
                <w:b/>
                <w:bCs/>
                <w:color w:val="000000"/>
                <w:sz w:val="22"/>
                <w:szCs w:val="22"/>
              </w:rPr>
              <w:t>Revenue Budget 2024/25</w:t>
            </w:r>
          </w:p>
        </w:tc>
        <w:tc>
          <w:tcPr>
            <w:tcW w:w="1223" w:type="dxa"/>
            <w:tcBorders>
              <w:top w:val="nil"/>
              <w:left w:val="nil"/>
              <w:bottom w:val="single" w:sz="4" w:space="0" w:color="auto"/>
              <w:right w:val="single" w:sz="4" w:space="0" w:color="auto"/>
            </w:tcBorders>
            <w:shd w:val="clear" w:color="auto" w:fill="D9D9D9" w:themeFill="background1" w:themeFillShade="D9"/>
            <w:noWrap/>
            <w:vAlign w:val="center"/>
            <w:hideMark/>
          </w:tcPr>
          <w:p w14:paraId="350E7DD1" w14:textId="2FE82010" w:rsidR="00607F14" w:rsidRPr="00363C39" w:rsidRDefault="004A7A82" w:rsidP="00607F14">
            <w:pPr>
              <w:jc w:val="right"/>
              <w:rPr>
                <w:rFonts w:eastAsia="Times New Roman" w:cs="Arial"/>
                <w:b/>
                <w:bCs/>
                <w:color w:val="000000"/>
                <w:sz w:val="22"/>
                <w:szCs w:val="22"/>
              </w:rPr>
            </w:pPr>
            <w:r w:rsidRPr="00363C39">
              <w:rPr>
                <w:rFonts w:eastAsia="Times New Roman" w:cs="Arial"/>
                <w:b/>
                <w:bCs/>
                <w:color w:val="000000"/>
                <w:sz w:val="22"/>
                <w:szCs w:val="22"/>
              </w:rPr>
              <w:t>1,89</w:t>
            </w:r>
            <w:r w:rsidR="00CD18FC">
              <w:rPr>
                <w:rFonts w:eastAsia="Times New Roman" w:cs="Arial"/>
                <w:b/>
                <w:bCs/>
                <w:color w:val="000000"/>
                <w:sz w:val="22"/>
                <w:szCs w:val="22"/>
              </w:rPr>
              <w:t>3.934</w:t>
            </w:r>
            <w:r w:rsidRPr="00363C39">
              <w:rPr>
                <w:rFonts w:eastAsia="Times New Roman" w:cs="Arial"/>
                <w:b/>
                <w:bCs/>
                <w:color w:val="000000"/>
                <w:sz w:val="22"/>
                <w:szCs w:val="22"/>
              </w:rPr>
              <w:t xml:space="preserve"> </w:t>
            </w:r>
          </w:p>
        </w:tc>
        <w:tc>
          <w:tcPr>
            <w:tcW w:w="1467" w:type="dxa"/>
            <w:tcBorders>
              <w:top w:val="nil"/>
              <w:left w:val="nil"/>
              <w:bottom w:val="single" w:sz="4" w:space="0" w:color="auto"/>
              <w:right w:val="single" w:sz="4" w:space="0" w:color="auto"/>
            </w:tcBorders>
            <w:shd w:val="clear" w:color="auto" w:fill="D9D9D9" w:themeFill="background1" w:themeFillShade="D9"/>
            <w:noWrap/>
            <w:vAlign w:val="center"/>
            <w:hideMark/>
          </w:tcPr>
          <w:p w14:paraId="07FD8449" w14:textId="645EB066" w:rsidR="00607F14" w:rsidRPr="00363C39" w:rsidRDefault="004A7A82" w:rsidP="00607F14">
            <w:pPr>
              <w:jc w:val="right"/>
              <w:rPr>
                <w:rFonts w:eastAsia="Times New Roman" w:cs="Arial"/>
                <w:b/>
                <w:bCs/>
                <w:color w:val="000000"/>
                <w:sz w:val="22"/>
                <w:szCs w:val="22"/>
              </w:rPr>
            </w:pPr>
            <w:r w:rsidRPr="00363C39">
              <w:rPr>
                <w:rFonts w:eastAsia="Times New Roman" w:cs="Arial"/>
                <w:b/>
                <w:bCs/>
                <w:color w:val="000000"/>
                <w:sz w:val="22"/>
                <w:szCs w:val="22"/>
              </w:rPr>
              <w:t>-</w:t>
            </w:r>
            <w:r w:rsidR="00512E87">
              <w:rPr>
                <w:rFonts w:eastAsia="Times New Roman" w:cs="Arial"/>
                <w:b/>
                <w:bCs/>
                <w:color w:val="000000"/>
                <w:sz w:val="22"/>
                <w:szCs w:val="22"/>
              </w:rPr>
              <w:t>782.180</w:t>
            </w:r>
          </w:p>
        </w:tc>
        <w:tc>
          <w:tcPr>
            <w:tcW w:w="1472"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23C89154" w14:textId="7114490A" w:rsidR="00607F14" w:rsidRPr="00363C39" w:rsidRDefault="004A7A82" w:rsidP="00607F14">
            <w:pPr>
              <w:jc w:val="right"/>
              <w:rPr>
                <w:rFonts w:eastAsia="Times New Roman" w:cs="Arial"/>
                <w:b/>
                <w:bCs/>
                <w:color w:val="000000"/>
                <w:sz w:val="22"/>
                <w:szCs w:val="22"/>
              </w:rPr>
            </w:pPr>
            <w:r w:rsidRPr="00363C39">
              <w:rPr>
                <w:rFonts w:eastAsia="Times New Roman" w:cs="Arial"/>
                <w:b/>
                <w:bCs/>
                <w:color w:val="000000"/>
                <w:sz w:val="22"/>
                <w:szCs w:val="22"/>
              </w:rPr>
              <w:t>1,11</w:t>
            </w:r>
            <w:r w:rsidR="00D47DED">
              <w:rPr>
                <w:rFonts w:eastAsia="Times New Roman" w:cs="Arial"/>
                <w:b/>
                <w:bCs/>
                <w:color w:val="000000"/>
                <w:sz w:val="22"/>
                <w:szCs w:val="22"/>
              </w:rPr>
              <w:t>1</w:t>
            </w:r>
            <w:r w:rsidRPr="00363C39">
              <w:rPr>
                <w:rFonts w:eastAsia="Times New Roman" w:cs="Arial"/>
                <w:b/>
                <w:bCs/>
                <w:color w:val="000000"/>
                <w:sz w:val="22"/>
                <w:szCs w:val="22"/>
              </w:rPr>
              <w:t>.</w:t>
            </w:r>
            <w:r w:rsidR="00D47DED">
              <w:rPr>
                <w:rFonts w:eastAsia="Times New Roman" w:cs="Arial"/>
                <w:b/>
                <w:bCs/>
                <w:color w:val="000000"/>
                <w:sz w:val="22"/>
                <w:szCs w:val="22"/>
              </w:rPr>
              <w:t>754</w:t>
            </w:r>
            <w:r w:rsidRPr="00363C39">
              <w:rPr>
                <w:rFonts w:eastAsia="Times New Roman" w:cs="Arial"/>
                <w:b/>
                <w:bCs/>
                <w:color w:val="000000"/>
                <w:sz w:val="22"/>
                <w:szCs w:val="22"/>
              </w:rPr>
              <w:t xml:space="preserve"> </w:t>
            </w:r>
          </w:p>
        </w:tc>
      </w:tr>
      <w:tr w:rsidR="00C92CD8" w14:paraId="4FB6D16D" w14:textId="77777777" w:rsidTr="00146FD5">
        <w:trPr>
          <w:gridAfter w:val="1"/>
          <w:wAfter w:w="1033" w:type="dxa"/>
          <w:trHeight w:val="300"/>
        </w:trPr>
        <w:tc>
          <w:tcPr>
            <w:tcW w:w="5103" w:type="dxa"/>
            <w:tcBorders>
              <w:top w:val="nil"/>
              <w:left w:val="nil"/>
              <w:bottom w:val="nil"/>
              <w:right w:val="nil"/>
            </w:tcBorders>
            <w:shd w:val="clear" w:color="auto" w:fill="auto"/>
            <w:noWrap/>
            <w:vAlign w:val="bottom"/>
            <w:hideMark/>
          </w:tcPr>
          <w:p w14:paraId="56FEA9A2" w14:textId="77777777" w:rsidR="00897065" w:rsidRDefault="00897065" w:rsidP="00B97332">
            <w:pPr>
              <w:rPr>
                <w:rFonts w:eastAsia="Times New Roman" w:cs="Arial"/>
                <w:b/>
                <w:bCs/>
                <w:color w:val="000000"/>
                <w:u w:val="single"/>
              </w:rPr>
            </w:pPr>
          </w:p>
          <w:p w14:paraId="2555952D" w14:textId="16D3D0D1" w:rsidR="00146FD5" w:rsidRDefault="004A7A82" w:rsidP="00B97332">
            <w:pPr>
              <w:rPr>
                <w:rFonts w:eastAsia="Times New Roman" w:cs="Arial"/>
                <w:b/>
                <w:bCs/>
                <w:color w:val="000000"/>
                <w:u w:val="single"/>
              </w:rPr>
            </w:pPr>
            <w:r>
              <w:rPr>
                <w:rFonts w:eastAsia="Times New Roman" w:cs="Arial"/>
                <w:b/>
                <w:bCs/>
                <w:color w:val="000000"/>
                <w:u w:val="single"/>
              </w:rPr>
              <w:lastRenderedPageBreak/>
              <w:t xml:space="preserve">1. </w:t>
            </w:r>
            <w:r w:rsidRPr="00CE2155">
              <w:rPr>
                <w:rFonts w:eastAsia="Times New Roman" w:cs="Arial"/>
                <w:b/>
                <w:bCs/>
                <w:color w:val="000000"/>
                <w:u w:val="single"/>
              </w:rPr>
              <w:t>Adult Services</w:t>
            </w:r>
            <w:r>
              <w:rPr>
                <w:rFonts w:eastAsia="Times New Roman" w:cs="Arial"/>
                <w:b/>
                <w:bCs/>
                <w:color w:val="000000"/>
                <w:u w:val="single"/>
              </w:rPr>
              <w:t xml:space="preserve"> Directorate</w:t>
            </w:r>
          </w:p>
          <w:p w14:paraId="5F489E83" w14:textId="77777777" w:rsidR="00146FD5" w:rsidRDefault="00146FD5" w:rsidP="00B97332">
            <w:pPr>
              <w:rPr>
                <w:rFonts w:eastAsia="Times New Roman" w:cs="Arial"/>
                <w:b/>
                <w:bCs/>
                <w:color w:val="000000"/>
                <w:u w:val="single"/>
              </w:rPr>
            </w:pPr>
          </w:p>
          <w:p w14:paraId="7FF5E625" w14:textId="77777777" w:rsidR="00146FD5" w:rsidRPr="00CE2155" w:rsidRDefault="00146FD5" w:rsidP="00B97332">
            <w:pPr>
              <w:rPr>
                <w:rFonts w:eastAsia="Times New Roman" w:cs="Arial"/>
                <w:b/>
                <w:bCs/>
                <w:color w:val="000000"/>
                <w:u w:val="single"/>
              </w:rPr>
            </w:pPr>
          </w:p>
        </w:tc>
        <w:tc>
          <w:tcPr>
            <w:tcW w:w="3828" w:type="dxa"/>
            <w:gridSpan w:val="4"/>
            <w:tcBorders>
              <w:top w:val="nil"/>
              <w:left w:val="nil"/>
              <w:bottom w:val="nil"/>
              <w:right w:val="nil"/>
            </w:tcBorders>
            <w:shd w:val="clear" w:color="auto" w:fill="auto"/>
            <w:noWrap/>
            <w:vAlign w:val="bottom"/>
            <w:hideMark/>
          </w:tcPr>
          <w:p w14:paraId="178B227D" w14:textId="77777777" w:rsidR="00146FD5" w:rsidRPr="00CE2155" w:rsidRDefault="00146FD5" w:rsidP="00B97332">
            <w:pPr>
              <w:rPr>
                <w:rFonts w:eastAsia="Times New Roman" w:cs="Arial"/>
                <w:b/>
                <w:bCs/>
                <w:color w:val="000000"/>
                <w:u w:val="single"/>
              </w:rPr>
            </w:pPr>
          </w:p>
        </w:tc>
      </w:tr>
      <w:tr w:rsidR="00C92CD8" w14:paraId="60C53726" w14:textId="77777777" w:rsidTr="00146FD5">
        <w:trPr>
          <w:gridAfter w:val="1"/>
          <w:wAfter w:w="1033" w:type="dxa"/>
          <w:trHeight w:val="600"/>
        </w:trPr>
        <w:tc>
          <w:tcPr>
            <w:tcW w:w="5103" w:type="dxa"/>
            <w:tcBorders>
              <w:top w:val="single" w:sz="4" w:space="0" w:color="auto"/>
              <w:left w:val="single" w:sz="4" w:space="0" w:color="auto"/>
              <w:bottom w:val="single" w:sz="4" w:space="0" w:color="auto"/>
              <w:right w:val="nil"/>
            </w:tcBorders>
            <w:shd w:val="clear" w:color="auto" w:fill="auto"/>
            <w:noWrap/>
            <w:vAlign w:val="bottom"/>
            <w:hideMark/>
          </w:tcPr>
          <w:p w14:paraId="338D2F65"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6005A4"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0911A806" w14:textId="77777777" w:rsidTr="00146FD5">
        <w:trPr>
          <w:gridAfter w:val="1"/>
          <w:wAfter w:w="1033" w:type="dxa"/>
          <w:trHeight w:val="300"/>
        </w:trPr>
        <w:tc>
          <w:tcPr>
            <w:tcW w:w="5103" w:type="dxa"/>
            <w:tcBorders>
              <w:top w:val="nil"/>
              <w:left w:val="single" w:sz="4" w:space="0" w:color="auto"/>
              <w:bottom w:val="nil"/>
              <w:right w:val="nil"/>
            </w:tcBorders>
            <w:shd w:val="clear" w:color="auto" w:fill="auto"/>
            <w:noWrap/>
            <w:vAlign w:val="bottom"/>
            <w:hideMark/>
          </w:tcPr>
          <w:p w14:paraId="08E18D17"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gridSpan w:val="4"/>
            <w:tcBorders>
              <w:top w:val="nil"/>
              <w:left w:val="single" w:sz="4" w:space="0" w:color="auto"/>
              <w:bottom w:val="nil"/>
              <w:right w:val="single" w:sz="4" w:space="0" w:color="auto"/>
            </w:tcBorders>
            <w:shd w:val="clear" w:color="auto" w:fill="auto"/>
            <w:noWrap/>
            <w:vAlign w:val="center"/>
            <w:hideMark/>
          </w:tcPr>
          <w:p w14:paraId="4FEE6E7E"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708741B6" w14:textId="77777777" w:rsidTr="00146FD5">
        <w:trPr>
          <w:gridAfter w:val="1"/>
          <w:wAfter w:w="1033" w:type="dxa"/>
          <w:trHeight w:val="300"/>
        </w:trPr>
        <w:tc>
          <w:tcPr>
            <w:tcW w:w="5103" w:type="dxa"/>
            <w:tcBorders>
              <w:top w:val="nil"/>
              <w:left w:val="single" w:sz="4" w:space="0" w:color="auto"/>
              <w:bottom w:val="nil"/>
              <w:right w:val="nil"/>
            </w:tcBorders>
            <w:shd w:val="clear" w:color="auto" w:fill="auto"/>
            <w:noWrap/>
            <w:vAlign w:val="center"/>
            <w:hideMark/>
          </w:tcPr>
          <w:p w14:paraId="0567B644"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828" w:type="dxa"/>
            <w:gridSpan w:val="4"/>
            <w:tcBorders>
              <w:top w:val="nil"/>
              <w:left w:val="single" w:sz="4" w:space="0" w:color="auto"/>
              <w:bottom w:val="nil"/>
              <w:right w:val="single" w:sz="4" w:space="0" w:color="auto"/>
            </w:tcBorders>
            <w:shd w:val="clear" w:color="auto" w:fill="auto"/>
            <w:noWrap/>
            <w:vAlign w:val="bottom"/>
            <w:hideMark/>
          </w:tcPr>
          <w:p w14:paraId="76C7F823"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4710BCAD" w14:textId="77777777" w:rsidTr="00146FD5">
        <w:trPr>
          <w:gridAfter w:val="1"/>
          <w:wAfter w:w="1033" w:type="dxa"/>
          <w:trHeight w:val="300"/>
        </w:trPr>
        <w:tc>
          <w:tcPr>
            <w:tcW w:w="5103" w:type="dxa"/>
            <w:tcBorders>
              <w:top w:val="nil"/>
              <w:left w:val="single" w:sz="4" w:space="0" w:color="auto"/>
              <w:bottom w:val="nil"/>
              <w:right w:val="nil"/>
            </w:tcBorders>
            <w:shd w:val="clear" w:color="auto" w:fill="auto"/>
            <w:noWrap/>
            <w:vAlign w:val="center"/>
            <w:hideMark/>
          </w:tcPr>
          <w:p w14:paraId="0FF0CBA5"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828" w:type="dxa"/>
            <w:gridSpan w:val="4"/>
            <w:tcBorders>
              <w:top w:val="nil"/>
              <w:left w:val="single" w:sz="4" w:space="0" w:color="auto"/>
              <w:bottom w:val="nil"/>
              <w:right w:val="single" w:sz="4" w:space="0" w:color="auto"/>
            </w:tcBorders>
            <w:shd w:val="clear" w:color="auto" w:fill="auto"/>
            <w:noWrap/>
            <w:vAlign w:val="bottom"/>
            <w:hideMark/>
          </w:tcPr>
          <w:p w14:paraId="23C13B6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126.876 </w:t>
            </w:r>
          </w:p>
        </w:tc>
      </w:tr>
      <w:tr w:rsidR="00C92CD8" w14:paraId="0270E0DB" w14:textId="77777777" w:rsidTr="00146FD5">
        <w:trPr>
          <w:gridAfter w:val="1"/>
          <w:wAfter w:w="1033" w:type="dxa"/>
          <w:trHeight w:val="300"/>
        </w:trPr>
        <w:tc>
          <w:tcPr>
            <w:tcW w:w="5103" w:type="dxa"/>
            <w:tcBorders>
              <w:top w:val="nil"/>
              <w:left w:val="single" w:sz="4" w:space="0" w:color="auto"/>
              <w:bottom w:val="nil"/>
              <w:right w:val="nil"/>
            </w:tcBorders>
            <w:shd w:val="clear" w:color="auto" w:fill="auto"/>
            <w:noWrap/>
            <w:vAlign w:val="center"/>
            <w:hideMark/>
          </w:tcPr>
          <w:p w14:paraId="68232604"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828" w:type="dxa"/>
            <w:gridSpan w:val="4"/>
            <w:tcBorders>
              <w:top w:val="nil"/>
              <w:left w:val="single" w:sz="4" w:space="0" w:color="auto"/>
              <w:bottom w:val="nil"/>
              <w:right w:val="single" w:sz="4" w:space="0" w:color="auto"/>
            </w:tcBorders>
            <w:shd w:val="clear" w:color="auto" w:fill="auto"/>
            <w:noWrap/>
            <w:vAlign w:val="bottom"/>
            <w:hideMark/>
          </w:tcPr>
          <w:p w14:paraId="27765A3F"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0.018 </w:t>
            </w:r>
          </w:p>
        </w:tc>
      </w:tr>
      <w:tr w:rsidR="00C92CD8" w14:paraId="623D06CE" w14:textId="77777777" w:rsidTr="00146FD5">
        <w:trPr>
          <w:gridAfter w:val="1"/>
          <w:wAfter w:w="1033" w:type="dxa"/>
          <w:trHeight w:val="300"/>
        </w:trPr>
        <w:tc>
          <w:tcPr>
            <w:tcW w:w="5103" w:type="dxa"/>
            <w:tcBorders>
              <w:top w:val="nil"/>
              <w:left w:val="single" w:sz="4" w:space="0" w:color="auto"/>
              <w:bottom w:val="nil"/>
              <w:right w:val="nil"/>
            </w:tcBorders>
            <w:shd w:val="clear" w:color="auto" w:fill="auto"/>
            <w:noWrap/>
            <w:vAlign w:val="center"/>
            <w:hideMark/>
          </w:tcPr>
          <w:p w14:paraId="3F6EED5A"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828" w:type="dxa"/>
            <w:gridSpan w:val="4"/>
            <w:tcBorders>
              <w:top w:val="nil"/>
              <w:left w:val="single" w:sz="4" w:space="0" w:color="auto"/>
              <w:bottom w:val="nil"/>
              <w:right w:val="single" w:sz="4" w:space="0" w:color="auto"/>
            </w:tcBorders>
            <w:shd w:val="clear" w:color="auto" w:fill="auto"/>
            <w:noWrap/>
            <w:vAlign w:val="bottom"/>
            <w:hideMark/>
          </w:tcPr>
          <w:p w14:paraId="1D946D9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0.997 </w:t>
            </w:r>
          </w:p>
        </w:tc>
      </w:tr>
      <w:tr w:rsidR="00C92CD8" w14:paraId="5531CB33" w14:textId="77777777" w:rsidTr="00146FD5">
        <w:trPr>
          <w:gridAfter w:val="1"/>
          <w:wAfter w:w="1033" w:type="dxa"/>
          <w:trHeight w:val="300"/>
        </w:trPr>
        <w:tc>
          <w:tcPr>
            <w:tcW w:w="5103" w:type="dxa"/>
            <w:tcBorders>
              <w:top w:val="nil"/>
              <w:left w:val="single" w:sz="4" w:space="0" w:color="auto"/>
              <w:bottom w:val="nil"/>
              <w:right w:val="nil"/>
            </w:tcBorders>
            <w:shd w:val="clear" w:color="auto" w:fill="auto"/>
            <w:noWrap/>
            <w:vAlign w:val="center"/>
            <w:hideMark/>
          </w:tcPr>
          <w:p w14:paraId="5A3AFB94"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828" w:type="dxa"/>
            <w:gridSpan w:val="4"/>
            <w:tcBorders>
              <w:top w:val="nil"/>
              <w:left w:val="single" w:sz="4" w:space="0" w:color="auto"/>
              <w:bottom w:val="nil"/>
              <w:right w:val="single" w:sz="4" w:space="0" w:color="auto"/>
            </w:tcBorders>
            <w:shd w:val="clear" w:color="auto" w:fill="auto"/>
            <w:noWrap/>
            <w:vAlign w:val="bottom"/>
            <w:hideMark/>
          </w:tcPr>
          <w:p w14:paraId="23D24871"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76.083 </w:t>
            </w:r>
          </w:p>
        </w:tc>
      </w:tr>
      <w:tr w:rsidR="00C92CD8" w14:paraId="45537A36" w14:textId="77777777" w:rsidTr="00146FD5">
        <w:trPr>
          <w:gridAfter w:val="1"/>
          <w:wAfter w:w="1033" w:type="dxa"/>
          <w:trHeight w:val="300"/>
        </w:trPr>
        <w:tc>
          <w:tcPr>
            <w:tcW w:w="5103" w:type="dxa"/>
            <w:tcBorders>
              <w:top w:val="nil"/>
              <w:left w:val="single" w:sz="4" w:space="0" w:color="auto"/>
              <w:bottom w:val="nil"/>
              <w:right w:val="nil"/>
            </w:tcBorders>
            <w:shd w:val="clear" w:color="auto" w:fill="auto"/>
            <w:noWrap/>
            <w:vAlign w:val="center"/>
            <w:hideMark/>
          </w:tcPr>
          <w:p w14:paraId="724D4D8C"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828" w:type="dxa"/>
            <w:gridSpan w:val="4"/>
            <w:tcBorders>
              <w:top w:val="nil"/>
              <w:left w:val="single" w:sz="4" w:space="0" w:color="auto"/>
              <w:bottom w:val="nil"/>
              <w:right w:val="single" w:sz="4" w:space="0" w:color="auto"/>
            </w:tcBorders>
            <w:shd w:val="clear" w:color="auto" w:fill="auto"/>
            <w:noWrap/>
            <w:vAlign w:val="bottom"/>
            <w:hideMark/>
          </w:tcPr>
          <w:p w14:paraId="1AA4F4E3"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529.019 </w:t>
            </w:r>
          </w:p>
        </w:tc>
      </w:tr>
      <w:tr w:rsidR="00C92CD8" w14:paraId="18B3E13A" w14:textId="77777777" w:rsidTr="00146FD5">
        <w:trPr>
          <w:gridAfter w:val="1"/>
          <w:wAfter w:w="1033" w:type="dxa"/>
          <w:trHeight w:val="300"/>
        </w:trPr>
        <w:tc>
          <w:tcPr>
            <w:tcW w:w="5103" w:type="dxa"/>
            <w:tcBorders>
              <w:top w:val="nil"/>
              <w:left w:val="single" w:sz="4" w:space="0" w:color="auto"/>
              <w:bottom w:val="nil"/>
              <w:right w:val="nil"/>
            </w:tcBorders>
            <w:shd w:val="clear" w:color="auto" w:fill="auto"/>
            <w:noWrap/>
            <w:vAlign w:val="center"/>
            <w:hideMark/>
          </w:tcPr>
          <w:p w14:paraId="2E8449FA"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828" w:type="dxa"/>
            <w:gridSpan w:val="4"/>
            <w:tcBorders>
              <w:top w:val="nil"/>
              <w:left w:val="single" w:sz="4" w:space="0" w:color="auto"/>
              <w:bottom w:val="nil"/>
              <w:right w:val="single" w:sz="4" w:space="0" w:color="auto"/>
            </w:tcBorders>
            <w:shd w:val="clear" w:color="auto" w:fill="auto"/>
            <w:noWrap/>
            <w:vAlign w:val="bottom"/>
            <w:hideMark/>
          </w:tcPr>
          <w:p w14:paraId="2416C5ED"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90.422 </w:t>
            </w:r>
          </w:p>
        </w:tc>
      </w:tr>
      <w:tr w:rsidR="00C92CD8" w14:paraId="389F112F" w14:textId="77777777" w:rsidTr="00146FD5">
        <w:trPr>
          <w:gridAfter w:val="1"/>
          <w:wAfter w:w="1033" w:type="dxa"/>
          <w:trHeight w:val="300"/>
        </w:trPr>
        <w:tc>
          <w:tcPr>
            <w:tcW w:w="5103" w:type="dxa"/>
            <w:tcBorders>
              <w:top w:val="nil"/>
              <w:left w:val="single" w:sz="4" w:space="0" w:color="auto"/>
              <w:bottom w:val="nil"/>
              <w:right w:val="nil"/>
            </w:tcBorders>
            <w:shd w:val="clear" w:color="auto" w:fill="auto"/>
            <w:noWrap/>
            <w:vAlign w:val="center"/>
            <w:hideMark/>
          </w:tcPr>
          <w:p w14:paraId="47D43687"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828" w:type="dxa"/>
            <w:gridSpan w:val="4"/>
            <w:tcBorders>
              <w:top w:val="nil"/>
              <w:left w:val="single" w:sz="4" w:space="0" w:color="auto"/>
              <w:bottom w:val="nil"/>
              <w:right w:val="single" w:sz="4" w:space="0" w:color="auto"/>
            </w:tcBorders>
            <w:shd w:val="clear" w:color="auto" w:fill="auto"/>
            <w:noWrap/>
            <w:vAlign w:val="bottom"/>
            <w:hideMark/>
          </w:tcPr>
          <w:p w14:paraId="333CA552"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2E63016B" w14:textId="77777777" w:rsidTr="00146FD5">
        <w:trPr>
          <w:gridAfter w:val="1"/>
          <w:wAfter w:w="1033" w:type="dxa"/>
          <w:trHeight w:val="300"/>
        </w:trPr>
        <w:tc>
          <w:tcPr>
            <w:tcW w:w="5103" w:type="dxa"/>
            <w:tcBorders>
              <w:top w:val="nil"/>
              <w:left w:val="single" w:sz="4" w:space="0" w:color="auto"/>
              <w:bottom w:val="nil"/>
              <w:right w:val="nil"/>
            </w:tcBorders>
            <w:shd w:val="clear" w:color="auto" w:fill="auto"/>
            <w:noWrap/>
            <w:vAlign w:val="center"/>
            <w:hideMark/>
          </w:tcPr>
          <w:p w14:paraId="4962FC1C"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828" w:type="dxa"/>
            <w:gridSpan w:val="4"/>
            <w:tcBorders>
              <w:top w:val="nil"/>
              <w:left w:val="single" w:sz="4" w:space="0" w:color="auto"/>
              <w:bottom w:val="nil"/>
              <w:right w:val="single" w:sz="4" w:space="0" w:color="auto"/>
            </w:tcBorders>
            <w:shd w:val="clear" w:color="auto" w:fill="auto"/>
            <w:noWrap/>
            <w:vAlign w:val="bottom"/>
            <w:hideMark/>
          </w:tcPr>
          <w:p w14:paraId="756E954F"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4.582 </w:t>
            </w:r>
          </w:p>
        </w:tc>
      </w:tr>
      <w:tr w:rsidR="00C92CD8" w14:paraId="369628A5" w14:textId="77777777" w:rsidTr="00146FD5">
        <w:trPr>
          <w:gridAfter w:val="1"/>
          <w:wAfter w:w="1033" w:type="dxa"/>
          <w:trHeight w:val="300"/>
        </w:trPr>
        <w:tc>
          <w:tcPr>
            <w:tcW w:w="5103" w:type="dxa"/>
            <w:tcBorders>
              <w:top w:val="nil"/>
              <w:left w:val="single" w:sz="4" w:space="0" w:color="auto"/>
              <w:bottom w:val="nil"/>
              <w:right w:val="nil"/>
            </w:tcBorders>
            <w:shd w:val="clear" w:color="auto" w:fill="auto"/>
            <w:noWrap/>
            <w:vAlign w:val="center"/>
            <w:hideMark/>
          </w:tcPr>
          <w:p w14:paraId="273A3A51"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828" w:type="dxa"/>
            <w:gridSpan w:val="4"/>
            <w:tcBorders>
              <w:top w:val="nil"/>
              <w:left w:val="single" w:sz="4" w:space="0" w:color="auto"/>
              <w:bottom w:val="nil"/>
              <w:right w:val="single" w:sz="4" w:space="0" w:color="auto"/>
            </w:tcBorders>
            <w:shd w:val="clear" w:color="auto" w:fill="auto"/>
            <w:noWrap/>
            <w:vAlign w:val="bottom"/>
            <w:hideMark/>
          </w:tcPr>
          <w:p w14:paraId="7FDC0419"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827.997 </w:t>
            </w:r>
          </w:p>
        </w:tc>
      </w:tr>
      <w:tr w:rsidR="00C92CD8" w14:paraId="0A4A3121" w14:textId="77777777" w:rsidTr="00146FD5">
        <w:trPr>
          <w:gridAfter w:val="1"/>
          <w:wAfter w:w="1033" w:type="dxa"/>
          <w:trHeight w:val="300"/>
        </w:trPr>
        <w:tc>
          <w:tcPr>
            <w:tcW w:w="5103" w:type="dxa"/>
            <w:tcBorders>
              <w:top w:val="nil"/>
              <w:left w:val="single" w:sz="4" w:space="0" w:color="auto"/>
              <w:bottom w:val="nil"/>
              <w:right w:val="nil"/>
            </w:tcBorders>
            <w:shd w:val="clear" w:color="auto" w:fill="auto"/>
            <w:noWrap/>
            <w:vAlign w:val="center"/>
            <w:hideMark/>
          </w:tcPr>
          <w:p w14:paraId="39A21BA2"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gridSpan w:val="4"/>
            <w:tcBorders>
              <w:top w:val="nil"/>
              <w:left w:val="single" w:sz="4" w:space="0" w:color="auto"/>
              <w:bottom w:val="nil"/>
              <w:right w:val="single" w:sz="4" w:space="0" w:color="auto"/>
            </w:tcBorders>
            <w:shd w:val="clear" w:color="auto" w:fill="auto"/>
            <w:noWrap/>
            <w:vAlign w:val="bottom"/>
            <w:hideMark/>
          </w:tcPr>
          <w:p w14:paraId="1B0AD997"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5DFA0759" w14:textId="77777777" w:rsidTr="00146FD5">
        <w:trPr>
          <w:gridAfter w:val="1"/>
          <w:wAfter w:w="1033" w:type="dxa"/>
          <w:trHeight w:val="300"/>
        </w:trPr>
        <w:tc>
          <w:tcPr>
            <w:tcW w:w="5103" w:type="dxa"/>
            <w:tcBorders>
              <w:top w:val="nil"/>
              <w:left w:val="single" w:sz="4" w:space="0" w:color="auto"/>
              <w:bottom w:val="nil"/>
              <w:right w:val="nil"/>
            </w:tcBorders>
            <w:shd w:val="clear" w:color="auto" w:fill="auto"/>
            <w:noWrap/>
            <w:vAlign w:val="center"/>
            <w:hideMark/>
          </w:tcPr>
          <w:p w14:paraId="5B4B6619"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828" w:type="dxa"/>
            <w:gridSpan w:val="4"/>
            <w:tcBorders>
              <w:top w:val="nil"/>
              <w:left w:val="single" w:sz="4" w:space="0" w:color="auto"/>
              <w:bottom w:val="nil"/>
              <w:right w:val="single" w:sz="4" w:space="0" w:color="auto"/>
            </w:tcBorders>
            <w:shd w:val="clear" w:color="auto" w:fill="auto"/>
            <w:noWrap/>
            <w:vAlign w:val="bottom"/>
            <w:hideMark/>
          </w:tcPr>
          <w:p w14:paraId="7698C63D"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243D319D" w14:textId="77777777" w:rsidTr="00146FD5">
        <w:trPr>
          <w:gridAfter w:val="1"/>
          <w:wAfter w:w="1033" w:type="dxa"/>
          <w:trHeight w:val="300"/>
        </w:trPr>
        <w:tc>
          <w:tcPr>
            <w:tcW w:w="5103" w:type="dxa"/>
            <w:tcBorders>
              <w:top w:val="nil"/>
              <w:left w:val="single" w:sz="4" w:space="0" w:color="auto"/>
              <w:bottom w:val="nil"/>
              <w:right w:val="nil"/>
            </w:tcBorders>
            <w:shd w:val="clear" w:color="auto" w:fill="auto"/>
            <w:noWrap/>
            <w:vAlign w:val="center"/>
            <w:hideMark/>
          </w:tcPr>
          <w:p w14:paraId="5BF8BE77"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828" w:type="dxa"/>
            <w:gridSpan w:val="4"/>
            <w:tcBorders>
              <w:top w:val="nil"/>
              <w:left w:val="single" w:sz="4" w:space="0" w:color="auto"/>
              <w:bottom w:val="nil"/>
              <w:right w:val="single" w:sz="4" w:space="0" w:color="auto"/>
            </w:tcBorders>
            <w:shd w:val="clear" w:color="auto" w:fill="auto"/>
            <w:noWrap/>
            <w:vAlign w:val="bottom"/>
            <w:hideMark/>
          </w:tcPr>
          <w:p w14:paraId="70AFD2F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133.413 </w:t>
            </w:r>
          </w:p>
        </w:tc>
      </w:tr>
      <w:tr w:rsidR="00C92CD8" w14:paraId="6FD77683" w14:textId="77777777" w:rsidTr="00146FD5">
        <w:trPr>
          <w:gridAfter w:val="1"/>
          <w:wAfter w:w="1033" w:type="dxa"/>
          <w:trHeight w:val="300"/>
        </w:trPr>
        <w:tc>
          <w:tcPr>
            <w:tcW w:w="5103" w:type="dxa"/>
            <w:tcBorders>
              <w:top w:val="nil"/>
              <w:left w:val="single" w:sz="4" w:space="0" w:color="auto"/>
              <w:bottom w:val="nil"/>
              <w:right w:val="nil"/>
            </w:tcBorders>
            <w:shd w:val="clear" w:color="auto" w:fill="auto"/>
            <w:noWrap/>
            <w:vAlign w:val="center"/>
            <w:hideMark/>
          </w:tcPr>
          <w:p w14:paraId="5AA50C74"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828" w:type="dxa"/>
            <w:gridSpan w:val="4"/>
            <w:tcBorders>
              <w:top w:val="nil"/>
              <w:left w:val="single" w:sz="4" w:space="0" w:color="auto"/>
              <w:bottom w:val="nil"/>
              <w:right w:val="single" w:sz="4" w:space="0" w:color="auto"/>
            </w:tcBorders>
            <w:shd w:val="clear" w:color="auto" w:fill="auto"/>
            <w:noWrap/>
            <w:vAlign w:val="bottom"/>
            <w:hideMark/>
          </w:tcPr>
          <w:p w14:paraId="08DBB5BB"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41.266 </w:t>
            </w:r>
          </w:p>
        </w:tc>
      </w:tr>
      <w:tr w:rsidR="00C92CD8" w14:paraId="02151CDA" w14:textId="77777777" w:rsidTr="00146FD5">
        <w:trPr>
          <w:gridAfter w:val="1"/>
          <w:wAfter w:w="1033" w:type="dxa"/>
          <w:trHeight w:val="300"/>
        </w:trPr>
        <w:tc>
          <w:tcPr>
            <w:tcW w:w="5103" w:type="dxa"/>
            <w:tcBorders>
              <w:top w:val="nil"/>
              <w:left w:val="single" w:sz="4" w:space="0" w:color="auto"/>
              <w:bottom w:val="nil"/>
              <w:right w:val="nil"/>
            </w:tcBorders>
            <w:shd w:val="clear" w:color="auto" w:fill="auto"/>
            <w:noWrap/>
            <w:vAlign w:val="center"/>
            <w:hideMark/>
          </w:tcPr>
          <w:p w14:paraId="37EA668B"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828" w:type="dxa"/>
            <w:gridSpan w:val="4"/>
            <w:tcBorders>
              <w:top w:val="nil"/>
              <w:left w:val="single" w:sz="4" w:space="0" w:color="auto"/>
              <w:bottom w:val="nil"/>
              <w:right w:val="single" w:sz="4" w:space="0" w:color="auto"/>
            </w:tcBorders>
            <w:shd w:val="clear" w:color="auto" w:fill="auto"/>
            <w:noWrap/>
            <w:vAlign w:val="bottom"/>
            <w:hideMark/>
          </w:tcPr>
          <w:p w14:paraId="366CAC2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7CEB0A48" w14:textId="77777777" w:rsidTr="00146FD5">
        <w:trPr>
          <w:gridAfter w:val="1"/>
          <w:wAfter w:w="1033" w:type="dxa"/>
          <w:trHeight w:val="300"/>
        </w:trPr>
        <w:tc>
          <w:tcPr>
            <w:tcW w:w="5103" w:type="dxa"/>
            <w:tcBorders>
              <w:top w:val="nil"/>
              <w:left w:val="single" w:sz="4" w:space="0" w:color="auto"/>
              <w:bottom w:val="nil"/>
              <w:right w:val="nil"/>
            </w:tcBorders>
            <w:shd w:val="clear" w:color="auto" w:fill="auto"/>
            <w:noWrap/>
            <w:vAlign w:val="center"/>
            <w:hideMark/>
          </w:tcPr>
          <w:p w14:paraId="7F009203"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828" w:type="dxa"/>
            <w:gridSpan w:val="4"/>
            <w:tcBorders>
              <w:top w:val="nil"/>
              <w:left w:val="single" w:sz="4" w:space="0" w:color="auto"/>
              <w:bottom w:val="nil"/>
              <w:right w:val="single" w:sz="4" w:space="0" w:color="auto"/>
            </w:tcBorders>
            <w:shd w:val="clear" w:color="auto" w:fill="auto"/>
            <w:noWrap/>
            <w:vAlign w:val="bottom"/>
            <w:hideMark/>
          </w:tcPr>
          <w:p w14:paraId="53EE6D7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163.123 </w:t>
            </w:r>
          </w:p>
        </w:tc>
      </w:tr>
      <w:tr w:rsidR="00C92CD8" w14:paraId="72968143" w14:textId="77777777" w:rsidTr="00146FD5">
        <w:trPr>
          <w:gridAfter w:val="1"/>
          <w:wAfter w:w="1033" w:type="dxa"/>
          <w:trHeight w:val="300"/>
        </w:trPr>
        <w:tc>
          <w:tcPr>
            <w:tcW w:w="5103" w:type="dxa"/>
            <w:tcBorders>
              <w:top w:val="nil"/>
              <w:left w:val="single" w:sz="4" w:space="0" w:color="auto"/>
              <w:bottom w:val="nil"/>
              <w:right w:val="nil"/>
            </w:tcBorders>
            <w:shd w:val="clear" w:color="auto" w:fill="auto"/>
            <w:noWrap/>
            <w:vAlign w:val="center"/>
            <w:hideMark/>
          </w:tcPr>
          <w:p w14:paraId="5FF65CFF"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828" w:type="dxa"/>
            <w:gridSpan w:val="4"/>
            <w:tcBorders>
              <w:top w:val="nil"/>
              <w:left w:val="single" w:sz="4" w:space="0" w:color="auto"/>
              <w:bottom w:val="nil"/>
              <w:right w:val="single" w:sz="4" w:space="0" w:color="auto"/>
            </w:tcBorders>
            <w:shd w:val="clear" w:color="auto" w:fill="auto"/>
            <w:noWrap/>
            <w:vAlign w:val="bottom"/>
            <w:hideMark/>
          </w:tcPr>
          <w:p w14:paraId="095A91C2"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18.971 </w:t>
            </w:r>
          </w:p>
        </w:tc>
      </w:tr>
      <w:tr w:rsidR="00C92CD8" w14:paraId="41FAD0F7" w14:textId="77777777" w:rsidTr="00146FD5">
        <w:trPr>
          <w:gridAfter w:val="1"/>
          <w:wAfter w:w="1033" w:type="dxa"/>
          <w:trHeight w:val="300"/>
        </w:trPr>
        <w:tc>
          <w:tcPr>
            <w:tcW w:w="5103" w:type="dxa"/>
            <w:tcBorders>
              <w:top w:val="nil"/>
              <w:left w:val="single" w:sz="4" w:space="0" w:color="auto"/>
              <w:bottom w:val="nil"/>
              <w:right w:val="nil"/>
            </w:tcBorders>
            <w:shd w:val="clear" w:color="auto" w:fill="auto"/>
            <w:noWrap/>
            <w:vAlign w:val="center"/>
            <w:hideMark/>
          </w:tcPr>
          <w:p w14:paraId="12E9D39D"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828" w:type="dxa"/>
            <w:gridSpan w:val="4"/>
            <w:tcBorders>
              <w:top w:val="nil"/>
              <w:left w:val="single" w:sz="4" w:space="0" w:color="auto"/>
              <w:bottom w:val="nil"/>
              <w:right w:val="single" w:sz="4" w:space="0" w:color="auto"/>
            </w:tcBorders>
            <w:shd w:val="clear" w:color="auto" w:fill="auto"/>
            <w:noWrap/>
            <w:vAlign w:val="bottom"/>
            <w:hideMark/>
          </w:tcPr>
          <w:p w14:paraId="2F67F3A5"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356.773 </w:t>
            </w:r>
          </w:p>
        </w:tc>
      </w:tr>
      <w:tr w:rsidR="00C92CD8" w14:paraId="1DCAB6F2" w14:textId="77777777" w:rsidTr="00146FD5">
        <w:trPr>
          <w:gridAfter w:val="1"/>
          <w:wAfter w:w="1033" w:type="dxa"/>
          <w:trHeight w:val="300"/>
        </w:trPr>
        <w:tc>
          <w:tcPr>
            <w:tcW w:w="5103" w:type="dxa"/>
            <w:tcBorders>
              <w:top w:val="nil"/>
              <w:left w:val="single" w:sz="4" w:space="0" w:color="auto"/>
              <w:bottom w:val="nil"/>
              <w:right w:val="nil"/>
            </w:tcBorders>
            <w:shd w:val="clear" w:color="auto" w:fill="auto"/>
            <w:noWrap/>
            <w:vAlign w:val="center"/>
            <w:hideMark/>
          </w:tcPr>
          <w:p w14:paraId="4E2F6D45"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gridSpan w:val="4"/>
            <w:tcBorders>
              <w:top w:val="nil"/>
              <w:left w:val="single" w:sz="4" w:space="0" w:color="auto"/>
              <w:bottom w:val="nil"/>
              <w:right w:val="single" w:sz="4" w:space="0" w:color="auto"/>
            </w:tcBorders>
            <w:shd w:val="clear" w:color="auto" w:fill="auto"/>
            <w:noWrap/>
            <w:vAlign w:val="bottom"/>
            <w:hideMark/>
          </w:tcPr>
          <w:p w14:paraId="0C7FCC3B"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7D5E918A" w14:textId="77777777" w:rsidTr="00146FD5">
        <w:trPr>
          <w:gridAfter w:val="1"/>
          <w:wAfter w:w="1033" w:type="dxa"/>
          <w:trHeight w:val="300"/>
        </w:trPr>
        <w:tc>
          <w:tcPr>
            <w:tcW w:w="5103" w:type="dxa"/>
            <w:tcBorders>
              <w:top w:val="single" w:sz="4" w:space="0" w:color="auto"/>
              <w:left w:val="single" w:sz="4" w:space="0" w:color="auto"/>
              <w:bottom w:val="single" w:sz="4" w:space="0" w:color="auto"/>
              <w:right w:val="nil"/>
            </w:tcBorders>
            <w:shd w:val="clear" w:color="auto" w:fill="auto"/>
            <w:noWrap/>
            <w:vAlign w:val="center"/>
            <w:hideMark/>
          </w:tcPr>
          <w:p w14:paraId="04D92EA5"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F236B" w14:textId="1BF979C4"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471.22</w:t>
            </w:r>
            <w:r w:rsidR="00BF7D7E">
              <w:rPr>
                <w:rFonts w:eastAsia="Times New Roman" w:cs="Arial"/>
                <w:b/>
                <w:bCs/>
                <w:color w:val="000000"/>
              </w:rPr>
              <w:t>5</w:t>
            </w:r>
            <w:r w:rsidRPr="00CE2155">
              <w:rPr>
                <w:rFonts w:eastAsia="Times New Roman" w:cs="Arial"/>
                <w:b/>
                <w:bCs/>
                <w:color w:val="000000"/>
              </w:rPr>
              <w:t xml:space="preserve"> </w:t>
            </w:r>
          </w:p>
        </w:tc>
      </w:tr>
    </w:tbl>
    <w:p w14:paraId="30025AE3" w14:textId="77777777" w:rsidR="00146FD5" w:rsidRPr="00CE2155" w:rsidRDefault="004A7A82" w:rsidP="00146FD5">
      <w:pPr>
        <w:rPr>
          <w:rFonts w:cs="Arial"/>
        </w:rPr>
      </w:pPr>
      <w:r w:rsidRPr="00CE2155">
        <w:rPr>
          <w:rFonts w:cs="Arial"/>
        </w:rPr>
        <w:br w:type="page"/>
      </w:r>
    </w:p>
    <w:tbl>
      <w:tblPr>
        <w:tblW w:w="8931" w:type="dxa"/>
        <w:tblLook w:val="04A0" w:firstRow="1" w:lastRow="0" w:firstColumn="1" w:lastColumn="0" w:noHBand="0" w:noVBand="1"/>
      </w:tblPr>
      <w:tblGrid>
        <w:gridCol w:w="5103"/>
        <w:gridCol w:w="3828"/>
      </w:tblGrid>
      <w:tr w:rsidR="00C92CD8" w14:paraId="47F2BCF4" w14:textId="77777777" w:rsidTr="00B97332">
        <w:trPr>
          <w:trHeight w:val="300"/>
        </w:trPr>
        <w:tc>
          <w:tcPr>
            <w:tcW w:w="8931" w:type="dxa"/>
            <w:gridSpan w:val="2"/>
            <w:tcBorders>
              <w:top w:val="nil"/>
              <w:left w:val="nil"/>
              <w:bottom w:val="nil"/>
              <w:right w:val="nil"/>
            </w:tcBorders>
            <w:shd w:val="clear" w:color="auto" w:fill="auto"/>
            <w:noWrap/>
            <w:vAlign w:val="bottom"/>
            <w:hideMark/>
          </w:tcPr>
          <w:p w14:paraId="656584C3" w14:textId="77777777" w:rsidR="00146FD5" w:rsidRDefault="004A7A82" w:rsidP="00146FD5">
            <w:pPr>
              <w:pStyle w:val="ListParagraph"/>
              <w:numPr>
                <w:ilvl w:val="1"/>
                <w:numId w:val="58"/>
              </w:numPr>
              <w:rPr>
                <w:rFonts w:eastAsia="Times New Roman" w:cs="Arial"/>
                <w:b/>
                <w:bCs/>
                <w:color w:val="000000"/>
                <w:u w:val="single"/>
              </w:rPr>
            </w:pPr>
            <w:r w:rsidRPr="005F57EB">
              <w:rPr>
                <w:rFonts w:eastAsia="Times New Roman" w:cs="Arial"/>
                <w:b/>
                <w:bCs/>
                <w:color w:val="000000"/>
                <w:u w:val="single"/>
              </w:rPr>
              <w:lastRenderedPageBreak/>
              <w:t>Director of Adult Care and Provider Services</w:t>
            </w:r>
          </w:p>
          <w:p w14:paraId="2B8C6148" w14:textId="77777777" w:rsidR="000A5B26" w:rsidRPr="005F57EB" w:rsidRDefault="000A5B26" w:rsidP="000A5B26">
            <w:pPr>
              <w:pStyle w:val="ListParagraph"/>
              <w:ind w:left="400"/>
              <w:rPr>
                <w:rFonts w:eastAsia="Times New Roman" w:cs="Arial"/>
                <w:b/>
                <w:bCs/>
                <w:color w:val="000000"/>
                <w:u w:val="single"/>
              </w:rPr>
            </w:pPr>
          </w:p>
          <w:p w14:paraId="02A325EE" w14:textId="77777777" w:rsidR="00146FD5" w:rsidRPr="005F57EB" w:rsidRDefault="00146FD5" w:rsidP="00B97332">
            <w:pPr>
              <w:pStyle w:val="ListParagraph"/>
              <w:ind w:left="400"/>
              <w:rPr>
                <w:rFonts w:eastAsia="Times New Roman" w:cs="Arial"/>
                <w:b/>
                <w:bCs/>
                <w:color w:val="000000"/>
                <w:u w:val="single"/>
              </w:rPr>
            </w:pPr>
          </w:p>
        </w:tc>
      </w:tr>
      <w:tr w:rsidR="00C92CD8" w14:paraId="2B4E0DEC" w14:textId="77777777" w:rsidTr="00B97332">
        <w:trPr>
          <w:trHeight w:val="600"/>
        </w:trPr>
        <w:tc>
          <w:tcPr>
            <w:tcW w:w="5103" w:type="dxa"/>
            <w:tcBorders>
              <w:top w:val="single" w:sz="4" w:space="0" w:color="auto"/>
              <w:left w:val="single" w:sz="4" w:space="0" w:color="auto"/>
              <w:bottom w:val="single" w:sz="4" w:space="0" w:color="auto"/>
              <w:right w:val="nil"/>
            </w:tcBorders>
            <w:shd w:val="clear" w:color="auto" w:fill="auto"/>
            <w:noWrap/>
            <w:vAlign w:val="bottom"/>
            <w:hideMark/>
          </w:tcPr>
          <w:p w14:paraId="4647BDE6"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D088E"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4CCA5EF8" w14:textId="77777777" w:rsidTr="00B97332">
        <w:trPr>
          <w:trHeight w:val="300"/>
        </w:trPr>
        <w:tc>
          <w:tcPr>
            <w:tcW w:w="5103" w:type="dxa"/>
            <w:tcBorders>
              <w:top w:val="nil"/>
              <w:left w:val="single" w:sz="4" w:space="0" w:color="auto"/>
              <w:bottom w:val="nil"/>
              <w:right w:val="nil"/>
            </w:tcBorders>
            <w:shd w:val="clear" w:color="auto" w:fill="auto"/>
            <w:noWrap/>
            <w:vAlign w:val="bottom"/>
            <w:hideMark/>
          </w:tcPr>
          <w:p w14:paraId="6C78E482"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tcBorders>
              <w:top w:val="nil"/>
              <w:left w:val="single" w:sz="4" w:space="0" w:color="auto"/>
              <w:bottom w:val="nil"/>
              <w:right w:val="single" w:sz="4" w:space="0" w:color="auto"/>
            </w:tcBorders>
            <w:shd w:val="clear" w:color="auto" w:fill="auto"/>
            <w:noWrap/>
            <w:vAlign w:val="center"/>
            <w:hideMark/>
          </w:tcPr>
          <w:p w14:paraId="74E33DE5"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5A2B4740"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0AAA35C6"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828" w:type="dxa"/>
            <w:tcBorders>
              <w:top w:val="nil"/>
              <w:left w:val="single" w:sz="4" w:space="0" w:color="auto"/>
              <w:bottom w:val="nil"/>
              <w:right w:val="single" w:sz="4" w:space="0" w:color="auto"/>
            </w:tcBorders>
            <w:shd w:val="clear" w:color="auto" w:fill="auto"/>
            <w:noWrap/>
            <w:vAlign w:val="bottom"/>
            <w:hideMark/>
          </w:tcPr>
          <w:p w14:paraId="3EDDB310"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123F967D"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4959454E"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828" w:type="dxa"/>
            <w:tcBorders>
              <w:top w:val="nil"/>
              <w:left w:val="single" w:sz="4" w:space="0" w:color="auto"/>
              <w:bottom w:val="nil"/>
              <w:right w:val="single" w:sz="4" w:space="0" w:color="auto"/>
            </w:tcBorders>
            <w:shd w:val="clear" w:color="auto" w:fill="auto"/>
            <w:noWrap/>
            <w:vAlign w:val="bottom"/>
            <w:hideMark/>
          </w:tcPr>
          <w:p w14:paraId="00C4A020"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76.211 </w:t>
            </w:r>
          </w:p>
        </w:tc>
      </w:tr>
      <w:tr w:rsidR="00C92CD8" w14:paraId="4696DBF0"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2C7CE8FE"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828" w:type="dxa"/>
            <w:tcBorders>
              <w:top w:val="nil"/>
              <w:left w:val="single" w:sz="4" w:space="0" w:color="auto"/>
              <w:bottom w:val="nil"/>
              <w:right w:val="single" w:sz="4" w:space="0" w:color="auto"/>
            </w:tcBorders>
            <w:shd w:val="clear" w:color="auto" w:fill="auto"/>
            <w:noWrap/>
            <w:vAlign w:val="bottom"/>
            <w:hideMark/>
          </w:tcPr>
          <w:p w14:paraId="4F03245D"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6C12B81B"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248067BF"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828" w:type="dxa"/>
            <w:tcBorders>
              <w:top w:val="nil"/>
              <w:left w:val="single" w:sz="4" w:space="0" w:color="auto"/>
              <w:bottom w:val="nil"/>
              <w:right w:val="single" w:sz="4" w:space="0" w:color="auto"/>
            </w:tcBorders>
            <w:shd w:val="clear" w:color="auto" w:fill="auto"/>
            <w:noWrap/>
            <w:vAlign w:val="bottom"/>
            <w:hideMark/>
          </w:tcPr>
          <w:p w14:paraId="6D18D0E4"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0.266 </w:t>
            </w:r>
          </w:p>
        </w:tc>
      </w:tr>
      <w:tr w:rsidR="00C92CD8" w14:paraId="1BA3CAB9"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252DD8A0"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828" w:type="dxa"/>
            <w:tcBorders>
              <w:top w:val="nil"/>
              <w:left w:val="single" w:sz="4" w:space="0" w:color="auto"/>
              <w:bottom w:val="nil"/>
              <w:right w:val="single" w:sz="4" w:space="0" w:color="auto"/>
            </w:tcBorders>
            <w:shd w:val="clear" w:color="auto" w:fill="auto"/>
            <w:noWrap/>
            <w:vAlign w:val="bottom"/>
            <w:hideMark/>
          </w:tcPr>
          <w:p w14:paraId="6ADC2C7E"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6.093 </w:t>
            </w:r>
          </w:p>
        </w:tc>
      </w:tr>
      <w:tr w:rsidR="00C92CD8" w14:paraId="1FCA314E"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75A4D2E0"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828" w:type="dxa"/>
            <w:tcBorders>
              <w:top w:val="nil"/>
              <w:left w:val="single" w:sz="4" w:space="0" w:color="auto"/>
              <w:bottom w:val="nil"/>
              <w:right w:val="single" w:sz="4" w:space="0" w:color="auto"/>
            </w:tcBorders>
            <w:shd w:val="clear" w:color="auto" w:fill="auto"/>
            <w:noWrap/>
            <w:vAlign w:val="bottom"/>
            <w:hideMark/>
          </w:tcPr>
          <w:p w14:paraId="4F3ADA01"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0.119 </w:t>
            </w:r>
          </w:p>
        </w:tc>
      </w:tr>
      <w:tr w:rsidR="00C92CD8" w14:paraId="15A1142F"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2AD2481E"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828" w:type="dxa"/>
            <w:tcBorders>
              <w:top w:val="nil"/>
              <w:left w:val="single" w:sz="4" w:space="0" w:color="auto"/>
              <w:bottom w:val="nil"/>
              <w:right w:val="single" w:sz="4" w:space="0" w:color="auto"/>
            </w:tcBorders>
            <w:shd w:val="clear" w:color="auto" w:fill="auto"/>
            <w:noWrap/>
            <w:vAlign w:val="bottom"/>
            <w:hideMark/>
          </w:tcPr>
          <w:p w14:paraId="60256503"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4F672D78"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5F901EB9"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828" w:type="dxa"/>
            <w:tcBorders>
              <w:top w:val="nil"/>
              <w:left w:val="single" w:sz="4" w:space="0" w:color="auto"/>
              <w:bottom w:val="nil"/>
              <w:right w:val="single" w:sz="4" w:space="0" w:color="auto"/>
            </w:tcBorders>
            <w:shd w:val="clear" w:color="auto" w:fill="auto"/>
            <w:noWrap/>
            <w:vAlign w:val="bottom"/>
            <w:hideMark/>
          </w:tcPr>
          <w:p w14:paraId="36F77C45"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7696225C"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44483C98"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828" w:type="dxa"/>
            <w:tcBorders>
              <w:top w:val="nil"/>
              <w:left w:val="single" w:sz="4" w:space="0" w:color="auto"/>
              <w:bottom w:val="nil"/>
              <w:right w:val="single" w:sz="4" w:space="0" w:color="auto"/>
            </w:tcBorders>
            <w:shd w:val="clear" w:color="auto" w:fill="auto"/>
            <w:noWrap/>
            <w:vAlign w:val="bottom"/>
            <w:hideMark/>
          </w:tcPr>
          <w:p w14:paraId="2249718E"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483CBB07"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78B11216"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828" w:type="dxa"/>
            <w:tcBorders>
              <w:top w:val="nil"/>
              <w:left w:val="single" w:sz="4" w:space="0" w:color="auto"/>
              <w:bottom w:val="nil"/>
              <w:right w:val="single" w:sz="4" w:space="0" w:color="auto"/>
            </w:tcBorders>
            <w:shd w:val="clear" w:color="auto" w:fill="auto"/>
            <w:noWrap/>
            <w:vAlign w:val="bottom"/>
            <w:hideMark/>
          </w:tcPr>
          <w:p w14:paraId="3C0FE122"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82.689 </w:t>
            </w:r>
          </w:p>
        </w:tc>
      </w:tr>
      <w:tr w:rsidR="00C92CD8" w14:paraId="62B76F98"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5CDFE80A"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tcBorders>
              <w:top w:val="nil"/>
              <w:left w:val="single" w:sz="4" w:space="0" w:color="auto"/>
              <w:bottom w:val="nil"/>
              <w:right w:val="single" w:sz="4" w:space="0" w:color="auto"/>
            </w:tcBorders>
            <w:shd w:val="clear" w:color="auto" w:fill="auto"/>
            <w:noWrap/>
            <w:vAlign w:val="bottom"/>
            <w:hideMark/>
          </w:tcPr>
          <w:p w14:paraId="14D5A213"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0F5B8C70"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3240F901"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828" w:type="dxa"/>
            <w:tcBorders>
              <w:top w:val="nil"/>
              <w:left w:val="single" w:sz="4" w:space="0" w:color="auto"/>
              <w:bottom w:val="nil"/>
              <w:right w:val="single" w:sz="4" w:space="0" w:color="auto"/>
            </w:tcBorders>
            <w:shd w:val="clear" w:color="auto" w:fill="auto"/>
            <w:noWrap/>
            <w:vAlign w:val="bottom"/>
            <w:hideMark/>
          </w:tcPr>
          <w:p w14:paraId="019D6C97"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740166E6"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46276547"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828" w:type="dxa"/>
            <w:tcBorders>
              <w:top w:val="nil"/>
              <w:left w:val="single" w:sz="4" w:space="0" w:color="auto"/>
              <w:bottom w:val="nil"/>
              <w:right w:val="single" w:sz="4" w:space="0" w:color="auto"/>
            </w:tcBorders>
            <w:shd w:val="clear" w:color="auto" w:fill="auto"/>
            <w:noWrap/>
            <w:vAlign w:val="bottom"/>
            <w:hideMark/>
          </w:tcPr>
          <w:p w14:paraId="706529C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8.345 </w:t>
            </w:r>
          </w:p>
        </w:tc>
      </w:tr>
      <w:tr w:rsidR="00C92CD8" w14:paraId="041553B5"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74D5860E"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828" w:type="dxa"/>
            <w:tcBorders>
              <w:top w:val="nil"/>
              <w:left w:val="single" w:sz="4" w:space="0" w:color="auto"/>
              <w:bottom w:val="nil"/>
              <w:right w:val="single" w:sz="4" w:space="0" w:color="auto"/>
            </w:tcBorders>
            <w:shd w:val="clear" w:color="auto" w:fill="auto"/>
            <w:noWrap/>
            <w:vAlign w:val="bottom"/>
            <w:hideMark/>
          </w:tcPr>
          <w:p w14:paraId="3E84B4B5"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2CA574CE"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4138F2F6"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828" w:type="dxa"/>
            <w:tcBorders>
              <w:top w:val="nil"/>
              <w:left w:val="single" w:sz="4" w:space="0" w:color="auto"/>
              <w:bottom w:val="nil"/>
              <w:right w:val="single" w:sz="4" w:space="0" w:color="auto"/>
            </w:tcBorders>
            <w:shd w:val="clear" w:color="auto" w:fill="auto"/>
            <w:noWrap/>
            <w:vAlign w:val="bottom"/>
            <w:hideMark/>
          </w:tcPr>
          <w:p w14:paraId="40CDA7A6"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373997B4"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627ED315"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828" w:type="dxa"/>
            <w:tcBorders>
              <w:top w:val="nil"/>
              <w:left w:val="single" w:sz="4" w:space="0" w:color="auto"/>
              <w:bottom w:val="nil"/>
              <w:right w:val="single" w:sz="4" w:space="0" w:color="auto"/>
            </w:tcBorders>
            <w:shd w:val="clear" w:color="auto" w:fill="auto"/>
            <w:noWrap/>
            <w:vAlign w:val="bottom"/>
            <w:hideMark/>
          </w:tcPr>
          <w:p w14:paraId="3674BB13"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58.778 </w:t>
            </w:r>
          </w:p>
        </w:tc>
      </w:tr>
      <w:tr w:rsidR="00C92CD8" w14:paraId="6E51D923"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377D9907"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828" w:type="dxa"/>
            <w:tcBorders>
              <w:top w:val="nil"/>
              <w:left w:val="single" w:sz="4" w:space="0" w:color="auto"/>
              <w:bottom w:val="nil"/>
              <w:right w:val="single" w:sz="4" w:space="0" w:color="auto"/>
            </w:tcBorders>
            <w:shd w:val="clear" w:color="auto" w:fill="auto"/>
            <w:noWrap/>
            <w:vAlign w:val="bottom"/>
            <w:hideMark/>
          </w:tcPr>
          <w:p w14:paraId="686463B4"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66BA7EF9"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5504115E"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828" w:type="dxa"/>
            <w:tcBorders>
              <w:top w:val="nil"/>
              <w:left w:val="single" w:sz="4" w:space="0" w:color="auto"/>
              <w:bottom w:val="nil"/>
              <w:right w:val="single" w:sz="4" w:space="0" w:color="auto"/>
            </w:tcBorders>
            <w:shd w:val="clear" w:color="auto" w:fill="auto"/>
            <w:noWrap/>
            <w:vAlign w:val="bottom"/>
            <w:hideMark/>
          </w:tcPr>
          <w:p w14:paraId="181B3485"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67.123 </w:t>
            </w:r>
          </w:p>
        </w:tc>
      </w:tr>
      <w:tr w:rsidR="00C92CD8" w14:paraId="2E88EE1D"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1BA5FA30"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tcBorders>
              <w:top w:val="nil"/>
              <w:left w:val="single" w:sz="4" w:space="0" w:color="auto"/>
              <w:bottom w:val="nil"/>
              <w:right w:val="single" w:sz="4" w:space="0" w:color="auto"/>
            </w:tcBorders>
            <w:shd w:val="clear" w:color="auto" w:fill="auto"/>
            <w:noWrap/>
            <w:vAlign w:val="bottom"/>
            <w:hideMark/>
          </w:tcPr>
          <w:p w14:paraId="497BD436"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46D5BB04" w14:textId="77777777" w:rsidTr="00B97332">
        <w:trPr>
          <w:trHeight w:val="300"/>
        </w:trPr>
        <w:tc>
          <w:tcPr>
            <w:tcW w:w="5103" w:type="dxa"/>
            <w:tcBorders>
              <w:top w:val="single" w:sz="4" w:space="0" w:color="auto"/>
              <w:left w:val="single" w:sz="4" w:space="0" w:color="auto"/>
              <w:bottom w:val="single" w:sz="4" w:space="0" w:color="auto"/>
              <w:right w:val="nil"/>
            </w:tcBorders>
            <w:shd w:val="clear" w:color="auto" w:fill="auto"/>
            <w:noWrap/>
            <w:vAlign w:val="center"/>
            <w:hideMark/>
          </w:tcPr>
          <w:p w14:paraId="5623A7D9"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B1D74"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15.566 </w:t>
            </w:r>
          </w:p>
        </w:tc>
      </w:tr>
    </w:tbl>
    <w:p w14:paraId="4C19C130" w14:textId="5C1556E2" w:rsidR="000A5B26" w:rsidRDefault="000A5B26" w:rsidP="00146FD5">
      <w:pPr>
        <w:rPr>
          <w:rFonts w:cs="Arial"/>
        </w:rPr>
      </w:pPr>
    </w:p>
    <w:p w14:paraId="2540C5CE" w14:textId="77777777" w:rsidR="000A5B26" w:rsidRDefault="000A5B26" w:rsidP="00146FD5">
      <w:pPr>
        <w:rPr>
          <w:rFonts w:cs="Arial"/>
        </w:rPr>
      </w:pPr>
    </w:p>
    <w:p w14:paraId="023A13D2" w14:textId="77777777" w:rsidR="000A5B26" w:rsidRDefault="000A5B26" w:rsidP="00146FD5">
      <w:pPr>
        <w:rPr>
          <w:rFonts w:cs="Arial"/>
        </w:rPr>
      </w:pPr>
    </w:p>
    <w:p w14:paraId="527A5A6F" w14:textId="77777777" w:rsidR="000A5B26" w:rsidRDefault="000A5B26" w:rsidP="00146FD5">
      <w:pPr>
        <w:rPr>
          <w:rFonts w:cs="Arial"/>
        </w:rPr>
      </w:pPr>
    </w:p>
    <w:p w14:paraId="108B643E" w14:textId="77777777" w:rsidR="000A5B26" w:rsidRDefault="000A5B26" w:rsidP="00146FD5">
      <w:pPr>
        <w:rPr>
          <w:rFonts w:cs="Arial"/>
        </w:rPr>
      </w:pPr>
    </w:p>
    <w:p w14:paraId="3800BBCD" w14:textId="77777777" w:rsidR="000A5B26" w:rsidRDefault="000A5B26" w:rsidP="00146FD5">
      <w:pPr>
        <w:rPr>
          <w:rFonts w:cs="Arial"/>
        </w:rPr>
      </w:pPr>
    </w:p>
    <w:p w14:paraId="79C78565" w14:textId="77777777" w:rsidR="000A5B26" w:rsidRDefault="000A5B26" w:rsidP="00146FD5">
      <w:pPr>
        <w:rPr>
          <w:rFonts w:cs="Arial"/>
        </w:rPr>
      </w:pPr>
    </w:p>
    <w:p w14:paraId="45B69C3F" w14:textId="77777777" w:rsidR="000A5B26" w:rsidRDefault="000A5B26" w:rsidP="00146FD5">
      <w:pPr>
        <w:rPr>
          <w:rFonts w:cs="Arial"/>
        </w:rPr>
      </w:pPr>
    </w:p>
    <w:p w14:paraId="35A9EE23" w14:textId="77777777" w:rsidR="000A5B26" w:rsidRDefault="000A5B26" w:rsidP="00146FD5">
      <w:pPr>
        <w:rPr>
          <w:rFonts w:cs="Arial"/>
        </w:rPr>
      </w:pPr>
    </w:p>
    <w:p w14:paraId="46759124" w14:textId="77777777" w:rsidR="000A5B26" w:rsidRDefault="000A5B26" w:rsidP="00146FD5">
      <w:pPr>
        <w:rPr>
          <w:rFonts w:cs="Arial"/>
        </w:rPr>
      </w:pPr>
    </w:p>
    <w:p w14:paraId="7423DF3F" w14:textId="77777777" w:rsidR="000A5B26" w:rsidRDefault="000A5B26" w:rsidP="00146FD5">
      <w:pPr>
        <w:rPr>
          <w:rFonts w:cs="Arial"/>
        </w:rPr>
      </w:pPr>
    </w:p>
    <w:p w14:paraId="51F8BD0D" w14:textId="77777777" w:rsidR="000A5B26" w:rsidRDefault="000A5B26" w:rsidP="00146FD5">
      <w:pPr>
        <w:rPr>
          <w:rFonts w:cs="Arial"/>
        </w:rPr>
      </w:pPr>
    </w:p>
    <w:p w14:paraId="27EA2118" w14:textId="77777777" w:rsidR="000A5B26" w:rsidRDefault="000A5B26" w:rsidP="00146FD5">
      <w:pPr>
        <w:rPr>
          <w:rFonts w:cs="Arial"/>
        </w:rPr>
      </w:pPr>
    </w:p>
    <w:p w14:paraId="2E6CD2D3" w14:textId="77777777" w:rsidR="000A5B26" w:rsidRDefault="000A5B26" w:rsidP="00146FD5">
      <w:pPr>
        <w:rPr>
          <w:rFonts w:cs="Arial"/>
        </w:rPr>
      </w:pPr>
    </w:p>
    <w:p w14:paraId="0B0E1EE8" w14:textId="77777777" w:rsidR="000A5B26" w:rsidRDefault="000A5B26" w:rsidP="00146FD5">
      <w:pPr>
        <w:rPr>
          <w:rFonts w:cs="Arial"/>
        </w:rPr>
      </w:pPr>
    </w:p>
    <w:p w14:paraId="061F2CB1" w14:textId="77777777" w:rsidR="000A5B26" w:rsidRDefault="000A5B26" w:rsidP="00146FD5">
      <w:pPr>
        <w:rPr>
          <w:rFonts w:cs="Arial"/>
        </w:rPr>
      </w:pPr>
    </w:p>
    <w:p w14:paraId="70FB4348" w14:textId="77777777" w:rsidR="000A5B26" w:rsidRDefault="000A5B26" w:rsidP="00146FD5">
      <w:pPr>
        <w:rPr>
          <w:rFonts w:cs="Arial"/>
        </w:rPr>
      </w:pPr>
    </w:p>
    <w:p w14:paraId="2B23B312" w14:textId="77777777" w:rsidR="000A5B26" w:rsidRDefault="000A5B26" w:rsidP="00146FD5">
      <w:pPr>
        <w:rPr>
          <w:rFonts w:cs="Arial"/>
        </w:rPr>
      </w:pPr>
    </w:p>
    <w:p w14:paraId="02EEE1FD" w14:textId="77777777" w:rsidR="000A5B26" w:rsidRDefault="000A5B26" w:rsidP="00146FD5">
      <w:pPr>
        <w:rPr>
          <w:rFonts w:cs="Arial"/>
        </w:rPr>
      </w:pPr>
    </w:p>
    <w:p w14:paraId="06563237" w14:textId="77777777" w:rsidR="000A5B26" w:rsidRDefault="000A5B26" w:rsidP="00146FD5">
      <w:pPr>
        <w:rPr>
          <w:rFonts w:cs="Arial"/>
        </w:rPr>
      </w:pPr>
    </w:p>
    <w:p w14:paraId="7814494D" w14:textId="77777777" w:rsidR="000A5B26" w:rsidRDefault="000A5B26" w:rsidP="00146FD5">
      <w:pPr>
        <w:rPr>
          <w:rFonts w:cs="Arial"/>
        </w:rPr>
      </w:pPr>
    </w:p>
    <w:p w14:paraId="50D8DCAF" w14:textId="77777777" w:rsidR="000A5B26" w:rsidRDefault="000A5B26" w:rsidP="00146FD5">
      <w:pPr>
        <w:rPr>
          <w:rFonts w:cs="Arial"/>
        </w:rPr>
      </w:pPr>
    </w:p>
    <w:p w14:paraId="7C3C0969" w14:textId="77777777" w:rsidR="000A5B26" w:rsidRPr="00CE2155" w:rsidRDefault="000A5B26" w:rsidP="00146FD5">
      <w:pPr>
        <w:rPr>
          <w:rFonts w:cs="Arial"/>
        </w:rPr>
      </w:pPr>
    </w:p>
    <w:tbl>
      <w:tblPr>
        <w:tblW w:w="8931" w:type="dxa"/>
        <w:tblLook w:val="04A0" w:firstRow="1" w:lastRow="0" w:firstColumn="1" w:lastColumn="0" w:noHBand="0" w:noVBand="1"/>
      </w:tblPr>
      <w:tblGrid>
        <w:gridCol w:w="5103"/>
        <w:gridCol w:w="3828"/>
      </w:tblGrid>
      <w:tr w:rsidR="00C92CD8" w14:paraId="2F5E6037" w14:textId="77777777" w:rsidTr="00B97332">
        <w:trPr>
          <w:trHeight w:val="300"/>
        </w:trPr>
        <w:tc>
          <w:tcPr>
            <w:tcW w:w="8931" w:type="dxa"/>
            <w:gridSpan w:val="2"/>
            <w:tcBorders>
              <w:top w:val="nil"/>
              <w:left w:val="nil"/>
              <w:bottom w:val="nil"/>
              <w:right w:val="nil"/>
            </w:tcBorders>
            <w:shd w:val="clear" w:color="auto" w:fill="auto"/>
            <w:noWrap/>
            <w:vAlign w:val="bottom"/>
            <w:hideMark/>
          </w:tcPr>
          <w:p w14:paraId="2A6B388A" w14:textId="77777777" w:rsidR="00146FD5" w:rsidRDefault="004A7A82" w:rsidP="00146FD5">
            <w:pPr>
              <w:pStyle w:val="ListParagraph"/>
              <w:numPr>
                <w:ilvl w:val="1"/>
                <w:numId w:val="58"/>
              </w:numPr>
              <w:rPr>
                <w:rFonts w:eastAsia="Times New Roman" w:cs="Arial"/>
                <w:b/>
                <w:bCs/>
                <w:color w:val="000000"/>
                <w:u w:val="single"/>
              </w:rPr>
            </w:pPr>
            <w:r w:rsidRPr="005F57EB">
              <w:rPr>
                <w:rFonts w:eastAsia="Times New Roman" w:cs="Arial"/>
                <w:b/>
                <w:bCs/>
                <w:color w:val="000000"/>
                <w:u w:val="single"/>
              </w:rPr>
              <w:lastRenderedPageBreak/>
              <w:t>Director of Adult Community Social Care</w:t>
            </w:r>
          </w:p>
          <w:p w14:paraId="4E00DC14" w14:textId="77777777" w:rsidR="000A5B26" w:rsidRPr="005F57EB" w:rsidRDefault="000A5B26" w:rsidP="000A5B26">
            <w:pPr>
              <w:pStyle w:val="ListParagraph"/>
              <w:ind w:left="400"/>
              <w:rPr>
                <w:rFonts w:eastAsia="Times New Roman" w:cs="Arial"/>
                <w:b/>
                <w:bCs/>
                <w:color w:val="000000"/>
                <w:u w:val="single"/>
              </w:rPr>
            </w:pPr>
          </w:p>
          <w:p w14:paraId="6E64E2D1" w14:textId="77777777" w:rsidR="00146FD5" w:rsidRPr="005F57EB" w:rsidRDefault="00146FD5" w:rsidP="00B97332">
            <w:pPr>
              <w:pStyle w:val="ListParagraph"/>
              <w:ind w:left="400"/>
              <w:rPr>
                <w:rFonts w:eastAsia="Times New Roman" w:cs="Arial"/>
                <w:b/>
                <w:bCs/>
                <w:color w:val="000000"/>
                <w:u w:val="single"/>
              </w:rPr>
            </w:pPr>
          </w:p>
        </w:tc>
      </w:tr>
      <w:tr w:rsidR="00C92CD8" w14:paraId="264C5002" w14:textId="77777777" w:rsidTr="00B97332">
        <w:trPr>
          <w:trHeight w:val="600"/>
        </w:trPr>
        <w:tc>
          <w:tcPr>
            <w:tcW w:w="5103" w:type="dxa"/>
            <w:tcBorders>
              <w:top w:val="single" w:sz="4" w:space="0" w:color="auto"/>
              <w:left w:val="single" w:sz="4" w:space="0" w:color="auto"/>
              <w:bottom w:val="single" w:sz="4" w:space="0" w:color="auto"/>
              <w:right w:val="nil"/>
            </w:tcBorders>
            <w:shd w:val="clear" w:color="auto" w:fill="auto"/>
            <w:noWrap/>
            <w:vAlign w:val="bottom"/>
            <w:hideMark/>
          </w:tcPr>
          <w:p w14:paraId="529DF439"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F0B2C"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0B280EEA" w14:textId="77777777" w:rsidTr="00B97332">
        <w:trPr>
          <w:trHeight w:val="300"/>
        </w:trPr>
        <w:tc>
          <w:tcPr>
            <w:tcW w:w="5103" w:type="dxa"/>
            <w:tcBorders>
              <w:top w:val="nil"/>
              <w:left w:val="single" w:sz="4" w:space="0" w:color="auto"/>
              <w:bottom w:val="nil"/>
              <w:right w:val="nil"/>
            </w:tcBorders>
            <w:shd w:val="clear" w:color="auto" w:fill="auto"/>
            <w:noWrap/>
            <w:vAlign w:val="bottom"/>
            <w:hideMark/>
          </w:tcPr>
          <w:p w14:paraId="58A618F8"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tcBorders>
              <w:top w:val="nil"/>
              <w:left w:val="single" w:sz="4" w:space="0" w:color="auto"/>
              <w:bottom w:val="nil"/>
              <w:right w:val="single" w:sz="4" w:space="0" w:color="auto"/>
            </w:tcBorders>
            <w:shd w:val="clear" w:color="auto" w:fill="auto"/>
            <w:noWrap/>
            <w:vAlign w:val="center"/>
            <w:hideMark/>
          </w:tcPr>
          <w:p w14:paraId="7718BD6E"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0DA08CFC"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1AD0D47E"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828" w:type="dxa"/>
            <w:tcBorders>
              <w:top w:val="nil"/>
              <w:left w:val="single" w:sz="4" w:space="0" w:color="auto"/>
              <w:bottom w:val="nil"/>
              <w:right w:val="single" w:sz="4" w:space="0" w:color="auto"/>
            </w:tcBorders>
            <w:shd w:val="clear" w:color="auto" w:fill="auto"/>
            <w:noWrap/>
            <w:vAlign w:val="bottom"/>
            <w:hideMark/>
          </w:tcPr>
          <w:p w14:paraId="5874A310"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6D7C6149"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634D4FCD"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828" w:type="dxa"/>
            <w:tcBorders>
              <w:top w:val="nil"/>
              <w:left w:val="single" w:sz="4" w:space="0" w:color="auto"/>
              <w:bottom w:val="nil"/>
              <w:right w:val="single" w:sz="4" w:space="0" w:color="auto"/>
            </w:tcBorders>
            <w:shd w:val="clear" w:color="auto" w:fill="auto"/>
            <w:noWrap/>
            <w:vAlign w:val="bottom"/>
            <w:hideMark/>
          </w:tcPr>
          <w:p w14:paraId="27FB446A"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37.129 </w:t>
            </w:r>
          </w:p>
        </w:tc>
      </w:tr>
      <w:tr w:rsidR="00C92CD8" w14:paraId="5FD3DC74"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57AD11FF"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828" w:type="dxa"/>
            <w:tcBorders>
              <w:top w:val="nil"/>
              <w:left w:val="single" w:sz="4" w:space="0" w:color="auto"/>
              <w:bottom w:val="nil"/>
              <w:right w:val="single" w:sz="4" w:space="0" w:color="auto"/>
            </w:tcBorders>
            <w:shd w:val="clear" w:color="auto" w:fill="auto"/>
            <w:noWrap/>
            <w:vAlign w:val="bottom"/>
            <w:hideMark/>
          </w:tcPr>
          <w:p w14:paraId="259853CE"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0.018 </w:t>
            </w:r>
          </w:p>
        </w:tc>
      </w:tr>
      <w:tr w:rsidR="00C92CD8" w14:paraId="25D54943"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5DBD2714"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828" w:type="dxa"/>
            <w:tcBorders>
              <w:top w:val="nil"/>
              <w:left w:val="single" w:sz="4" w:space="0" w:color="auto"/>
              <w:bottom w:val="nil"/>
              <w:right w:val="single" w:sz="4" w:space="0" w:color="auto"/>
            </w:tcBorders>
            <w:shd w:val="clear" w:color="auto" w:fill="auto"/>
            <w:noWrap/>
            <w:vAlign w:val="bottom"/>
            <w:hideMark/>
          </w:tcPr>
          <w:p w14:paraId="3C911B6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0.679 </w:t>
            </w:r>
          </w:p>
        </w:tc>
      </w:tr>
      <w:tr w:rsidR="00C92CD8" w14:paraId="11A52981"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02685913"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828" w:type="dxa"/>
            <w:tcBorders>
              <w:top w:val="nil"/>
              <w:left w:val="single" w:sz="4" w:space="0" w:color="auto"/>
              <w:bottom w:val="nil"/>
              <w:right w:val="single" w:sz="4" w:space="0" w:color="auto"/>
            </w:tcBorders>
            <w:shd w:val="clear" w:color="auto" w:fill="auto"/>
            <w:noWrap/>
            <w:vAlign w:val="bottom"/>
            <w:hideMark/>
          </w:tcPr>
          <w:p w14:paraId="782DD72F"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67.502 </w:t>
            </w:r>
          </w:p>
        </w:tc>
      </w:tr>
      <w:tr w:rsidR="00C92CD8" w14:paraId="4F5C5208"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0835F4FC"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828" w:type="dxa"/>
            <w:tcBorders>
              <w:top w:val="nil"/>
              <w:left w:val="single" w:sz="4" w:space="0" w:color="auto"/>
              <w:bottom w:val="nil"/>
              <w:right w:val="single" w:sz="4" w:space="0" w:color="auto"/>
            </w:tcBorders>
            <w:shd w:val="clear" w:color="auto" w:fill="auto"/>
            <w:noWrap/>
            <w:vAlign w:val="bottom"/>
            <w:hideMark/>
          </w:tcPr>
          <w:p w14:paraId="1904271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528.317 </w:t>
            </w:r>
          </w:p>
        </w:tc>
      </w:tr>
      <w:tr w:rsidR="00C92CD8" w14:paraId="52753B01"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23C3CAFC"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828" w:type="dxa"/>
            <w:tcBorders>
              <w:top w:val="nil"/>
              <w:left w:val="single" w:sz="4" w:space="0" w:color="auto"/>
              <w:bottom w:val="nil"/>
              <w:right w:val="single" w:sz="4" w:space="0" w:color="auto"/>
            </w:tcBorders>
            <w:shd w:val="clear" w:color="auto" w:fill="auto"/>
            <w:noWrap/>
            <w:vAlign w:val="bottom"/>
            <w:hideMark/>
          </w:tcPr>
          <w:p w14:paraId="294EE35D"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90.422 </w:t>
            </w:r>
          </w:p>
        </w:tc>
      </w:tr>
      <w:tr w:rsidR="00C92CD8" w14:paraId="5978FFAB"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7665757E"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828" w:type="dxa"/>
            <w:tcBorders>
              <w:top w:val="nil"/>
              <w:left w:val="single" w:sz="4" w:space="0" w:color="auto"/>
              <w:bottom w:val="nil"/>
              <w:right w:val="single" w:sz="4" w:space="0" w:color="auto"/>
            </w:tcBorders>
            <w:shd w:val="clear" w:color="auto" w:fill="auto"/>
            <w:noWrap/>
            <w:vAlign w:val="bottom"/>
            <w:hideMark/>
          </w:tcPr>
          <w:p w14:paraId="2D5964B3"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086CACB2"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11F51865"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828" w:type="dxa"/>
            <w:tcBorders>
              <w:top w:val="nil"/>
              <w:left w:val="single" w:sz="4" w:space="0" w:color="auto"/>
              <w:bottom w:val="nil"/>
              <w:right w:val="single" w:sz="4" w:space="0" w:color="auto"/>
            </w:tcBorders>
            <w:shd w:val="clear" w:color="auto" w:fill="auto"/>
            <w:noWrap/>
            <w:vAlign w:val="bottom"/>
            <w:hideMark/>
          </w:tcPr>
          <w:p w14:paraId="02B582EF"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4.582 </w:t>
            </w:r>
          </w:p>
        </w:tc>
      </w:tr>
      <w:tr w:rsidR="00C92CD8" w14:paraId="66D497BD"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4C29E00A"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828" w:type="dxa"/>
            <w:tcBorders>
              <w:top w:val="nil"/>
              <w:left w:val="single" w:sz="4" w:space="0" w:color="auto"/>
              <w:bottom w:val="nil"/>
              <w:right w:val="single" w:sz="4" w:space="0" w:color="auto"/>
            </w:tcBorders>
            <w:shd w:val="clear" w:color="auto" w:fill="auto"/>
            <w:noWrap/>
            <w:vAlign w:val="bottom"/>
            <w:hideMark/>
          </w:tcPr>
          <w:p w14:paraId="7D84B304" w14:textId="270AF075"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728.64</w:t>
            </w:r>
            <w:r w:rsidR="00BF7D7E">
              <w:rPr>
                <w:rFonts w:eastAsia="Times New Roman" w:cs="Arial"/>
                <w:b/>
                <w:bCs/>
                <w:color w:val="000000"/>
              </w:rPr>
              <w:t>8</w:t>
            </w:r>
            <w:r w:rsidRPr="00CE2155">
              <w:rPr>
                <w:rFonts w:eastAsia="Times New Roman" w:cs="Arial"/>
                <w:b/>
                <w:bCs/>
                <w:color w:val="000000"/>
              </w:rPr>
              <w:t xml:space="preserve"> </w:t>
            </w:r>
          </w:p>
        </w:tc>
      </w:tr>
      <w:tr w:rsidR="00C92CD8" w14:paraId="37D656C1"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04CE0E19"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tcBorders>
              <w:top w:val="nil"/>
              <w:left w:val="single" w:sz="4" w:space="0" w:color="auto"/>
              <w:bottom w:val="nil"/>
              <w:right w:val="single" w:sz="4" w:space="0" w:color="auto"/>
            </w:tcBorders>
            <w:shd w:val="clear" w:color="auto" w:fill="auto"/>
            <w:noWrap/>
            <w:vAlign w:val="bottom"/>
            <w:hideMark/>
          </w:tcPr>
          <w:p w14:paraId="6FFF7FCA"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0808502A"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34CAF305"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828" w:type="dxa"/>
            <w:tcBorders>
              <w:top w:val="nil"/>
              <w:left w:val="single" w:sz="4" w:space="0" w:color="auto"/>
              <w:bottom w:val="nil"/>
              <w:right w:val="single" w:sz="4" w:space="0" w:color="auto"/>
            </w:tcBorders>
            <w:shd w:val="clear" w:color="auto" w:fill="auto"/>
            <w:noWrap/>
            <w:vAlign w:val="bottom"/>
            <w:hideMark/>
          </w:tcPr>
          <w:p w14:paraId="68D9D68A"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0DC6BD0B"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41F8218A"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828" w:type="dxa"/>
            <w:tcBorders>
              <w:top w:val="nil"/>
              <w:left w:val="single" w:sz="4" w:space="0" w:color="auto"/>
              <w:bottom w:val="nil"/>
              <w:right w:val="single" w:sz="4" w:space="0" w:color="auto"/>
            </w:tcBorders>
            <w:shd w:val="clear" w:color="auto" w:fill="auto"/>
            <w:noWrap/>
            <w:vAlign w:val="bottom"/>
            <w:hideMark/>
          </w:tcPr>
          <w:p w14:paraId="672B9381"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124.789 </w:t>
            </w:r>
          </w:p>
        </w:tc>
      </w:tr>
      <w:tr w:rsidR="00C92CD8" w14:paraId="56DF4291"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1C4F082B"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828" w:type="dxa"/>
            <w:tcBorders>
              <w:top w:val="nil"/>
              <w:left w:val="single" w:sz="4" w:space="0" w:color="auto"/>
              <w:bottom w:val="nil"/>
              <w:right w:val="single" w:sz="4" w:space="0" w:color="auto"/>
            </w:tcBorders>
            <w:shd w:val="clear" w:color="auto" w:fill="auto"/>
            <w:noWrap/>
            <w:vAlign w:val="bottom"/>
            <w:hideMark/>
          </w:tcPr>
          <w:p w14:paraId="1EF923CD"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40.961 </w:t>
            </w:r>
          </w:p>
        </w:tc>
      </w:tr>
      <w:tr w:rsidR="00C92CD8" w14:paraId="7DEBF7E9"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4E099F60"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828" w:type="dxa"/>
            <w:tcBorders>
              <w:top w:val="nil"/>
              <w:left w:val="single" w:sz="4" w:space="0" w:color="auto"/>
              <w:bottom w:val="nil"/>
              <w:right w:val="single" w:sz="4" w:space="0" w:color="auto"/>
            </w:tcBorders>
            <w:shd w:val="clear" w:color="auto" w:fill="auto"/>
            <w:noWrap/>
            <w:vAlign w:val="bottom"/>
            <w:hideMark/>
          </w:tcPr>
          <w:p w14:paraId="6233F286"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24798308"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6092A1CD"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828" w:type="dxa"/>
            <w:tcBorders>
              <w:top w:val="nil"/>
              <w:left w:val="single" w:sz="4" w:space="0" w:color="auto"/>
              <w:bottom w:val="nil"/>
              <w:right w:val="single" w:sz="4" w:space="0" w:color="auto"/>
            </w:tcBorders>
            <w:shd w:val="clear" w:color="auto" w:fill="auto"/>
            <w:noWrap/>
            <w:vAlign w:val="bottom"/>
            <w:hideMark/>
          </w:tcPr>
          <w:p w14:paraId="74560E8F"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104.282 </w:t>
            </w:r>
          </w:p>
        </w:tc>
      </w:tr>
      <w:tr w:rsidR="00C92CD8" w14:paraId="0A779553"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64A47FC7"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828" w:type="dxa"/>
            <w:tcBorders>
              <w:top w:val="nil"/>
              <w:left w:val="single" w:sz="4" w:space="0" w:color="auto"/>
              <w:bottom w:val="nil"/>
              <w:right w:val="single" w:sz="4" w:space="0" w:color="auto"/>
            </w:tcBorders>
            <w:shd w:val="clear" w:color="auto" w:fill="auto"/>
            <w:noWrap/>
            <w:vAlign w:val="bottom"/>
            <w:hideMark/>
          </w:tcPr>
          <w:p w14:paraId="15C6E623"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17.687 </w:t>
            </w:r>
          </w:p>
        </w:tc>
      </w:tr>
      <w:tr w:rsidR="00C92CD8" w14:paraId="7D1C5DBC"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28A84501"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828" w:type="dxa"/>
            <w:tcBorders>
              <w:top w:val="nil"/>
              <w:left w:val="single" w:sz="4" w:space="0" w:color="auto"/>
              <w:bottom w:val="nil"/>
              <w:right w:val="single" w:sz="4" w:space="0" w:color="auto"/>
            </w:tcBorders>
            <w:shd w:val="clear" w:color="auto" w:fill="auto"/>
            <w:noWrap/>
            <w:vAlign w:val="bottom"/>
            <w:hideMark/>
          </w:tcPr>
          <w:p w14:paraId="5A6C0583" w14:textId="4D095B5B"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287.71</w:t>
            </w:r>
            <w:r w:rsidR="00BF7D7E">
              <w:rPr>
                <w:rFonts w:eastAsia="Times New Roman" w:cs="Arial"/>
                <w:b/>
                <w:bCs/>
                <w:color w:val="000000"/>
              </w:rPr>
              <w:t>8</w:t>
            </w:r>
            <w:r w:rsidRPr="00CE2155">
              <w:rPr>
                <w:rFonts w:eastAsia="Times New Roman" w:cs="Arial"/>
                <w:b/>
                <w:bCs/>
                <w:color w:val="000000"/>
              </w:rPr>
              <w:t xml:space="preserve"> </w:t>
            </w:r>
          </w:p>
        </w:tc>
      </w:tr>
      <w:tr w:rsidR="00C92CD8" w14:paraId="03F9E876"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4444EBC2"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tcBorders>
              <w:top w:val="nil"/>
              <w:left w:val="single" w:sz="4" w:space="0" w:color="auto"/>
              <w:bottom w:val="nil"/>
              <w:right w:val="single" w:sz="4" w:space="0" w:color="auto"/>
            </w:tcBorders>
            <w:shd w:val="clear" w:color="auto" w:fill="auto"/>
            <w:noWrap/>
            <w:vAlign w:val="bottom"/>
            <w:hideMark/>
          </w:tcPr>
          <w:p w14:paraId="23155210"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55301A09" w14:textId="77777777" w:rsidTr="00B97332">
        <w:trPr>
          <w:trHeight w:val="300"/>
        </w:trPr>
        <w:tc>
          <w:tcPr>
            <w:tcW w:w="5103" w:type="dxa"/>
            <w:tcBorders>
              <w:top w:val="single" w:sz="4" w:space="0" w:color="auto"/>
              <w:left w:val="single" w:sz="4" w:space="0" w:color="auto"/>
              <w:bottom w:val="single" w:sz="4" w:space="0" w:color="auto"/>
              <w:right w:val="nil"/>
            </w:tcBorders>
            <w:shd w:val="clear" w:color="auto" w:fill="auto"/>
            <w:noWrap/>
            <w:vAlign w:val="center"/>
            <w:hideMark/>
          </w:tcPr>
          <w:p w14:paraId="2557B6A2"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62E6F"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440.930 </w:t>
            </w:r>
          </w:p>
        </w:tc>
      </w:tr>
    </w:tbl>
    <w:p w14:paraId="3163B093" w14:textId="77777777" w:rsidR="00146FD5" w:rsidRPr="00CE2155" w:rsidRDefault="004A7A82" w:rsidP="00146FD5">
      <w:pPr>
        <w:rPr>
          <w:rFonts w:cs="Arial"/>
        </w:rPr>
      </w:pPr>
      <w:r w:rsidRPr="00CE2155">
        <w:rPr>
          <w:rFonts w:cs="Arial"/>
        </w:rPr>
        <w:br w:type="page"/>
      </w:r>
    </w:p>
    <w:tbl>
      <w:tblPr>
        <w:tblW w:w="8931" w:type="dxa"/>
        <w:tblLook w:val="04A0" w:firstRow="1" w:lastRow="0" w:firstColumn="1" w:lastColumn="0" w:noHBand="0" w:noVBand="1"/>
      </w:tblPr>
      <w:tblGrid>
        <w:gridCol w:w="5103"/>
        <w:gridCol w:w="3828"/>
      </w:tblGrid>
      <w:tr w:rsidR="00C92CD8" w14:paraId="04CD442D" w14:textId="77777777" w:rsidTr="00B97332">
        <w:trPr>
          <w:trHeight w:val="300"/>
        </w:trPr>
        <w:tc>
          <w:tcPr>
            <w:tcW w:w="8931" w:type="dxa"/>
            <w:gridSpan w:val="2"/>
            <w:tcBorders>
              <w:top w:val="nil"/>
              <w:left w:val="nil"/>
              <w:bottom w:val="nil"/>
              <w:right w:val="nil"/>
            </w:tcBorders>
            <w:shd w:val="clear" w:color="auto" w:fill="auto"/>
            <w:noWrap/>
            <w:vAlign w:val="bottom"/>
            <w:hideMark/>
          </w:tcPr>
          <w:p w14:paraId="5879C10E" w14:textId="63BC43D1" w:rsidR="00146FD5" w:rsidRPr="000A5B26" w:rsidRDefault="004A7A82" w:rsidP="000A5B26">
            <w:pPr>
              <w:pStyle w:val="ListParagraph"/>
              <w:numPr>
                <w:ilvl w:val="1"/>
                <w:numId w:val="58"/>
              </w:numPr>
              <w:rPr>
                <w:rFonts w:eastAsia="Times New Roman" w:cs="Arial"/>
                <w:b/>
                <w:bCs/>
                <w:color w:val="000000"/>
                <w:u w:val="single"/>
              </w:rPr>
            </w:pPr>
            <w:r w:rsidRPr="000A5B26">
              <w:rPr>
                <w:rFonts w:eastAsia="Times New Roman" w:cs="Arial"/>
                <w:b/>
                <w:bCs/>
                <w:color w:val="000000"/>
                <w:u w:val="single"/>
              </w:rPr>
              <w:lastRenderedPageBreak/>
              <w:t>Director of Quality Improvement and Principal Social Worker</w:t>
            </w:r>
          </w:p>
          <w:p w14:paraId="52716854" w14:textId="77777777" w:rsidR="000A5B26" w:rsidRPr="000A5B26" w:rsidRDefault="000A5B26" w:rsidP="000A5B26">
            <w:pPr>
              <w:pStyle w:val="ListParagraph"/>
              <w:ind w:left="400"/>
              <w:rPr>
                <w:rFonts w:eastAsia="Times New Roman" w:cs="Arial"/>
                <w:b/>
                <w:bCs/>
                <w:color w:val="000000"/>
                <w:u w:val="single"/>
              </w:rPr>
            </w:pPr>
          </w:p>
          <w:p w14:paraId="51F02521" w14:textId="77777777" w:rsidR="00146FD5" w:rsidRPr="00CE2155" w:rsidRDefault="00146FD5" w:rsidP="00B97332">
            <w:pPr>
              <w:rPr>
                <w:rFonts w:eastAsia="Times New Roman" w:cs="Arial"/>
                <w:b/>
                <w:bCs/>
                <w:color w:val="000000"/>
                <w:u w:val="single"/>
              </w:rPr>
            </w:pPr>
          </w:p>
        </w:tc>
      </w:tr>
      <w:tr w:rsidR="00C92CD8" w14:paraId="1BA7BF9D" w14:textId="77777777" w:rsidTr="00B97332">
        <w:trPr>
          <w:trHeight w:val="600"/>
        </w:trPr>
        <w:tc>
          <w:tcPr>
            <w:tcW w:w="5103" w:type="dxa"/>
            <w:tcBorders>
              <w:top w:val="single" w:sz="4" w:space="0" w:color="auto"/>
              <w:left w:val="single" w:sz="4" w:space="0" w:color="auto"/>
              <w:bottom w:val="single" w:sz="4" w:space="0" w:color="auto"/>
              <w:right w:val="nil"/>
            </w:tcBorders>
            <w:shd w:val="clear" w:color="auto" w:fill="auto"/>
            <w:noWrap/>
            <w:vAlign w:val="bottom"/>
            <w:hideMark/>
          </w:tcPr>
          <w:p w14:paraId="51BD1603"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25C9C"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0D5FC817" w14:textId="77777777" w:rsidTr="00B97332">
        <w:trPr>
          <w:trHeight w:val="300"/>
        </w:trPr>
        <w:tc>
          <w:tcPr>
            <w:tcW w:w="5103" w:type="dxa"/>
            <w:tcBorders>
              <w:top w:val="nil"/>
              <w:left w:val="single" w:sz="4" w:space="0" w:color="auto"/>
              <w:bottom w:val="nil"/>
              <w:right w:val="nil"/>
            </w:tcBorders>
            <w:shd w:val="clear" w:color="auto" w:fill="auto"/>
            <w:noWrap/>
            <w:vAlign w:val="bottom"/>
            <w:hideMark/>
          </w:tcPr>
          <w:p w14:paraId="0D6EB5F1"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tcBorders>
              <w:top w:val="nil"/>
              <w:left w:val="single" w:sz="4" w:space="0" w:color="auto"/>
              <w:bottom w:val="nil"/>
              <w:right w:val="single" w:sz="4" w:space="0" w:color="auto"/>
            </w:tcBorders>
            <w:shd w:val="clear" w:color="auto" w:fill="auto"/>
            <w:noWrap/>
            <w:vAlign w:val="center"/>
            <w:hideMark/>
          </w:tcPr>
          <w:p w14:paraId="6B469219"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7AF998AB"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2E8BC956"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828" w:type="dxa"/>
            <w:tcBorders>
              <w:top w:val="nil"/>
              <w:left w:val="single" w:sz="4" w:space="0" w:color="auto"/>
              <w:bottom w:val="nil"/>
              <w:right w:val="single" w:sz="4" w:space="0" w:color="auto"/>
            </w:tcBorders>
            <w:shd w:val="clear" w:color="auto" w:fill="auto"/>
            <w:noWrap/>
            <w:vAlign w:val="bottom"/>
            <w:hideMark/>
          </w:tcPr>
          <w:p w14:paraId="43B7BDCF"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23C040D0"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5462DC98"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828" w:type="dxa"/>
            <w:tcBorders>
              <w:top w:val="nil"/>
              <w:left w:val="single" w:sz="4" w:space="0" w:color="auto"/>
              <w:bottom w:val="nil"/>
              <w:right w:val="single" w:sz="4" w:space="0" w:color="auto"/>
            </w:tcBorders>
            <w:shd w:val="clear" w:color="auto" w:fill="auto"/>
            <w:noWrap/>
            <w:vAlign w:val="bottom"/>
            <w:hideMark/>
          </w:tcPr>
          <w:p w14:paraId="6FB59273"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0.937 </w:t>
            </w:r>
          </w:p>
        </w:tc>
      </w:tr>
      <w:tr w:rsidR="00C92CD8" w14:paraId="2A76E74B"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218328EE"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828" w:type="dxa"/>
            <w:tcBorders>
              <w:top w:val="nil"/>
              <w:left w:val="single" w:sz="4" w:space="0" w:color="auto"/>
              <w:bottom w:val="nil"/>
              <w:right w:val="single" w:sz="4" w:space="0" w:color="auto"/>
            </w:tcBorders>
            <w:shd w:val="clear" w:color="auto" w:fill="auto"/>
            <w:noWrap/>
            <w:vAlign w:val="bottom"/>
            <w:hideMark/>
          </w:tcPr>
          <w:p w14:paraId="3FC6033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261188EA"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2E940190"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828" w:type="dxa"/>
            <w:tcBorders>
              <w:top w:val="nil"/>
              <w:left w:val="single" w:sz="4" w:space="0" w:color="auto"/>
              <w:bottom w:val="nil"/>
              <w:right w:val="single" w:sz="4" w:space="0" w:color="auto"/>
            </w:tcBorders>
            <w:shd w:val="clear" w:color="auto" w:fill="auto"/>
            <w:noWrap/>
            <w:vAlign w:val="bottom"/>
            <w:hideMark/>
          </w:tcPr>
          <w:p w14:paraId="7F0CB891"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109F0AD0"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09BE44C4"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828" w:type="dxa"/>
            <w:tcBorders>
              <w:top w:val="nil"/>
              <w:left w:val="single" w:sz="4" w:space="0" w:color="auto"/>
              <w:bottom w:val="nil"/>
              <w:right w:val="single" w:sz="4" w:space="0" w:color="auto"/>
            </w:tcBorders>
            <w:shd w:val="clear" w:color="auto" w:fill="auto"/>
            <w:noWrap/>
            <w:vAlign w:val="bottom"/>
            <w:hideMark/>
          </w:tcPr>
          <w:p w14:paraId="6360B8D1"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1.092 </w:t>
            </w:r>
          </w:p>
        </w:tc>
      </w:tr>
      <w:tr w:rsidR="00C92CD8" w14:paraId="64CAE17D"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406E7BB8"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828" w:type="dxa"/>
            <w:tcBorders>
              <w:top w:val="nil"/>
              <w:left w:val="single" w:sz="4" w:space="0" w:color="auto"/>
              <w:bottom w:val="nil"/>
              <w:right w:val="single" w:sz="4" w:space="0" w:color="auto"/>
            </w:tcBorders>
            <w:shd w:val="clear" w:color="auto" w:fill="auto"/>
            <w:noWrap/>
            <w:vAlign w:val="bottom"/>
            <w:hideMark/>
          </w:tcPr>
          <w:p w14:paraId="698D177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54DC34E7"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56395266"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828" w:type="dxa"/>
            <w:tcBorders>
              <w:top w:val="nil"/>
              <w:left w:val="single" w:sz="4" w:space="0" w:color="auto"/>
              <w:bottom w:val="nil"/>
              <w:right w:val="single" w:sz="4" w:space="0" w:color="auto"/>
            </w:tcBorders>
            <w:shd w:val="clear" w:color="auto" w:fill="auto"/>
            <w:noWrap/>
            <w:vAlign w:val="bottom"/>
            <w:hideMark/>
          </w:tcPr>
          <w:p w14:paraId="701AF2A9"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6F6709F5"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1EE67755"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828" w:type="dxa"/>
            <w:tcBorders>
              <w:top w:val="nil"/>
              <w:left w:val="single" w:sz="4" w:space="0" w:color="auto"/>
              <w:bottom w:val="nil"/>
              <w:right w:val="single" w:sz="4" w:space="0" w:color="auto"/>
            </w:tcBorders>
            <w:shd w:val="clear" w:color="auto" w:fill="auto"/>
            <w:noWrap/>
            <w:vAlign w:val="bottom"/>
            <w:hideMark/>
          </w:tcPr>
          <w:p w14:paraId="0A7CC38F"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56DD8D2D"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5EF5E101"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828" w:type="dxa"/>
            <w:tcBorders>
              <w:top w:val="nil"/>
              <w:left w:val="single" w:sz="4" w:space="0" w:color="auto"/>
              <w:bottom w:val="nil"/>
              <w:right w:val="single" w:sz="4" w:space="0" w:color="auto"/>
            </w:tcBorders>
            <w:shd w:val="clear" w:color="auto" w:fill="auto"/>
            <w:noWrap/>
            <w:vAlign w:val="bottom"/>
            <w:hideMark/>
          </w:tcPr>
          <w:p w14:paraId="19C5DDE0"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24527F09"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0C7DD709"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828" w:type="dxa"/>
            <w:tcBorders>
              <w:top w:val="nil"/>
              <w:left w:val="single" w:sz="4" w:space="0" w:color="auto"/>
              <w:bottom w:val="nil"/>
              <w:right w:val="single" w:sz="4" w:space="0" w:color="auto"/>
            </w:tcBorders>
            <w:shd w:val="clear" w:color="auto" w:fill="auto"/>
            <w:noWrap/>
            <w:vAlign w:val="bottom"/>
            <w:hideMark/>
          </w:tcPr>
          <w:p w14:paraId="52AF2605"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2.029 </w:t>
            </w:r>
          </w:p>
        </w:tc>
      </w:tr>
      <w:tr w:rsidR="00C92CD8" w14:paraId="413E4125"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0BE0415B"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tcBorders>
              <w:top w:val="nil"/>
              <w:left w:val="single" w:sz="4" w:space="0" w:color="auto"/>
              <w:bottom w:val="nil"/>
              <w:right w:val="single" w:sz="4" w:space="0" w:color="auto"/>
            </w:tcBorders>
            <w:shd w:val="clear" w:color="auto" w:fill="auto"/>
            <w:noWrap/>
            <w:vAlign w:val="bottom"/>
            <w:hideMark/>
          </w:tcPr>
          <w:p w14:paraId="353805AB"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67A9D7D7"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0C5601FC"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828" w:type="dxa"/>
            <w:tcBorders>
              <w:top w:val="nil"/>
              <w:left w:val="single" w:sz="4" w:space="0" w:color="auto"/>
              <w:bottom w:val="nil"/>
              <w:right w:val="single" w:sz="4" w:space="0" w:color="auto"/>
            </w:tcBorders>
            <w:shd w:val="clear" w:color="auto" w:fill="auto"/>
            <w:noWrap/>
            <w:vAlign w:val="bottom"/>
            <w:hideMark/>
          </w:tcPr>
          <w:p w14:paraId="5A96D658"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25FFE61D"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79CA4631"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828" w:type="dxa"/>
            <w:tcBorders>
              <w:top w:val="nil"/>
              <w:left w:val="single" w:sz="4" w:space="0" w:color="auto"/>
              <w:bottom w:val="nil"/>
              <w:right w:val="single" w:sz="4" w:space="0" w:color="auto"/>
            </w:tcBorders>
            <w:shd w:val="clear" w:color="auto" w:fill="auto"/>
            <w:noWrap/>
            <w:vAlign w:val="bottom"/>
            <w:hideMark/>
          </w:tcPr>
          <w:p w14:paraId="5FF3C600"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66EFACB7"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652BA087"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828" w:type="dxa"/>
            <w:tcBorders>
              <w:top w:val="nil"/>
              <w:left w:val="single" w:sz="4" w:space="0" w:color="auto"/>
              <w:bottom w:val="nil"/>
              <w:right w:val="single" w:sz="4" w:space="0" w:color="auto"/>
            </w:tcBorders>
            <w:shd w:val="clear" w:color="auto" w:fill="auto"/>
            <w:noWrap/>
            <w:vAlign w:val="bottom"/>
            <w:hideMark/>
          </w:tcPr>
          <w:p w14:paraId="55BA4B82"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179E7AA5"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13C1D74D"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828" w:type="dxa"/>
            <w:tcBorders>
              <w:top w:val="nil"/>
              <w:left w:val="single" w:sz="4" w:space="0" w:color="auto"/>
              <w:bottom w:val="nil"/>
              <w:right w:val="single" w:sz="4" w:space="0" w:color="auto"/>
            </w:tcBorders>
            <w:shd w:val="clear" w:color="auto" w:fill="auto"/>
            <w:noWrap/>
            <w:vAlign w:val="bottom"/>
            <w:hideMark/>
          </w:tcPr>
          <w:p w14:paraId="0E6D7141"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080640BA"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35D3CFFA"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828" w:type="dxa"/>
            <w:tcBorders>
              <w:top w:val="nil"/>
              <w:left w:val="single" w:sz="4" w:space="0" w:color="auto"/>
              <w:bottom w:val="nil"/>
              <w:right w:val="single" w:sz="4" w:space="0" w:color="auto"/>
            </w:tcBorders>
            <w:shd w:val="clear" w:color="auto" w:fill="auto"/>
            <w:noWrap/>
            <w:vAlign w:val="bottom"/>
            <w:hideMark/>
          </w:tcPr>
          <w:p w14:paraId="19DE80F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78F88162"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72EDCD80"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828" w:type="dxa"/>
            <w:tcBorders>
              <w:top w:val="nil"/>
              <w:left w:val="single" w:sz="4" w:space="0" w:color="auto"/>
              <w:bottom w:val="nil"/>
              <w:right w:val="single" w:sz="4" w:space="0" w:color="auto"/>
            </w:tcBorders>
            <w:shd w:val="clear" w:color="auto" w:fill="auto"/>
            <w:noWrap/>
            <w:vAlign w:val="bottom"/>
            <w:hideMark/>
          </w:tcPr>
          <w:p w14:paraId="27F18E9A"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7B238FDA"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70888BD4"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828" w:type="dxa"/>
            <w:tcBorders>
              <w:top w:val="nil"/>
              <w:left w:val="single" w:sz="4" w:space="0" w:color="auto"/>
              <w:bottom w:val="nil"/>
              <w:right w:val="single" w:sz="4" w:space="0" w:color="auto"/>
            </w:tcBorders>
            <w:shd w:val="clear" w:color="auto" w:fill="auto"/>
            <w:noWrap/>
            <w:vAlign w:val="bottom"/>
            <w:hideMark/>
          </w:tcPr>
          <w:p w14:paraId="41692E57"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   </w:t>
            </w:r>
          </w:p>
        </w:tc>
      </w:tr>
      <w:tr w:rsidR="00C92CD8" w14:paraId="3893F09D"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1E528CA4"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tcBorders>
              <w:top w:val="nil"/>
              <w:left w:val="single" w:sz="4" w:space="0" w:color="auto"/>
              <w:bottom w:val="nil"/>
              <w:right w:val="single" w:sz="4" w:space="0" w:color="auto"/>
            </w:tcBorders>
            <w:shd w:val="clear" w:color="auto" w:fill="auto"/>
            <w:noWrap/>
            <w:vAlign w:val="bottom"/>
            <w:hideMark/>
          </w:tcPr>
          <w:p w14:paraId="5FEA3F86"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32153F59" w14:textId="77777777" w:rsidTr="00B97332">
        <w:trPr>
          <w:trHeight w:val="300"/>
        </w:trPr>
        <w:tc>
          <w:tcPr>
            <w:tcW w:w="5103" w:type="dxa"/>
            <w:tcBorders>
              <w:top w:val="single" w:sz="4" w:space="0" w:color="auto"/>
              <w:left w:val="single" w:sz="4" w:space="0" w:color="auto"/>
              <w:bottom w:val="single" w:sz="4" w:space="0" w:color="auto"/>
              <w:right w:val="nil"/>
            </w:tcBorders>
            <w:shd w:val="clear" w:color="auto" w:fill="auto"/>
            <w:noWrap/>
            <w:vAlign w:val="center"/>
            <w:hideMark/>
          </w:tcPr>
          <w:p w14:paraId="1E829752"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3E7EE"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2.029 </w:t>
            </w:r>
          </w:p>
        </w:tc>
      </w:tr>
    </w:tbl>
    <w:p w14:paraId="742C0169" w14:textId="77777777" w:rsidR="00146FD5" w:rsidRPr="00CE2155" w:rsidRDefault="004A7A82" w:rsidP="00146FD5">
      <w:pPr>
        <w:rPr>
          <w:rFonts w:cs="Arial"/>
        </w:rPr>
      </w:pPr>
      <w:r w:rsidRPr="00CE2155">
        <w:rPr>
          <w:rFonts w:cs="Arial"/>
        </w:rPr>
        <w:br w:type="page"/>
      </w:r>
    </w:p>
    <w:tbl>
      <w:tblPr>
        <w:tblW w:w="8931" w:type="dxa"/>
        <w:tblLook w:val="04A0" w:firstRow="1" w:lastRow="0" w:firstColumn="1" w:lastColumn="0" w:noHBand="0" w:noVBand="1"/>
      </w:tblPr>
      <w:tblGrid>
        <w:gridCol w:w="5103"/>
        <w:gridCol w:w="3828"/>
      </w:tblGrid>
      <w:tr w:rsidR="00C92CD8" w14:paraId="59A49B46" w14:textId="77777777" w:rsidTr="00B97332">
        <w:trPr>
          <w:trHeight w:val="300"/>
        </w:trPr>
        <w:tc>
          <w:tcPr>
            <w:tcW w:w="8931" w:type="dxa"/>
            <w:gridSpan w:val="2"/>
            <w:tcBorders>
              <w:top w:val="nil"/>
              <w:left w:val="nil"/>
              <w:bottom w:val="nil"/>
              <w:right w:val="nil"/>
            </w:tcBorders>
            <w:shd w:val="clear" w:color="auto" w:fill="auto"/>
            <w:noWrap/>
            <w:vAlign w:val="bottom"/>
            <w:hideMark/>
          </w:tcPr>
          <w:p w14:paraId="573F0F4E" w14:textId="77777777" w:rsidR="00146FD5" w:rsidRDefault="004A7A82" w:rsidP="00146FD5">
            <w:pPr>
              <w:pStyle w:val="ListParagraph"/>
              <w:numPr>
                <w:ilvl w:val="1"/>
                <w:numId w:val="58"/>
              </w:numPr>
              <w:rPr>
                <w:rFonts w:eastAsia="Times New Roman" w:cs="Arial"/>
                <w:b/>
                <w:bCs/>
                <w:color w:val="000000"/>
                <w:u w:val="single"/>
              </w:rPr>
            </w:pPr>
            <w:r w:rsidRPr="005F57EB">
              <w:rPr>
                <w:rFonts w:eastAsia="Times New Roman" w:cs="Arial"/>
                <w:b/>
                <w:bCs/>
                <w:color w:val="000000"/>
                <w:u w:val="single"/>
              </w:rPr>
              <w:lastRenderedPageBreak/>
              <w:t>Director of Quality, Contracts and Safeguarding Adults</w:t>
            </w:r>
          </w:p>
          <w:p w14:paraId="616CCBBE" w14:textId="77777777" w:rsidR="000A5B26" w:rsidRPr="005F57EB" w:rsidRDefault="000A5B26" w:rsidP="000A5B26">
            <w:pPr>
              <w:pStyle w:val="ListParagraph"/>
              <w:ind w:left="400"/>
              <w:rPr>
                <w:rFonts w:eastAsia="Times New Roman" w:cs="Arial"/>
                <w:b/>
                <w:bCs/>
                <w:color w:val="000000"/>
                <w:u w:val="single"/>
              </w:rPr>
            </w:pPr>
          </w:p>
          <w:p w14:paraId="293B0E69" w14:textId="77777777" w:rsidR="00146FD5" w:rsidRPr="005F57EB" w:rsidRDefault="00146FD5" w:rsidP="00B97332">
            <w:pPr>
              <w:pStyle w:val="ListParagraph"/>
              <w:ind w:left="400"/>
              <w:rPr>
                <w:rFonts w:eastAsia="Times New Roman" w:cs="Arial"/>
                <w:b/>
                <w:bCs/>
                <w:color w:val="000000"/>
                <w:u w:val="single"/>
              </w:rPr>
            </w:pPr>
          </w:p>
        </w:tc>
      </w:tr>
      <w:tr w:rsidR="00C92CD8" w14:paraId="6DFB9A4D" w14:textId="77777777" w:rsidTr="00B97332">
        <w:trPr>
          <w:trHeight w:val="600"/>
        </w:trPr>
        <w:tc>
          <w:tcPr>
            <w:tcW w:w="5103" w:type="dxa"/>
            <w:tcBorders>
              <w:top w:val="single" w:sz="4" w:space="0" w:color="auto"/>
              <w:left w:val="single" w:sz="4" w:space="0" w:color="auto"/>
              <w:bottom w:val="single" w:sz="4" w:space="0" w:color="auto"/>
              <w:right w:val="nil"/>
            </w:tcBorders>
            <w:shd w:val="clear" w:color="auto" w:fill="auto"/>
            <w:noWrap/>
            <w:vAlign w:val="bottom"/>
            <w:hideMark/>
          </w:tcPr>
          <w:p w14:paraId="1AE5B110"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6641D"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19C67B2D" w14:textId="77777777" w:rsidTr="00B97332">
        <w:trPr>
          <w:trHeight w:val="300"/>
        </w:trPr>
        <w:tc>
          <w:tcPr>
            <w:tcW w:w="5103" w:type="dxa"/>
            <w:tcBorders>
              <w:top w:val="nil"/>
              <w:left w:val="single" w:sz="4" w:space="0" w:color="auto"/>
              <w:bottom w:val="nil"/>
              <w:right w:val="nil"/>
            </w:tcBorders>
            <w:shd w:val="clear" w:color="auto" w:fill="auto"/>
            <w:noWrap/>
            <w:vAlign w:val="bottom"/>
            <w:hideMark/>
          </w:tcPr>
          <w:p w14:paraId="685B8038"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tcBorders>
              <w:top w:val="nil"/>
              <w:left w:val="single" w:sz="4" w:space="0" w:color="auto"/>
              <w:bottom w:val="nil"/>
              <w:right w:val="single" w:sz="4" w:space="0" w:color="auto"/>
            </w:tcBorders>
            <w:shd w:val="clear" w:color="auto" w:fill="auto"/>
            <w:noWrap/>
            <w:vAlign w:val="center"/>
            <w:hideMark/>
          </w:tcPr>
          <w:p w14:paraId="1952D51D"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4907EB22"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6E702551"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828" w:type="dxa"/>
            <w:tcBorders>
              <w:top w:val="nil"/>
              <w:left w:val="single" w:sz="4" w:space="0" w:color="auto"/>
              <w:bottom w:val="nil"/>
              <w:right w:val="single" w:sz="4" w:space="0" w:color="auto"/>
            </w:tcBorders>
            <w:shd w:val="clear" w:color="auto" w:fill="auto"/>
            <w:noWrap/>
            <w:vAlign w:val="bottom"/>
            <w:hideMark/>
          </w:tcPr>
          <w:p w14:paraId="5F548890"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543F9B23"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4FD443A1"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828" w:type="dxa"/>
            <w:tcBorders>
              <w:top w:val="nil"/>
              <w:left w:val="single" w:sz="4" w:space="0" w:color="auto"/>
              <w:bottom w:val="nil"/>
              <w:right w:val="single" w:sz="4" w:space="0" w:color="auto"/>
            </w:tcBorders>
            <w:shd w:val="clear" w:color="auto" w:fill="auto"/>
            <w:noWrap/>
            <w:vAlign w:val="bottom"/>
            <w:hideMark/>
          </w:tcPr>
          <w:p w14:paraId="1D334DE2" w14:textId="2F16F98A" w:rsidR="00146FD5" w:rsidRPr="00CE2155" w:rsidRDefault="004A7A82" w:rsidP="00B97332">
            <w:pPr>
              <w:jc w:val="right"/>
              <w:rPr>
                <w:rFonts w:eastAsia="Times New Roman" w:cs="Arial"/>
                <w:color w:val="000000"/>
              </w:rPr>
            </w:pPr>
            <w:r w:rsidRPr="00CE2155">
              <w:rPr>
                <w:rFonts w:eastAsia="Times New Roman" w:cs="Arial"/>
                <w:color w:val="000000"/>
              </w:rPr>
              <w:t xml:space="preserve">                                       7.18</w:t>
            </w:r>
            <w:r w:rsidR="00BF7D7E">
              <w:rPr>
                <w:rFonts w:eastAsia="Times New Roman" w:cs="Arial"/>
                <w:color w:val="000000"/>
              </w:rPr>
              <w:t>1</w:t>
            </w:r>
            <w:r w:rsidRPr="00CE2155">
              <w:rPr>
                <w:rFonts w:eastAsia="Times New Roman" w:cs="Arial"/>
                <w:color w:val="000000"/>
              </w:rPr>
              <w:t xml:space="preserve"> </w:t>
            </w:r>
          </w:p>
        </w:tc>
      </w:tr>
      <w:tr w:rsidR="00C92CD8" w14:paraId="208BCD4E"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272F64DC"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828" w:type="dxa"/>
            <w:tcBorders>
              <w:top w:val="nil"/>
              <w:left w:val="single" w:sz="4" w:space="0" w:color="auto"/>
              <w:bottom w:val="nil"/>
              <w:right w:val="single" w:sz="4" w:space="0" w:color="auto"/>
            </w:tcBorders>
            <w:shd w:val="clear" w:color="auto" w:fill="auto"/>
            <w:noWrap/>
            <w:vAlign w:val="bottom"/>
            <w:hideMark/>
          </w:tcPr>
          <w:p w14:paraId="603D08E9"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366DB2D6"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2E4FEA13"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828" w:type="dxa"/>
            <w:tcBorders>
              <w:top w:val="nil"/>
              <w:left w:val="single" w:sz="4" w:space="0" w:color="auto"/>
              <w:bottom w:val="nil"/>
              <w:right w:val="single" w:sz="4" w:space="0" w:color="auto"/>
            </w:tcBorders>
            <w:shd w:val="clear" w:color="auto" w:fill="auto"/>
            <w:noWrap/>
            <w:vAlign w:val="bottom"/>
            <w:hideMark/>
          </w:tcPr>
          <w:p w14:paraId="4AD3B25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0.044 </w:t>
            </w:r>
          </w:p>
        </w:tc>
      </w:tr>
      <w:tr w:rsidR="00C92CD8" w14:paraId="57886402"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29727F8E"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828" w:type="dxa"/>
            <w:tcBorders>
              <w:top w:val="nil"/>
              <w:left w:val="single" w:sz="4" w:space="0" w:color="auto"/>
              <w:bottom w:val="nil"/>
              <w:right w:val="single" w:sz="4" w:space="0" w:color="auto"/>
            </w:tcBorders>
            <w:shd w:val="clear" w:color="auto" w:fill="auto"/>
            <w:noWrap/>
            <w:vAlign w:val="bottom"/>
            <w:hideMark/>
          </w:tcPr>
          <w:p w14:paraId="28942CD3"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0.018 </w:t>
            </w:r>
          </w:p>
        </w:tc>
      </w:tr>
      <w:tr w:rsidR="00C92CD8" w14:paraId="3D1F0574"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267173E6"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828" w:type="dxa"/>
            <w:tcBorders>
              <w:top w:val="nil"/>
              <w:left w:val="single" w:sz="4" w:space="0" w:color="auto"/>
              <w:bottom w:val="nil"/>
              <w:right w:val="single" w:sz="4" w:space="0" w:color="auto"/>
            </w:tcBorders>
            <w:shd w:val="clear" w:color="auto" w:fill="auto"/>
            <w:noWrap/>
            <w:vAlign w:val="bottom"/>
            <w:hideMark/>
          </w:tcPr>
          <w:p w14:paraId="697809DB"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0.261 </w:t>
            </w:r>
          </w:p>
        </w:tc>
      </w:tr>
      <w:tr w:rsidR="00C92CD8" w14:paraId="3E6DA692"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6A210662"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828" w:type="dxa"/>
            <w:tcBorders>
              <w:top w:val="nil"/>
              <w:left w:val="single" w:sz="4" w:space="0" w:color="auto"/>
              <w:bottom w:val="nil"/>
              <w:right w:val="single" w:sz="4" w:space="0" w:color="auto"/>
            </w:tcBorders>
            <w:shd w:val="clear" w:color="auto" w:fill="auto"/>
            <w:noWrap/>
            <w:vAlign w:val="bottom"/>
            <w:hideMark/>
          </w:tcPr>
          <w:p w14:paraId="0FFED63D"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0DF04D9D"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0F9C02AA"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828" w:type="dxa"/>
            <w:tcBorders>
              <w:top w:val="nil"/>
              <w:left w:val="single" w:sz="4" w:space="0" w:color="auto"/>
              <w:bottom w:val="nil"/>
              <w:right w:val="single" w:sz="4" w:space="0" w:color="auto"/>
            </w:tcBorders>
            <w:shd w:val="clear" w:color="auto" w:fill="auto"/>
            <w:noWrap/>
            <w:vAlign w:val="bottom"/>
            <w:hideMark/>
          </w:tcPr>
          <w:p w14:paraId="6F1EDC24"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74A88BD9"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56DE2F50"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828" w:type="dxa"/>
            <w:tcBorders>
              <w:top w:val="nil"/>
              <w:left w:val="single" w:sz="4" w:space="0" w:color="auto"/>
              <w:bottom w:val="nil"/>
              <w:right w:val="single" w:sz="4" w:space="0" w:color="auto"/>
            </w:tcBorders>
            <w:shd w:val="clear" w:color="auto" w:fill="auto"/>
            <w:noWrap/>
            <w:vAlign w:val="bottom"/>
            <w:hideMark/>
          </w:tcPr>
          <w:p w14:paraId="24CA0182"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66913685"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010A09CF"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828" w:type="dxa"/>
            <w:tcBorders>
              <w:top w:val="nil"/>
              <w:left w:val="single" w:sz="4" w:space="0" w:color="auto"/>
              <w:bottom w:val="nil"/>
              <w:right w:val="single" w:sz="4" w:space="0" w:color="auto"/>
            </w:tcBorders>
            <w:shd w:val="clear" w:color="auto" w:fill="auto"/>
            <w:noWrap/>
            <w:vAlign w:val="bottom"/>
            <w:hideMark/>
          </w:tcPr>
          <w:p w14:paraId="7926F4FB" w14:textId="238E5C09"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7.50</w:t>
            </w:r>
            <w:r w:rsidR="00BF7D7E">
              <w:rPr>
                <w:rFonts w:eastAsia="Times New Roman" w:cs="Arial"/>
                <w:b/>
                <w:bCs/>
                <w:color w:val="000000"/>
              </w:rPr>
              <w:t>4</w:t>
            </w:r>
            <w:r w:rsidRPr="00CE2155">
              <w:rPr>
                <w:rFonts w:eastAsia="Times New Roman" w:cs="Arial"/>
                <w:b/>
                <w:bCs/>
                <w:color w:val="000000"/>
              </w:rPr>
              <w:t xml:space="preserve"> </w:t>
            </w:r>
          </w:p>
        </w:tc>
      </w:tr>
      <w:tr w:rsidR="00C92CD8" w14:paraId="52D42072"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6BE582ED"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tcBorders>
              <w:top w:val="nil"/>
              <w:left w:val="single" w:sz="4" w:space="0" w:color="auto"/>
              <w:bottom w:val="nil"/>
              <w:right w:val="single" w:sz="4" w:space="0" w:color="auto"/>
            </w:tcBorders>
            <w:shd w:val="clear" w:color="auto" w:fill="auto"/>
            <w:noWrap/>
            <w:vAlign w:val="bottom"/>
            <w:hideMark/>
          </w:tcPr>
          <w:p w14:paraId="5EDCAC8A"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6EEDE483"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2EED87FD"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828" w:type="dxa"/>
            <w:tcBorders>
              <w:top w:val="nil"/>
              <w:left w:val="single" w:sz="4" w:space="0" w:color="auto"/>
              <w:bottom w:val="nil"/>
              <w:right w:val="single" w:sz="4" w:space="0" w:color="auto"/>
            </w:tcBorders>
            <w:shd w:val="clear" w:color="auto" w:fill="auto"/>
            <w:noWrap/>
            <w:vAlign w:val="bottom"/>
            <w:hideMark/>
          </w:tcPr>
          <w:p w14:paraId="6986AED4"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34EED621"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37646C34"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828" w:type="dxa"/>
            <w:tcBorders>
              <w:top w:val="nil"/>
              <w:left w:val="single" w:sz="4" w:space="0" w:color="auto"/>
              <w:bottom w:val="nil"/>
              <w:right w:val="single" w:sz="4" w:space="0" w:color="auto"/>
            </w:tcBorders>
            <w:shd w:val="clear" w:color="auto" w:fill="auto"/>
            <w:noWrap/>
            <w:vAlign w:val="bottom"/>
            <w:hideMark/>
          </w:tcPr>
          <w:p w14:paraId="2297CF0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5A577948"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49997080"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828" w:type="dxa"/>
            <w:tcBorders>
              <w:top w:val="nil"/>
              <w:left w:val="single" w:sz="4" w:space="0" w:color="auto"/>
              <w:bottom w:val="nil"/>
              <w:right w:val="single" w:sz="4" w:space="0" w:color="auto"/>
            </w:tcBorders>
            <w:shd w:val="clear" w:color="auto" w:fill="auto"/>
            <w:noWrap/>
            <w:vAlign w:val="bottom"/>
            <w:hideMark/>
          </w:tcPr>
          <w:p w14:paraId="1E7DC76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2CCBE7E5"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68D4A834"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828" w:type="dxa"/>
            <w:tcBorders>
              <w:top w:val="nil"/>
              <w:left w:val="single" w:sz="4" w:space="0" w:color="auto"/>
              <w:bottom w:val="nil"/>
              <w:right w:val="single" w:sz="4" w:space="0" w:color="auto"/>
            </w:tcBorders>
            <w:shd w:val="clear" w:color="auto" w:fill="auto"/>
            <w:noWrap/>
            <w:vAlign w:val="bottom"/>
            <w:hideMark/>
          </w:tcPr>
          <w:p w14:paraId="4145C60E"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2FF1EB16"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258C09BE"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828" w:type="dxa"/>
            <w:tcBorders>
              <w:top w:val="nil"/>
              <w:left w:val="single" w:sz="4" w:space="0" w:color="auto"/>
              <w:bottom w:val="nil"/>
              <w:right w:val="single" w:sz="4" w:space="0" w:color="auto"/>
            </w:tcBorders>
            <w:shd w:val="clear" w:color="auto" w:fill="auto"/>
            <w:noWrap/>
            <w:vAlign w:val="bottom"/>
            <w:hideMark/>
          </w:tcPr>
          <w:p w14:paraId="085E97CB"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20275DD5"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6ED48880"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828" w:type="dxa"/>
            <w:tcBorders>
              <w:top w:val="nil"/>
              <w:left w:val="single" w:sz="4" w:space="0" w:color="auto"/>
              <w:bottom w:val="nil"/>
              <w:right w:val="single" w:sz="4" w:space="0" w:color="auto"/>
            </w:tcBorders>
            <w:shd w:val="clear" w:color="auto" w:fill="auto"/>
            <w:noWrap/>
            <w:vAlign w:val="bottom"/>
            <w:hideMark/>
          </w:tcPr>
          <w:p w14:paraId="6A858AB6"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464C78D0"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21477592"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828" w:type="dxa"/>
            <w:tcBorders>
              <w:top w:val="nil"/>
              <w:left w:val="single" w:sz="4" w:space="0" w:color="auto"/>
              <w:bottom w:val="nil"/>
              <w:right w:val="single" w:sz="4" w:space="0" w:color="auto"/>
            </w:tcBorders>
            <w:shd w:val="clear" w:color="auto" w:fill="auto"/>
            <w:noWrap/>
            <w:vAlign w:val="bottom"/>
            <w:hideMark/>
          </w:tcPr>
          <w:p w14:paraId="4D761690"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   </w:t>
            </w:r>
          </w:p>
        </w:tc>
      </w:tr>
      <w:tr w:rsidR="00C92CD8" w14:paraId="0FAFC2C8"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7EC3AFFB"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tcBorders>
              <w:top w:val="nil"/>
              <w:left w:val="single" w:sz="4" w:space="0" w:color="auto"/>
              <w:bottom w:val="nil"/>
              <w:right w:val="single" w:sz="4" w:space="0" w:color="auto"/>
            </w:tcBorders>
            <w:shd w:val="clear" w:color="auto" w:fill="auto"/>
            <w:noWrap/>
            <w:vAlign w:val="bottom"/>
            <w:hideMark/>
          </w:tcPr>
          <w:p w14:paraId="34432A05"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2CB7C290" w14:textId="77777777" w:rsidTr="00B97332">
        <w:trPr>
          <w:trHeight w:val="300"/>
        </w:trPr>
        <w:tc>
          <w:tcPr>
            <w:tcW w:w="5103" w:type="dxa"/>
            <w:tcBorders>
              <w:top w:val="single" w:sz="4" w:space="0" w:color="auto"/>
              <w:left w:val="single" w:sz="4" w:space="0" w:color="auto"/>
              <w:bottom w:val="single" w:sz="4" w:space="0" w:color="auto"/>
              <w:right w:val="nil"/>
            </w:tcBorders>
            <w:shd w:val="clear" w:color="auto" w:fill="auto"/>
            <w:noWrap/>
            <w:vAlign w:val="center"/>
            <w:hideMark/>
          </w:tcPr>
          <w:p w14:paraId="64D038A3"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9B815" w14:textId="38D9E628"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7.50</w:t>
            </w:r>
            <w:r w:rsidR="00831688">
              <w:rPr>
                <w:rFonts w:eastAsia="Times New Roman" w:cs="Arial"/>
                <w:b/>
                <w:bCs/>
                <w:color w:val="000000"/>
              </w:rPr>
              <w:t>4</w:t>
            </w:r>
            <w:r w:rsidRPr="00CE2155">
              <w:rPr>
                <w:rFonts w:eastAsia="Times New Roman" w:cs="Arial"/>
                <w:b/>
                <w:bCs/>
                <w:color w:val="000000"/>
              </w:rPr>
              <w:t xml:space="preserve"> </w:t>
            </w:r>
          </w:p>
        </w:tc>
      </w:tr>
    </w:tbl>
    <w:p w14:paraId="20AFEC5A" w14:textId="77777777" w:rsidR="00146FD5" w:rsidRPr="00CE2155" w:rsidRDefault="004A7A82" w:rsidP="00146FD5">
      <w:pPr>
        <w:rPr>
          <w:rFonts w:cs="Arial"/>
        </w:rPr>
      </w:pPr>
      <w:r w:rsidRPr="00CE2155">
        <w:rPr>
          <w:rFonts w:cs="Arial"/>
        </w:rPr>
        <w:br w:type="page"/>
      </w:r>
    </w:p>
    <w:tbl>
      <w:tblPr>
        <w:tblW w:w="8931" w:type="dxa"/>
        <w:tblLook w:val="04A0" w:firstRow="1" w:lastRow="0" w:firstColumn="1" w:lastColumn="0" w:noHBand="0" w:noVBand="1"/>
      </w:tblPr>
      <w:tblGrid>
        <w:gridCol w:w="5103"/>
        <w:gridCol w:w="3828"/>
      </w:tblGrid>
      <w:tr w:rsidR="00C92CD8" w14:paraId="4BD1C7B7" w14:textId="77777777" w:rsidTr="00B97332">
        <w:trPr>
          <w:trHeight w:val="300"/>
        </w:trPr>
        <w:tc>
          <w:tcPr>
            <w:tcW w:w="8931" w:type="dxa"/>
            <w:gridSpan w:val="2"/>
            <w:tcBorders>
              <w:top w:val="nil"/>
              <w:left w:val="nil"/>
              <w:bottom w:val="nil"/>
              <w:right w:val="nil"/>
            </w:tcBorders>
            <w:shd w:val="clear" w:color="auto" w:fill="auto"/>
            <w:noWrap/>
            <w:vAlign w:val="bottom"/>
            <w:hideMark/>
          </w:tcPr>
          <w:p w14:paraId="180AEA9A" w14:textId="77777777" w:rsidR="00146FD5" w:rsidRDefault="004A7A82" w:rsidP="00146FD5">
            <w:pPr>
              <w:pStyle w:val="ListParagraph"/>
              <w:numPr>
                <w:ilvl w:val="1"/>
                <w:numId w:val="58"/>
              </w:numPr>
              <w:rPr>
                <w:rFonts w:eastAsia="Times New Roman" w:cs="Arial"/>
                <w:b/>
                <w:bCs/>
                <w:color w:val="000000"/>
                <w:u w:val="single"/>
              </w:rPr>
            </w:pPr>
            <w:r w:rsidRPr="005F57EB">
              <w:rPr>
                <w:rFonts w:eastAsia="Times New Roman" w:cs="Arial"/>
                <w:b/>
                <w:bCs/>
                <w:color w:val="000000"/>
                <w:u w:val="single"/>
              </w:rPr>
              <w:lastRenderedPageBreak/>
              <w:t>Director of Strategic and Integrated Commissioning</w:t>
            </w:r>
          </w:p>
          <w:p w14:paraId="6458D268" w14:textId="77777777" w:rsidR="000A5B26" w:rsidRPr="005F57EB" w:rsidRDefault="000A5B26" w:rsidP="000A5B26">
            <w:pPr>
              <w:pStyle w:val="ListParagraph"/>
              <w:ind w:left="400"/>
              <w:rPr>
                <w:rFonts w:eastAsia="Times New Roman" w:cs="Arial"/>
                <w:b/>
                <w:bCs/>
                <w:color w:val="000000"/>
                <w:u w:val="single"/>
              </w:rPr>
            </w:pPr>
          </w:p>
          <w:p w14:paraId="75D6C85E" w14:textId="77777777" w:rsidR="00146FD5" w:rsidRPr="005F57EB" w:rsidRDefault="00146FD5" w:rsidP="00B97332">
            <w:pPr>
              <w:pStyle w:val="ListParagraph"/>
              <w:ind w:left="400"/>
              <w:rPr>
                <w:rFonts w:eastAsia="Times New Roman" w:cs="Arial"/>
                <w:b/>
                <w:bCs/>
                <w:color w:val="000000"/>
                <w:u w:val="single"/>
              </w:rPr>
            </w:pPr>
          </w:p>
        </w:tc>
      </w:tr>
      <w:tr w:rsidR="00C92CD8" w14:paraId="666D6CB4" w14:textId="77777777" w:rsidTr="00B97332">
        <w:trPr>
          <w:trHeight w:val="600"/>
        </w:trPr>
        <w:tc>
          <w:tcPr>
            <w:tcW w:w="5103" w:type="dxa"/>
            <w:tcBorders>
              <w:top w:val="single" w:sz="4" w:space="0" w:color="auto"/>
              <w:left w:val="single" w:sz="4" w:space="0" w:color="auto"/>
              <w:bottom w:val="single" w:sz="4" w:space="0" w:color="auto"/>
              <w:right w:val="nil"/>
            </w:tcBorders>
            <w:shd w:val="clear" w:color="auto" w:fill="auto"/>
            <w:noWrap/>
            <w:vAlign w:val="bottom"/>
            <w:hideMark/>
          </w:tcPr>
          <w:p w14:paraId="49E7A433"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327DF"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33DB9258" w14:textId="77777777" w:rsidTr="00B97332">
        <w:trPr>
          <w:trHeight w:val="300"/>
        </w:trPr>
        <w:tc>
          <w:tcPr>
            <w:tcW w:w="5103" w:type="dxa"/>
            <w:tcBorders>
              <w:top w:val="nil"/>
              <w:left w:val="single" w:sz="4" w:space="0" w:color="auto"/>
              <w:bottom w:val="nil"/>
              <w:right w:val="nil"/>
            </w:tcBorders>
            <w:shd w:val="clear" w:color="auto" w:fill="auto"/>
            <w:noWrap/>
            <w:vAlign w:val="bottom"/>
            <w:hideMark/>
          </w:tcPr>
          <w:p w14:paraId="0EF0154D"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tcBorders>
              <w:top w:val="nil"/>
              <w:left w:val="single" w:sz="4" w:space="0" w:color="auto"/>
              <w:bottom w:val="nil"/>
              <w:right w:val="single" w:sz="4" w:space="0" w:color="auto"/>
            </w:tcBorders>
            <w:shd w:val="clear" w:color="auto" w:fill="auto"/>
            <w:noWrap/>
            <w:vAlign w:val="center"/>
            <w:hideMark/>
          </w:tcPr>
          <w:p w14:paraId="2B6DF1A2"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3A3E8E0C"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098A002E"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828" w:type="dxa"/>
            <w:tcBorders>
              <w:top w:val="nil"/>
              <w:left w:val="single" w:sz="4" w:space="0" w:color="auto"/>
              <w:bottom w:val="nil"/>
              <w:right w:val="single" w:sz="4" w:space="0" w:color="auto"/>
            </w:tcBorders>
            <w:shd w:val="clear" w:color="auto" w:fill="auto"/>
            <w:noWrap/>
            <w:vAlign w:val="bottom"/>
            <w:hideMark/>
          </w:tcPr>
          <w:p w14:paraId="0E359FC2"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05C5D628"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0CDC4186"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828" w:type="dxa"/>
            <w:tcBorders>
              <w:top w:val="nil"/>
              <w:left w:val="single" w:sz="4" w:space="0" w:color="auto"/>
              <w:bottom w:val="nil"/>
              <w:right w:val="single" w:sz="4" w:space="0" w:color="auto"/>
            </w:tcBorders>
            <w:shd w:val="clear" w:color="auto" w:fill="auto"/>
            <w:noWrap/>
            <w:vAlign w:val="bottom"/>
            <w:hideMark/>
          </w:tcPr>
          <w:p w14:paraId="78CA5904"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5.418 </w:t>
            </w:r>
          </w:p>
        </w:tc>
      </w:tr>
      <w:tr w:rsidR="00C92CD8" w14:paraId="737BB293"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11B57EFF"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828" w:type="dxa"/>
            <w:tcBorders>
              <w:top w:val="nil"/>
              <w:left w:val="single" w:sz="4" w:space="0" w:color="auto"/>
              <w:bottom w:val="nil"/>
              <w:right w:val="single" w:sz="4" w:space="0" w:color="auto"/>
            </w:tcBorders>
            <w:shd w:val="clear" w:color="auto" w:fill="auto"/>
            <w:noWrap/>
            <w:vAlign w:val="bottom"/>
            <w:hideMark/>
          </w:tcPr>
          <w:p w14:paraId="7AD5B48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221FADFC"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6B7EA444"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828" w:type="dxa"/>
            <w:tcBorders>
              <w:top w:val="nil"/>
              <w:left w:val="single" w:sz="4" w:space="0" w:color="auto"/>
              <w:bottom w:val="nil"/>
              <w:right w:val="single" w:sz="4" w:space="0" w:color="auto"/>
            </w:tcBorders>
            <w:shd w:val="clear" w:color="auto" w:fill="auto"/>
            <w:noWrap/>
            <w:vAlign w:val="bottom"/>
            <w:hideMark/>
          </w:tcPr>
          <w:p w14:paraId="7470B013"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0.008 </w:t>
            </w:r>
          </w:p>
        </w:tc>
      </w:tr>
      <w:tr w:rsidR="00C92CD8" w14:paraId="1F87419E"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3462515F"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828" w:type="dxa"/>
            <w:tcBorders>
              <w:top w:val="nil"/>
              <w:left w:val="single" w:sz="4" w:space="0" w:color="auto"/>
              <w:bottom w:val="nil"/>
              <w:right w:val="single" w:sz="4" w:space="0" w:color="auto"/>
            </w:tcBorders>
            <w:shd w:val="clear" w:color="auto" w:fill="auto"/>
            <w:noWrap/>
            <w:vAlign w:val="bottom"/>
            <w:hideMark/>
          </w:tcPr>
          <w:p w14:paraId="3AD88586"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1.379 </w:t>
            </w:r>
          </w:p>
        </w:tc>
      </w:tr>
      <w:tr w:rsidR="00C92CD8" w14:paraId="106926E1"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22ED1F5F"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828" w:type="dxa"/>
            <w:tcBorders>
              <w:top w:val="nil"/>
              <w:left w:val="single" w:sz="4" w:space="0" w:color="auto"/>
              <w:bottom w:val="nil"/>
              <w:right w:val="single" w:sz="4" w:space="0" w:color="auto"/>
            </w:tcBorders>
            <w:shd w:val="clear" w:color="auto" w:fill="auto"/>
            <w:noWrap/>
            <w:vAlign w:val="bottom"/>
            <w:hideMark/>
          </w:tcPr>
          <w:p w14:paraId="7DD9323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0.323 </w:t>
            </w:r>
          </w:p>
        </w:tc>
      </w:tr>
      <w:tr w:rsidR="00C92CD8" w14:paraId="16025090"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2D053B9D"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828" w:type="dxa"/>
            <w:tcBorders>
              <w:top w:val="nil"/>
              <w:left w:val="single" w:sz="4" w:space="0" w:color="auto"/>
              <w:bottom w:val="nil"/>
              <w:right w:val="single" w:sz="4" w:space="0" w:color="auto"/>
            </w:tcBorders>
            <w:shd w:val="clear" w:color="auto" w:fill="auto"/>
            <w:noWrap/>
            <w:vAlign w:val="bottom"/>
            <w:hideMark/>
          </w:tcPr>
          <w:p w14:paraId="3CCCC084"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4860AE01"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71D95829"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828" w:type="dxa"/>
            <w:tcBorders>
              <w:top w:val="nil"/>
              <w:left w:val="single" w:sz="4" w:space="0" w:color="auto"/>
              <w:bottom w:val="nil"/>
              <w:right w:val="single" w:sz="4" w:space="0" w:color="auto"/>
            </w:tcBorders>
            <w:shd w:val="clear" w:color="auto" w:fill="auto"/>
            <w:noWrap/>
            <w:vAlign w:val="bottom"/>
            <w:hideMark/>
          </w:tcPr>
          <w:p w14:paraId="3A181169"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42A231BF"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4000336E"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828" w:type="dxa"/>
            <w:tcBorders>
              <w:top w:val="nil"/>
              <w:left w:val="single" w:sz="4" w:space="0" w:color="auto"/>
              <w:bottom w:val="nil"/>
              <w:right w:val="single" w:sz="4" w:space="0" w:color="auto"/>
            </w:tcBorders>
            <w:shd w:val="clear" w:color="auto" w:fill="auto"/>
            <w:noWrap/>
            <w:vAlign w:val="bottom"/>
            <w:hideMark/>
          </w:tcPr>
          <w:p w14:paraId="62C1DF59"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59ECA79B"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635B531D"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828" w:type="dxa"/>
            <w:tcBorders>
              <w:top w:val="nil"/>
              <w:left w:val="single" w:sz="4" w:space="0" w:color="auto"/>
              <w:bottom w:val="nil"/>
              <w:right w:val="single" w:sz="4" w:space="0" w:color="auto"/>
            </w:tcBorders>
            <w:shd w:val="clear" w:color="auto" w:fill="auto"/>
            <w:noWrap/>
            <w:vAlign w:val="bottom"/>
            <w:hideMark/>
          </w:tcPr>
          <w:p w14:paraId="41905A80"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7.128 </w:t>
            </w:r>
          </w:p>
        </w:tc>
      </w:tr>
      <w:tr w:rsidR="00C92CD8" w14:paraId="7A8F849B"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66E6CD9B"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tcBorders>
              <w:top w:val="nil"/>
              <w:left w:val="single" w:sz="4" w:space="0" w:color="auto"/>
              <w:bottom w:val="nil"/>
              <w:right w:val="single" w:sz="4" w:space="0" w:color="auto"/>
            </w:tcBorders>
            <w:shd w:val="clear" w:color="auto" w:fill="auto"/>
            <w:noWrap/>
            <w:vAlign w:val="bottom"/>
            <w:hideMark/>
          </w:tcPr>
          <w:p w14:paraId="3F6AAD84"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3C4A2413"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6EDF1E79"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828" w:type="dxa"/>
            <w:tcBorders>
              <w:top w:val="nil"/>
              <w:left w:val="single" w:sz="4" w:space="0" w:color="auto"/>
              <w:bottom w:val="nil"/>
              <w:right w:val="single" w:sz="4" w:space="0" w:color="auto"/>
            </w:tcBorders>
            <w:shd w:val="clear" w:color="auto" w:fill="auto"/>
            <w:noWrap/>
            <w:vAlign w:val="bottom"/>
            <w:hideMark/>
          </w:tcPr>
          <w:p w14:paraId="00A10504"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4E553E17"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0356BA89"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828" w:type="dxa"/>
            <w:tcBorders>
              <w:top w:val="nil"/>
              <w:left w:val="single" w:sz="4" w:space="0" w:color="auto"/>
              <w:bottom w:val="nil"/>
              <w:right w:val="single" w:sz="4" w:space="0" w:color="auto"/>
            </w:tcBorders>
            <w:shd w:val="clear" w:color="auto" w:fill="auto"/>
            <w:noWrap/>
            <w:vAlign w:val="bottom"/>
            <w:hideMark/>
          </w:tcPr>
          <w:p w14:paraId="313EB93E"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0.280 </w:t>
            </w:r>
          </w:p>
        </w:tc>
      </w:tr>
      <w:tr w:rsidR="00C92CD8" w14:paraId="5ECD989C"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373BC588"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828" w:type="dxa"/>
            <w:tcBorders>
              <w:top w:val="nil"/>
              <w:left w:val="single" w:sz="4" w:space="0" w:color="auto"/>
              <w:bottom w:val="nil"/>
              <w:right w:val="single" w:sz="4" w:space="0" w:color="auto"/>
            </w:tcBorders>
            <w:shd w:val="clear" w:color="auto" w:fill="auto"/>
            <w:noWrap/>
            <w:vAlign w:val="bottom"/>
            <w:hideMark/>
          </w:tcPr>
          <w:p w14:paraId="0B15CFB2"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0.305 </w:t>
            </w:r>
          </w:p>
        </w:tc>
      </w:tr>
      <w:tr w:rsidR="00C92CD8" w14:paraId="32941A1B"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10647450"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828" w:type="dxa"/>
            <w:tcBorders>
              <w:top w:val="nil"/>
              <w:left w:val="single" w:sz="4" w:space="0" w:color="auto"/>
              <w:bottom w:val="nil"/>
              <w:right w:val="single" w:sz="4" w:space="0" w:color="auto"/>
            </w:tcBorders>
            <w:shd w:val="clear" w:color="auto" w:fill="auto"/>
            <w:noWrap/>
            <w:vAlign w:val="bottom"/>
            <w:hideMark/>
          </w:tcPr>
          <w:p w14:paraId="78CEDA2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1E58DBEE"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76BA5519"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828" w:type="dxa"/>
            <w:tcBorders>
              <w:top w:val="nil"/>
              <w:left w:val="single" w:sz="4" w:space="0" w:color="auto"/>
              <w:bottom w:val="nil"/>
              <w:right w:val="single" w:sz="4" w:space="0" w:color="auto"/>
            </w:tcBorders>
            <w:shd w:val="clear" w:color="auto" w:fill="auto"/>
            <w:noWrap/>
            <w:vAlign w:val="bottom"/>
            <w:hideMark/>
          </w:tcPr>
          <w:p w14:paraId="655F915F"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0.062 </w:t>
            </w:r>
          </w:p>
        </w:tc>
      </w:tr>
      <w:tr w:rsidR="00C92CD8" w14:paraId="3B7C1EDE"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51F9FAF3"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828" w:type="dxa"/>
            <w:tcBorders>
              <w:top w:val="nil"/>
              <w:left w:val="single" w:sz="4" w:space="0" w:color="auto"/>
              <w:bottom w:val="nil"/>
              <w:right w:val="single" w:sz="4" w:space="0" w:color="auto"/>
            </w:tcBorders>
            <w:shd w:val="clear" w:color="auto" w:fill="auto"/>
            <w:noWrap/>
            <w:vAlign w:val="bottom"/>
            <w:hideMark/>
          </w:tcPr>
          <w:p w14:paraId="7E1D0CA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1.284 </w:t>
            </w:r>
          </w:p>
        </w:tc>
      </w:tr>
      <w:tr w:rsidR="00C92CD8" w14:paraId="298F6EB3"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23B8F235"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828" w:type="dxa"/>
            <w:tcBorders>
              <w:top w:val="nil"/>
              <w:left w:val="single" w:sz="4" w:space="0" w:color="auto"/>
              <w:bottom w:val="nil"/>
              <w:right w:val="single" w:sz="4" w:space="0" w:color="auto"/>
            </w:tcBorders>
            <w:shd w:val="clear" w:color="auto" w:fill="auto"/>
            <w:noWrap/>
            <w:vAlign w:val="bottom"/>
            <w:hideMark/>
          </w:tcPr>
          <w:p w14:paraId="0930A0A4" w14:textId="5A348D2E"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1.93</w:t>
            </w:r>
            <w:r w:rsidR="00831688">
              <w:rPr>
                <w:rFonts w:eastAsia="Times New Roman" w:cs="Arial"/>
                <w:b/>
                <w:bCs/>
                <w:color w:val="000000"/>
              </w:rPr>
              <w:t>2</w:t>
            </w:r>
            <w:r w:rsidRPr="00CE2155">
              <w:rPr>
                <w:rFonts w:eastAsia="Times New Roman" w:cs="Arial"/>
                <w:b/>
                <w:bCs/>
                <w:color w:val="000000"/>
              </w:rPr>
              <w:t xml:space="preserve"> </w:t>
            </w:r>
          </w:p>
        </w:tc>
      </w:tr>
      <w:tr w:rsidR="00C92CD8" w14:paraId="176F23A2" w14:textId="77777777" w:rsidTr="00B97332">
        <w:trPr>
          <w:trHeight w:val="300"/>
        </w:trPr>
        <w:tc>
          <w:tcPr>
            <w:tcW w:w="5103" w:type="dxa"/>
            <w:tcBorders>
              <w:top w:val="nil"/>
              <w:left w:val="single" w:sz="4" w:space="0" w:color="auto"/>
              <w:bottom w:val="nil"/>
              <w:right w:val="nil"/>
            </w:tcBorders>
            <w:shd w:val="clear" w:color="auto" w:fill="auto"/>
            <w:noWrap/>
            <w:vAlign w:val="center"/>
            <w:hideMark/>
          </w:tcPr>
          <w:p w14:paraId="7E968890"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tcBorders>
              <w:top w:val="nil"/>
              <w:left w:val="single" w:sz="4" w:space="0" w:color="auto"/>
              <w:bottom w:val="nil"/>
              <w:right w:val="single" w:sz="4" w:space="0" w:color="auto"/>
            </w:tcBorders>
            <w:shd w:val="clear" w:color="auto" w:fill="auto"/>
            <w:noWrap/>
            <w:vAlign w:val="bottom"/>
            <w:hideMark/>
          </w:tcPr>
          <w:p w14:paraId="7001FDB6"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6CACC275" w14:textId="77777777" w:rsidTr="00B97332">
        <w:trPr>
          <w:trHeight w:val="300"/>
        </w:trPr>
        <w:tc>
          <w:tcPr>
            <w:tcW w:w="5103" w:type="dxa"/>
            <w:tcBorders>
              <w:top w:val="single" w:sz="4" w:space="0" w:color="auto"/>
              <w:left w:val="single" w:sz="4" w:space="0" w:color="auto"/>
              <w:bottom w:val="single" w:sz="4" w:space="0" w:color="auto"/>
              <w:right w:val="nil"/>
            </w:tcBorders>
            <w:shd w:val="clear" w:color="auto" w:fill="auto"/>
            <w:noWrap/>
            <w:vAlign w:val="center"/>
            <w:hideMark/>
          </w:tcPr>
          <w:p w14:paraId="1DB6C2B7"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89730" w14:textId="34E5CAFA"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5.19</w:t>
            </w:r>
            <w:r w:rsidR="00831688">
              <w:rPr>
                <w:rFonts w:eastAsia="Times New Roman" w:cs="Arial"/>
                <w:b/>
                <w:bCs/>
                <w:color w:val="000000"/>
              </w:rPr>
              <w:t>6</w:t>
            </w:r>
            <w:r w:rsidRPr="00CE2155">
              <w:rPr>
                <w:rFonts w:eastAsia="Times New Roman" w:cs="Arial"/>
                <w:b/>
                <w:bCs/>
                <w:color w:val="000000"/>
              </w:rPr>
              <w:t xml:space="preserve"> </w:t>
            </w:r>
          </w:p>
        </w:tc>
      </w:tr>
    </w:tbl>
    <w:p w14:paraId="33068441" w14:textId="77777777" w:rsidR="000A5B26" w:rsidRDefault="000A5B26" w:rsidP="00146FD5">
      <w:pPr>
        <w:rPr>
          <w:rFonts w:cs="Arial"/>
        </w:rPr>
      </w:pPr>
    </w:p>
    <w:p w14:paraId="292C08DB" w14:textId="77777777" w:rsidR="000A5B26" w:rsidRDefault="000A5B26" w:rsidP="00146FD5">
      <w:pPr>
        <w:rPr>
          <w:rFonts w:cs="Arial"/>
        </w:rPr>
      </w:pPr>
    </w:p>
    <w:p w14:paraId="0DEEB47B" w14:textId="77777777" w:rsidR="000A5B26" w:rsidRDefault="000A5B26" w:rsidP="00146FD5">
      <w:pPr>
        <w:rPr>
          <w:rFonts w:cs="Arial"/>
        </w:rPr>
      </w:pPr>
    </w:p>
    <w:p w14:paraId="0EFC5F32" w14:textId="77777777" w:rsidR="000A5B26" w:rsidRDefault="000A5B26" w:rsidP="00146FD5">
      <w:pPr>
        <w:rPr>
          <w:rFonts w:cs="Arial"/>
        </w:rPr>
      </w:pPr>
    </w:p>
    <w:p w14:paraId="67B76D00" w14:textId="77777777" w:rsidR="000A5B26" w:rsidRDefault="000A5B26" w:rsidP="00146FD5">
      <w:pPr>
        <w:rPr>
          <w:rFonts w:cs="Arial"/>
        </w:rPr>
      </w:pPr>
    </w:p>
    <w:p w14:paraId="0523E3EE" w14:textId="77777777" w:rsidR="000A5B26" w:rsidRDefault="000A5B26" w:rsidP="00146FD5">
      <w:pPr>
        <w:rPr>
          <w:rFonts w:cs="Arial"/>
        </w:rPr>
      </w:pPr>
    </w:p>
    <w:p w14:paraId="0EAB1FFA" w14:textId="77777777" w:rsidR="000A5B26" w:rsidRDefault="000A5B26" w:rsidP="00146FD5">
      <w:pPr>
        <w:rPr>
          <w:rFonts w:cs="Arial"/>
        </w:rPr>
      </w:pPr>
    </w:p>
    <w:p w14:paraId="6A8C659D" w14:textId="77777777" w:rsidR="000A5B26" w:rsidRDefault="000A5B26" w:rsidP="00146FD5">
      <w:pPr>
        <w:rPr>
          <w:rFonts w:cs="Arial"/>
        </w:rPr>
      </w:pPr>
    </w:p>
    <w:p w14:paraId="0BFDBBAC" w14:textId="77777777" w:rsidR="000A5B26" w:rsidRDefault="000A5B26" w:rsidP="00146FD5">
      <w:pPr>
        <w:rPr>
          <w:rFonts w:cs="Arial"/>
        </w:rPr>
      </w:pPr>
    </w:p>
    <w:p w14:paraId="732E7718" w14:textId="77777777" w:rsidR="000A5B26" w:rsidRDefault="000A5B26" w:rsidP="00146FD5">
      <w:pPr>
        <w:rPr>
          <w:rFonts w:cs="Arial"/>
        </w:rPr>
      </w:pPr>
    </w:p>
    <w:p w14:paraId="69FBDA7C" w14:textId="77777777" w:rsidR="000A5B26" w:rsidRDefault="000A5B26" w:rsidP="00146FD5">
      <w:pPr>
        <w:rPr>
          <w:rFonts w:cs="Arial"/>
        </w:rPr>
      </w:pPr>
    </w:p>
    <w:p w14:paraId="722156A3" w14:textId="77777777" w:rsidR="000A5B26" w:rsidRDefault="000A5B26" w:rsidP="00146FD5">
      <w:pPr>
        <w:rPr>
          <w:rFonts w:cs="Arial"/>
        </w:rPr>
      </w:pPr>
    </w:p>
    <w:p w14:paraId="64386B89" w14:textId="77777777" w:rsidR="000A5B26" w:rsidRDefault="000A5B26" w:rsidP="00146FD5">
      <w:pPr>
        <w:rPr>
          <w:rFonts w:cs="Arial"/>
        </w:rPr>
      </w:pPr>
    </w:p>
    <w:p w14:paraId="1A9BA851" w14:textId="77777777" w:rsidR="000A5B26" w:rsidRDefault="000A5B26" w:rsidP="00146FD5">
      <w:pPr>
        <w:rPr>
          <w:rFonts w:cs="Arial"/>
        </w:rPr>
      </w:pPr>
    </w:p>
    <w:p w14:paraId="4AA8308C" w14:textId="77777777" w:rsidR="000A5B26" w:rsidRDefault="000A5B26" w:rsidP="00146FD5">
      <w:pPr>
        <w:rPr>
          <w:rFonts w:cs="Arial"/>
        </w:rPr>
      </w:pPr>
    </w:p>
    <w:p w14:paraId="143F4606" w14:textId="77777777" w:rsidR="000A5B26" w:rsidRDefault="000A5B26" w:rsidP="00146FD5">
      <w:pPr>
        <w:rPr>
          <w:rFonts w:cs="Arial"/>
        </w:rPr>
      </w:pPr>
    </w:p>
    <w:p w14:paraId="4A762636" w14:textId="77777777" w:rsidR="000A5B26" w:rsidRDefault="000A5B26" w:rsidP="00146FD5">
      <w:pPr>
        <w:rPr>
          <w:rFonts w:cs="Arial"/>
        </w:rPr>
      </w:pPr>
    </w:p>
    <w:p w14:paraId="18D3175C" w14:textId="77777777" w:rsidR="000A5B26" w:rsidRDefault="000A5B26" w:rsidP="00146FD5">
      <w:pPr>
        <w:rPr>
          <w:rFonts w:cs="Arial"/>
        </w:rPr>
      </w:pPr>
    </w:p>
    <w:p w14:paraId="61D17A02" w14:textId="77777777" w:rsidR="000A5B26" w:rsidRDefault="000A5B26" w:rsidP="00146FD5">
      <w:pPr>
        <w:rPr>
          <w:rFonts w:cs="Arial"/>
        </w:rPr>
      </w:pPr>
    </w:p>
    <w:p w14:paraId="5FFDC2FB" w14:textId="77777777" w:rsidR="000A5B26" w:rsidRDefault="000A5B26" w:rsidP="00146FD5">
      <w:pPr>
        <w:rPr>
          <w:rFonts w:cs="Arial"/>
        </w:rPr>
      </w:pPr>
    </w:p>
    <w:p w14:paraId="7016B2BE" w14:textId="77777777" w:rsidR="000A5B26" w:rsidRDefault="000A5B26" w:rsidP="00146FD5">
      <w:pPr>
        <w:rPr>
          <w:rFonts w:cs="Arial"/>
        </w:rPr>
      </w:pPr>
    </w:p>
    <w:p w14:paraId="320D7D2E" w14:textId="77777777" w:rsidR="000A5B26" w:rsidRDefault="000A5B26" w:rsidP="00146FD5">
      <w:pPr>
        <w:rPr>
          <w:rFonts w:cs="Arial"/>
        </w:rPr>
      </w:pPr>
    </w:p>
    <w:p w14:paraId="642B805A" w14:textId="77777777" w:rsidR="000A5B26" w:rsidRDefault="000A5B26" w:rsidP="00146FD5">
      <w:pPr>
        <w:rPr>
          <w:rFonts w:cs="Arial"/>
        </w:rPr>
      </w:pPr>
    </w:p>
    <w:p w14:paraId="0D7E689D" w14:textId="77777777" w:rsidR="000A5B26" w:rsidRDefault="004A7A82" w:rsidP="00146FD5">
      <w:pPr>
        <w:rPr>
          <w:rFonts w:cs="Arial"/>
          <w:b/>
          <w:bCs/>
          <w:u w:val="single"/>
        </w:rPr>
      </w:pPr>
      <w:r w:rsidRPr="000A5B26">
        <w:rPr>
          <w:rFonts w:cs="Arial"/>
          <w:b/>
          <w:bCs/>
          <w:u w:val="single"/>
        </w:rPr>
        <w:lastRenderedPageBreak/>
        <w:t>2. Education and Children's Services Directorate</w:t>
      </w:r>
    </w:p>
    <w:tbl>
      <w:tblPr>
        <w:tblW w:w="8931" w:type="dxa"/>
        <w:tblLook w:val="04A0" w:firstRow="1" w:lastRow="0" w:firstColumn="1" w:lastColumn="0" w:noHBand="0" w:noVBand="1"/>
      </w:tblPr>
      <w:tblGrid>
        <w:gridCol w:w="5103"/>
        <w:gridCol w:w="3828"/>
      </w:tblGrid>
      <w:tr w:rsidR="00C92CD8" w14:paraId="4EDA5B75" w14:textId="77777777" w:rsidTr="000A5B26">
        <w:trPr>
          <w:trHeight w:val="300"/>
        </w:trPr>
        <w:tc>
          <w:tcPr>
            <w:tcW w:w="5103" w:type="dxa"/>
            <w:tcBorders>
              <w:top w:val="nil"/>
              <w:left w:val="nil"/>
              <w:bottom w:val="nil"/>
              <w:right w:val="nil"/>
            </w:tcBorders>
            <w:shd w:val="clear" w:color="auto" w:fill="auto"/>
            <w:noWrap/>
            <w:vAlign w:val="bottom"/>
            <w:hideMark/>
          </w:tcPr>
          <w:p w14:paraId="017C7212" w14:textId="77777777" w:rsidR="00146FD5" w:rsidRPr="00CE2155" w:rsidRDefault="00146FD5" w:rsidP="00B97332">
            <w:pPr>
              <w:rPr>
                <w:rFonts w:eastAsia="Times New Roman" w:cs="Arial"/>
                <w:b/>
                <w:bCs/>
                <w:color w:val="000000"/>
                <w:u w:val="single"/>
              </w:rPr>
            </w:pPr>
          </w:p>
        </w:tc>
        <w:tc>
          <w:tcPr>
            <w:tcW w:w="3828" w:type="dxa"/>
            <w:tcBorders>
              <w:top w:val="nil"/>
              <w:left w:val="nil"/>
              <w:bottom w:val="nil"/>
              <w:right w:val="nil"/>
            </w:tcBorders>
            <w:shd w:val="clear" w:color="auto" w:fill="auto"/>
            <w:noWrap/>
            <w:vAlign w:val="bottom"/>
            <w:hideMark/>
          </w:tcPr>
          <w:p w14:paraId="1E30BD49" w14:textId="77777777" w:rsidR="00146FD5" w:rsidRPr="00CE2155" w:rsidRDefault="00146FD5" w:rsidP="00B97332">
            <w:pPr>
              <w:rPr>
                <w:rFonts w:eastAsia="Times New Roman" w:cs="Arial"/>
                <w:b/>
                <w:bCs/>
                <w:color w:val="000000"/>
                <w:u w:val="single"/>
              </w:rPr>
            </w:pPr>
          </w:p>
        </w:tc>
      </w:tr>
      <w:tr w:rsidR="00C92CD8" w14:paraId="728759DD" w14:textId="77777777" w:rsidTr="000A5B26">
        <w:trPr>
          <w:trHeight w:val="600"/>
        </w:trPr>
        <w:tc>
          <w:tcPr>
            <w:tcW w:w="5103" w:type="dxa"/>
            <w:tcBorders>
              <w:top w:val="single" w:sz="4" w:space="0" w:color="auto"/>
              <w:left w:val="single" w:sz="4" w:space="0" w:color="auto"/>
              <w:bottom w:val="single" w:sz="4" w:space="0" w:color="auto"/>
              <w:right w:val="nil"/>
            </w:tcBorders>
            <w:shd w:val="clear" w:color="auto" w:fill="auto"/>
            <w:noWrap/>
            <w:vAlign w:val="bottom"/>
            <w:hideMark/>
          </w:tcPr>
          <w:p w14:paraId="29F376DA"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3552B"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17BE6E8C" w14:textId="77777777" w:rsidTr="000A5B26">
        <w:trPr>
          <w:trHeight w:val="300"/>
        </w:trPr>
        <w:tc>
          <w:tcPr>
            <w:tcW w:w="5103" w:type="dxa"/>
            <w:tcBorders>
              <w:top w:val="nil"/>
              <w:left w:val="single" w:sz="4" w:space="0" w:color="auto"/>
              <w:bottom w:val="nil"/>
              <w:right w:val="nil"/>
            </w:tcBorders>
            <w:shd w:val="clear" w:color="auto" w:fill="auto"/>
            <w:noWrap/>
            <w:vAlign w:val="bottom"/>
            <w:hideMark/>
          </w:tcPr>
          <w:p w14:paraId="4D8F6E3E"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tcBorders>
              <w:top w:val="nil"/>
              <w:left w:val="single" w:sz="4" w:space="0" w:color="auto"/>
              <w:bottom w:val="nil"/>
              <w:right w:val="single" w:sz="4" w:space="0" w:color="auto"/>
            </w:tcBorders>
            <w:shd w:val="clear" w:color="auto" w:fill="auto"/>
            <w:noWrap/>
            <w:vAlign w:val="center"/>
            <w:hideMark/>
          </w:tcPr>
          <w:p w14:paraId="12851D36"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7A9A37CB" w14:textId="77777777" w:rsidTr="000A5B26">
        <w:trPr>
          <w:trHeight w:val="300"/>
        </w:trPr>
        <w:tc>
          <w:tcPr>
            <w:tcW w:w="5103" w:type="dxa"/>
            <w:tcBorders>
              <w:top w:val="nil"/>
              <w:left w:val="single" w:sz="4" w:space="0" w:color="auto"/>
              <w:bottom w:val="nil"/>
              <w:right w:val="nil"/>
            </w:tcBorders>
            <w:shd w:val="clear" w:color="auto" w:fill="auto"/>
            <w:noWrap/>
            <w:vAlign w:val="center"/>
            <w:hideMark/>
          </w:tcPr>
          <w:p w14:paraId="7FA3A0BC"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828" w:type="dxa"/>
            <w:tcBorders>
              <w:top w:val="nil"/>
              <w:left w:val="single" w:sz="4" w:space="0" w:color="auto"/>
              <w:bottom w:val="nil"/>
              <w:right w:val="single" w:sz="4" w:space="0" w:color="auto"/>
            </w:tcBorders>
            <w:shd w:val="clear" w:color="auto" w:fill="auto"/>
            <w:noWrap/>
            <w:vAlign w:val="bottom"/>
            <w:hideMark/>
          </w:tcPr>
          <w:p w14:paraId="435A4F1F"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30701543" w14:textId="77777777" w:rsidTr="000A5B26">
        <w:trPr>
          <w:trHeight w:val="300"/>
        </w:trPr>
        <w:tc>
          <w:tcPr>
            <w:tcW w:w="5103" w:type="dxa"/>
            <w:tcBorders>
              <w:top w:val="nil"/>
              <w:left w:val="single" w:sz="4" w:space="0" w:color="auto"/>
              <w:bottom w:val="nil"/>
              <w:right w:val="nil"/>
            </w:tcBorders>
            <w:shd w:val="clear" w:color="auto" w:fill="auto"/>
            <w:noWrap/>
            <w:vAlign w:val="center"/>
            <w:hideMark/>
          </w:tcPr>
          <w:p w14:paraId="095B574B"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828" w:type="dxa"/>
            <w:tcBorders>
              <w:top w:val="nil"/>
              <w:left w:val="single" w:sz="4" w:space="0" w:color="auto"/>
              <w:bottom w:val="nil"/>
              <w:right w:val="single" w:sz="4" w:space="0" w:color="auto"/>
            </w:tcBorders>
            <w:shd w:val="clear" w:color="auto" w:fill="auto"/>
            <w:noWrap/>
            <w:vAlign w:val="bottom"/>
            <w:hideMark/>
          </w:tcPr>
          <w:p w14:paraId="10308522" w14:textId="09FF3E28" w:rsidR="00146FD5" w:rsidRPr="00CE2155" w:rsidRDefault="004A7A82" w:rsidP="00B97332">
            <w:pPr>
              <w:jc w:val="right"/>
              <w:rPr>
                <w:rFonts w:eastAsia="Times New Roman" w:cs="Arial"/>
                <w:color w:val="000000"/>
              </w:rPr>
            </w:pPr>
            <w:r w:rsidRPr="00CE2155">
              <w:rPr>
                <w:rFonts w:eastAsia="Times New Roman" w:cs="Arial"/>
                <w:color w:val="000000"/>
              </w:rPr>
              <w:t xml:space="preserve">                                  142.76</w:t>
            </w:r>
            <w:r w:rsidR="003F7309">
              <w:rPr>
                <w:rFonts w:eastAsia="Times New Roman" w:cs="Arial"/>
                <w:color w:val="000000"/>
              </w:rPr>
              <w:t>4</w:t>
            </w:r>
            <w:r w:rsidRPr="00CE2155">
              <w:rPr>
                <w:rFonts w:eastAsia="Times New Roman" w:cs="Arial"/>
                <w:color w:val="000000"/>
              </w:rPr>
              <w:t xml:space="preserve"> </w:t>
            </w:r>
          </w:p>
        </w:tc>
      </w:tr>
      <w:tr w:rsidR="00C92CD8" w14:paraId="4483C743" w14:textId="77777777" w:rsidTr="000A5B26">
        <w:trPr>
          <w:trHeight w:val="300"/>
        </w:trPr>
        <w:tc>
          <w:tcPr>
            <w:tcW w:w="5103" w:type="dxa"/>
            <w:tcBorders>
              <w:top w:val="nil"/>
              <w:left w:val="single" w:sz="4" w:space="0" w:color="auto"/>
              <w:bottom w:val="nil"/>
              <w:right w:val="nil"/>
            </w:tcBorders>
            <w:shd w:val="clear" w:color="auto" w:fill="auto"/>
            <w:noWrap/>
            <w:vAlign w:val="center"/>
            <w:hideMark/>
          </w:tcPr>
          <w:p w14:paraId="56EC6FC0"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828" w:type="dxa"/>
            <w:tcBorders>
              <w:top w:val="nil"/>
              <w:left w:val="single" w:sz="4" w:space="0" w:color="auto"/>
              <w:bottom w:val="nil"/>
              <w:right w:val="single" w:sz="4" w:space="0" w:color="auto"/>
            </w:tcBorders>
            <w:shd w:val="clear" w:color="auto" w:fill="auto"/>
            <w:noWrap/>
            <w:vAlign w:val="bottom"/>
            <w:hideMark/>
          </w:tcPr>
          <w:p w14:paraId="4787EC5F"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0.016 </w:t>
            </w:r>
          </w:p>
        </w:tc>
      </w:tr>
      <w:tr w:rsidR="00C92CD8" w14:paraId="59264959" w14:textId="77777777" w:rsidTr="000A5B26">
        <w:trPr>
          <w:trHeight w:val="300"/>
        </w:trPr>
        <w:tc>
          <w:tcPr>
            <w:tcW w:w="5103" w:type="dxa"/>
            <w:tcBorders>
              <w:top w:val="nil"/>
              <w:left w:val="single" w:sz="4" w:space="0" w:color="auto"/>
              <w:bottom w:val="nil"/>
              <w:right w:val="nil"/>
            </w:tcBorders>
            <w:shd w:val="clear" w:color="auto" w:fill="auto"/>
            <w:noWrap/>
            <w:vAlign w:val="center"/>
            <w:hideMark/>
          </w:tcPr>
          <w:p w14:paraId="0E802B83"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828" w:type="dxa"/>
            <w:tcBorders>
              <w:top w:val="nil"/>
              <w:left w:val="single" w:sz="4" w:space="0" w:color="auto"/>
              <w:bottom w:val="nil"/>
              <w:right w:val="single" w:sz="4" w:space="0" w:color="auto"/>
            </w:tcBorders>
            <w:shd w:val="clear" w:color="auto" w:fill="auto"/>
            <w:noWrap/>
            <w:vAlign w:val="bottom"/>
            <w:hideMark/>
          </w:tcPr>
          <w:p w14:paraId="6611EFB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1.739 </w:t>
            </w:r>
          </w:p>
        </w:tc>
      </w:tr>
      <w:tr w:rsidR="00C92CD8" w14:paraId="505E9C2D" w14:textId="77777777" w:rsidTr="000A5B26">
        <w:trPr>
          <w:trHeight w:val="300"/>
        </w:trPr>
        <w:tc>
          <w:tcPr>
            <w:tcW w:w="5103" w:type="dxa"/>
            <w:tcBorders>
              <w:top w:val="nil"/>
              <w:left w:val="single" w:sz="4" w:space="0" w:color="auto"/>
              <w:bottom w:val="nil"/>
              <w:right w:val="nil"/>
            </w:tcBorders>
            <w:shd w:val="clear" w:color="auto" w:fill="auto"/>
            <w:noWrap/>
            <w:vAlign w:val="center"/>
            <w:hideMark/>
          </w:tcPr>
          <w:p w14:paraId="2CD8BD91"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828" w:type="dxa"/>
            <w:tcBorders>
              <w:top w:val="nil"/>
              <w:left w:val="single" w:sz="4" w:space="0" w:color="auto"/>
              <w:bottom w:val="nil"/>
              <w:right w:val="single" w:sz="4" w:space="0" w:color="auto"/>
            </w:tcBorders>
            <w:shd w:val="clear" w:color="auto" w:fill="auto"/>
            <w:noWrap/>
            <w:vAlign w:val="bottom"/>
            <w:hideMark/>
          </w:tcPr>
          <w:p w14:paraId="11ED1C2D"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20.194 </w:t>
            </w:r>
          </w:p>
        </w:tc>
      </w:tr>
      <w:tr w:rsidR="00C92CD8" w14:paraId="03AD4444" w14:textId="77777777" w:rsidTr="000A5B26">
        <w:trPr>
          <w:trHeight w:val="300"/>
        </w:trPr>
        <w:tc>
          <w:tcPr>
            <w:tcW w:w="5103" w:type="dxa"/>
            <w:tcBorders>
              <w:top w:val="nil"/>
              <w:left w:val="single" w:sz="4" w:space="0" w:color="auto"/>
              <w:bottom w:val="nil"/>
              <w:right w:val="nil"/>
            </w:tcBorders>
            <w:shd w:val="clear" w:color="auto" w:fill="auto"/>
            <w:noWrap/>
            <w:vAlign w:val="center"/>
            <w:hideMark/>
          </w:tcPr>
          <w:p w14:paraId="589A3C2B"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828" w:type="dxa"/>
            <w:tcBorders>
              <w:top w:val="nil"/>
              <w:left w:val="single" w:sz="4" w:space="0" w:color="auto"/>
              <w:bottom w:val="nil"/>
              <w:right w:val="single" w:sz="4" w:space="0" w:color="auto"/>
            </w:tcBorders>
            <w:shd w:val="clear" w:color="auto" w:fill="auto"/>
            <w:noWrap/>
            <w:vAlign w:val="bottom"/>
            <w:hideMark/>
          </w:tcPr>
          <w:p w14:paraId="300324F3"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114.438 </w:t>
            </w:r>
          </w:p>
        </w:tc>
      </w:tr>
      <w:tr w:rsidR="00C92CD8" w14:paraId="74225E73" w14:textId="77777777" w:rsidTr="000A5B26">
        <w:trPr>
          <w:trHeight w:val="300"/>
        </w:trPr>
        <w:tc>
          <w:tcPr>
            <w:tcW w:w="5103" w:type="dxa"/>
            <w:tcBorders>
              <w:top w:val="nil"/>
              <w:left w:val="single" w:sz="4" w:space="0" w:color="auto"/>
              <w:bottom w:val="nil"/>
              <w:right w:val="nil"/>
            </w:tcBorders>
            <w:shd w:val="clear" w:color="auto" w:fill="auto"/>
            <w:noWrap/>
            <w:vAlign w:val="center"/>
            <w:hideMark/>
          </w:tcPr>
          <w:p w14:paraId="29208AD8"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828" w:type="dxa"/>
            <w:tcBorders>
              <w:top w:val="nil"/>
              <w:left w:val="single" w:sz="4" w:space="0" w:color="auto"/>
              <w:bottom w:val="nil"/>
              <w:right w:val="single" w:sz="4" w:space="0" w:color="auto"/>
            </w:tcBorders>
            <w:shd w:val="clear" w:color="auto" w:fill="auto"/>
            <w:noWrap/>
            <w:vAlign w:val="bottom"/>
            <w:hideMark/>
          </w:tcPr>
          <w:p w14:paraId="607B456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44.443 </w:t>
            </w:r>
          </w:p>
        </w:tc>
      </w:tr>
      <w:tr w:rsidR="00C92CD8" w14:paraId="2679D9FD" w14:textId="77777777" w:rsidTr="000A5B26">
        <w:trPr>
          <w:trHeight w:val="300"/>
        </w:trPr>
        <w:tc>
          <w:tcPr>
            <w:tcW w:w="5103" w:type="dxa"/>
            <w:tcBorders>
              <w:top w:val="nil"/>
              <w:left w:val="single" w:sz="4" w:space="0" w:color="auto"/>
              <w:bottom w:val="nil"/>
              <w:right w:val="nil"/>
            </w:tcBorders>
            <w:shd w:val="clear" w:color="auto" w:fill="auto"/>
            <w:noWrap/>
            <w:vAlign w:val="center"/>
            <w:hideMark/>
          </w:tcPr>
          <w:p w14:paraId="658E6067"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828" w:type="dxa"/>
            <w:tcBorders>
              <w:top w:val="nil"/>
              <w:left w:val="single" w:sz="4" w:space="0" w:color="auto"/>
              <w:bottom w:val="nil"/>
              <w:right w:val="single" w:sz="4" w:space="0" w:color="auto"/>
            </w:tcBorders>
            <w:shd w:val="clear" w:color="auto" w:fill="auto"/>
            <w:noWrap/>
            <w:vAlign w:val="bottom"/>
            <w:hideMark/>
          </w:tcPr>
          <w:p w14:paraId="22154EB9"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62993014" w14:textId="77777777" w:rsidTr="000A5B26">
        <w:trPr>
          <w:trHeight w:val="300"/>
        </w:trPr>
        <w:tc>
          <w:tcPr>
            <w:tcW w:w="5103" w:type="dxa"/>
            <w:tcBorders>
              <w:top w:val="nil"/>
              <w:left w:val="single" w:sz="4" w:space="0" w:color="auto"/>
              <w:bottom w:val="nil"/>
              <w:right w:val="nil"/>
            </w:tcBorders>
            <w:shd w:val="clear" w:color="auto" w:fill="auto"/>
            <w:noWrap/>
            <w:vAlign w:val="center"/>
            <w:hideMark/>
          </w:tcPr>
          <w:p w14:paraId="2BAC7D07"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828" w:type="dxa"/>
            <w:tcBorders>
              <w:top w:val="nil"/>
              <w:left w:val="single" w:sz="4" w:space="0" w:color="auto"/>
              <w:bottom w:val="nil"/>
              <w:right w:val="single" w:sz="4" w:space="0" w:color="auto"/>
            </w:tcBorders>
            <w:shd w:val="clear" w:color="auto" w:fill="auto"/>
            <w:noWrap/>
            <w:vAlign w:val="bottom"/>
            <w:hideMark/>
          </w:tcPr>
          <w:p w14:paraId="13453F4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3.023 </w:t>
            </w:r>
          </w:p>
        </w:tc>
      </w:tr>
      <w:tr w:rsidR="00C92CD8" w14:paraId="7B05AB5E" w14:textId="77777777" w:rsidTr="000A5B26">
        <w:trPr>
          <w:trHeight w:val="300"/>
        </w:trPr>
        <w:tc>
          <w:tcPr>
            <w:tcW w:w="5103" w:type="dxa"/>
            <w:tcBorders>
              <w:top w:val="nil"/>
              <w:left w:val="single" w:sz="4" w:space="0" w:color="auto"/>
              <w:bottom w:val="nil"/>
              <w:right w:val="nil"/>
            </w:tcBorders>
            <w:shd w:val="clear" w:color="auto" w:fill="auto"/>
            <w:noWrap/>
            <w:vAlign w:val="center"/>
            <w:hideMark/>
          </w:tcPr>
          <w:p w14:paraId="29D64C54"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828" w:type="dxa"/>
            <w:tcBorders>
              <w:top w:val="nil"/>
              <w:left w:val="single" w:sz="4" w:space="0" w:color="auto"/>
              <w:bottom w:val="nil"/>
              <w:right w:val="single" w:sz="4" w:space="0" w:color="auto"/>
            </w:tcBorders>
            <w:shd w:val="clear" w:color="auto" w:fill="auto"/>
            <w:noWrap/>
            <w:vAlign w:val="bottom"/>
            <w:hideMark/>
          </w:tcPr>
          <w:p w14:paraId="1D3AFCEC" w14:textId="58C3D01A"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326.61</w:t>
            </w:r>
            <w:r w:rsidR="00831688">
              <w:rPr>
                <w:rFonts w:eastAsia="Times New Roman" w:cs="Arial"/>
                <w:b/>
                <w:bCs/>
                <w:color w:val="000000"/>
              </w:rPr>
              <w:t>7</w:t>
            </w:r>
            <w:r w:rsidRPr="00CE2155">
              <w:rPr>
                <w:rFonts w:eastAsia="Times New Roman" w:cs="Arial"/>
                <w:b/>
                <w:bCs/>
                <w:color w:val="000000"/>
              </w:rPr>
              <w:t xml:space="preserve"> </w:t>
            </w:r>
          </w:p>
        </w:tc>
      </w:tr>
      <w:tr w:rsidR="00C92CD8" w14:paraId="2AF793DA" w14:textId="77777777" w:rsidTr="000A5B26">
        <w:trPr>
          <w:trHeight w:val="300"/>
        </w:trPr>
        <w:tc>
          <w:tcPr>
            <w:tcW w:w="5103" w:type="dxa"/>
            <w:tcBorders>
              <w:top w:val="nil"/>
              <w:left w:val="single" w:sz="4" w:space="0" w:color="auto"/>
              <w:bottom w:val="nil"/>
              <w:right w:val="nil"/>
            </w:tcBorders>
            <w:shd w:val="clear" w:color="auto" w:fill="auto"/>
            <w:noWrap/>
            <w:vAlign w:val="center"/>
            <w:hideMark/>
          </w:tcPr>
          <w:p w14:paraId="238C39D9"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tcBorders>
              <w:top w:val="nil"/>
              <w:left w:val="single" w:sz="4" w:space="0" w:color="auto"/>
              <w:bottom w:val="nil"/>
              <w:right w:val="single" w:sz="4" w:space="0" w:color="auto"/>
            </w:tcBorders>
            <w:shd w:val="clear" w:color="auto" w:fill="auto"/>
            <w:noWrap/>
            <w:vAlign w:val="bottom"/>
            <w:hideMark/>
          </w:tcPr>
          <w:p w14:paraId="559407AE"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591BF714" w14:textId="77777777" w:rsidTr="000A5B26">
        <w:trPr>
          <w:trHeight w:val="300"/>
        </w:trPr>
        <w:tc>
          <w:tcPr>
            <w:tcW w:w="5103" w:type="dxa"/>
            <w:tcBorders>
              <w:top w:val="nil"/>
              <w:left w:val="single" w:sz="4" w:space="0" w:color="auto"/>
              <w:bottom w:val="nil"/>
              <w:right w:val="nil"/>
            </w:tcBorders>
            <w:shd w:val="clear" w:color="auto" w:fill="auto"/>
            <w:noWrap/>
            <w:vAlign w:val="center"/>
            <w:hideMark/>
          </w:tcPr>
          <w:p w14:paraId="76EFCC69"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828" w:type="dxa"/>
            <w:tcBorders>
              <w:top w:val="nil"/>
              <w:left w:val="single" w:sz="4" w:space="0" w:color="auto"/>
              <w:bottom w:val="nil"/>
              <w:right w:val="single" w:sz="4" w:space="0" w:color="auto"/>
            </w:tcBorders>
            <w:shd w:val="clear" w:color="auto" w:fill="auto"/>
            <w:noWrap/>
            <w:vAlign w:val="bottom"/>
            <w:hideMark/>
          </w:tcPr>
          <w:p w14:paraId="6881DD84"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095BCAD3" w14:textId="77777777" w:rsidTr="000A5B26">
        <w:trPr>
          <w:trHeight w:val="300"/>
        </w:trPr>
        <w:tc>
          <w:tcPr>
            <w:tcW w:w="5103" w:type="dxa"/>
            <w:tcBorders>
              <w:top w:val="nil"/>
              <w:left w:val="single" w:sz="4" w:space="0" w:color="auto"/>
              <w:bottom w:val="nil"/>
              <w:right w:val="nil"/>
            </w:tcBorders>
            <w:shd w:val="clear" w:color="auto" w:fill="auto"/>
            <w:noWrap/>
            <w:vAlign w:val="center"/>
            <w:hideMark/>
          </w:tcPr>
          <w:p w14:paraId="20E2AA36"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828" w:type="dxa"/>
            <w:tcBorders>
              <w:top w:val="nil"/>
              <w:left w:val="single" w:sz="4" w:space="0" w:color="auto"/>
              <w:bottom w:val="nil"/>
              <w:right w:val="single" w:sz="4" w:space="0" w:color="auto"/>
            </w:tcBorders>
            <w:shd w:val="clear" w:color="auto" w:fill="auto"/>
            <w:noWrap/>
            <w:vAlign w:val="bottom"/>
            <w:hideMark/>
          </w:tcPr>
          <w:p w14:paraId="32A89B55"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5.035 </w:t>
            </w:r>
          </w:p>
        </w:tc>
      </w:tr>
      <w:tr w:rsidR="00C92CD8" w14:paraId="2713FF67" w14:textId="77777777" w:rsidTr="000A5B26">
        <w:trPr>
          <w:trHeight w:val="300"/>
        </w:trPr>
        <w:tc>
          <w:tcPr>
            <w:tcW w:w="5103" w:type="dxa"/>
            <w:tcBorders>
              <w:top w:val="nil"/>
              <w:left w:val="single" w:sz="4" w:space="0" w:color="auto"/>
              <w:bottom w:val="nil"/>
              <w:right w:val="nil"/>
            </w:tcBorders>
            <w:shd w:val="clear" w:color="auto" w:fill="auto"/>
            <w:noWrap/>
            <w:vAlign w:val="center"/>
            <w:hideMark/>
          </w:tcPr>
          <w:p w14:paraId="2180A3F2"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828" w:type="dxa"/>
            <w:tcBorders>
              <w:top w:val="nil"/>
              <w:left w:val="single" w:sz="4" w:space="0" w:color="auto"/>
              <w:bottom w:val="nil"/>
              <w:right w:val="single" w:sz="4" w:space="0" w:color="auto"/>
            </w:tcBorders>
            <w:shd w:val="clear" w:color="auto" w:fill="auto"/>
            <w:noWrap/>
            <w:vAlign w:val="bottom"/>
            <w:hideMark/>
          </w:tcPr>
          <w:p w14:paraId="5F1E439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15.954 </w:t>
            </w:r>
          </w:p>
        </w:tc>
      </w:tr>
      <w:tr w:rsidR="00C92CD8" w14:paraId="1EF07FC4" w14:textId="77777777" w:rsidTr="000A5B26">
        <w:trPr>
          <w:trHeight w:val="300"/>
        </w:trPr>
        <w:tc>
          <w:tcPr>
            <w:tcW w:w="5103" w:type="dxa"/>
            <w:tcBorders>
              <w:top w:val="nil"/>
              <w:left w:val="single" w:sz="4" w:space="0" w:color="auto"/>
              <w:bottom w:val="nil"/>
              <w:right w:val="nil"/>
            </w:tcBorders>
            <w:shd w:val="clear" w:color="auto" w:fill="auto"/>
            <w:noWrap/>
            <w:vAlign w:val="center"/>
            <w:hideMark/>
          </w:tcPr>
          <w:p w14:paraId="4539DC72"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828" w:type="dxa"/>
            <w:tcBorders>
              <w:top w:val="nil"/>
              <w:left w:val="single" w:sz="4" w:space="0" w:color="auto"/>
              <w:bottom w:val="nil"/>
              <w:right w:val="single" w:sz="4" w:space="0" w:color="auto"/>
            </w:tcBorders>
            <w:shd w:val="clear" w:color="auto" w:fill="auto"/>
            <w:noWrap/>
            <w:vAlign w:val="bottom"/>
            <w:hideMark/>
          </w:tcPr>
          <w:p w14:paraId="57CAECEF"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280F00D9" w14:textId="77777777" w:rsidTr="000A5B26">
        <w:trPr>
          <w:trHeight w:val="300"/>
        </w:trPr>
        <w:tc>
          <w:tcPr>
            <w:tcW w:w="5103" w:type="dxa"/>
            <w:tcBorders>
              <w:top w:val="nil"/>
              <w:left w:val="single" w:sz="4" w:space="0" w:color="auto"/>
              <w:bottom w:val="nil"/>
              <w:right w:val="nil"/>
            </w:tcBorders>
            <w:shd w:val="clear" w:color="auto" w:fill="auto"/>
            <w:noWrap/>
            <w:vAlign w:val="center"/>
            <w:hideMark/>
          </w:tcPr>
          <w:p w14:paraId="0B624E1C"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828" w:type="dxa"/>
            <w:tcBorders>
              <w:top w:val="nil"/>
              <w:left w:val="single" w:sz="4" w:space="0" w:color="auto"/>
              <w:bottom w:val="nil"/>
              <w:right w:val="single" w:sz="4" w:space="0" w:color="auto"/>
            </w:tcBorders>
            <w:shd w:val="clear" w:color="auto" w:fill="auto"/>
            <w:noWrap/>
            <w:vAlign w:val="bottom"/>
            <w:hideMark/>
          </w:tcPr>
          <w:p w14:paraId="555B3BB9"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30.483 </w:t>
            </w:r>
          </w:p>
        </w:tc>
      </w:tr>
      <w:tr w:rsidR="00C92CD8" w14:paraId="6330A297" w14:textId="77777777" w:rsidTr="000A5B26">
        <w:trPr>
          <w:trHeight w:val="300"/>
        </w:trPr>
        <w:tc>
          <w:tcPr>
            <w:tcW w:w="5103" w:type="dxa"/>
            <w:tcBorders>
              <w:top w:val="nil"/>
              <w:left w:val="single" w:sz="4" w:space="0" w:color="auto"/>
              <w:bottom w:val="nil"/>
              <w:right w:val="nil"/>
            </w:tcBorders>
            <w:shd w:val="clear" w:color="auto" w:fill="auto"/>
            <w:noWrap/>
            <w:vAlign w:val="center"/>
            <w:hideMark/>
          </w:tcPr>
          <w:p w14:paraId="62A05A19"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828" w:type="dxa"/>
            <w:tcBorders>
              <w:top w:val="nil"/>
              <w:left w:val="single" w:sz="4" w:space="0" w:color="auto"/>
              <w:bottom w:val="nil"/>
              <w:right w:val="single" w:sz="4" w:space="0" w:color="auto"/>
            </w:tcBorders>
            <w:shd w:val="clear" w:color="auto" w:fill="auto"/>
            <w:noWrap/>
            <w:vAlign w:val="bottom"/>
            <w:hideMark/>
          </w:tcPr>
          <w:p w14:paraId="3CAD660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8.976 </w:t>
            </w:r>
          </w:p>
        </w:tc>
      </w:tr>
      <w:tr w:rsidR="00C92CD8" w14:paraId="35E3F8F2" w14:textId="77777777" w:rsidTr="000A5B26">
        <w:trPr>
          <w:trHeight w:val="300"/>
        </w:trPr>
        <w:tc>
          <w:tcPr>
            <w:tcW w:w="5103" w:type="dxa"/>
            <w:tcBorders>
              <w:top w:val="nil"/>
              <w:left w:val="single" w:sz="4" w:space="0" w:color="auto"/>
              <w:bottom w:val="nil"/>
              <w:right w:val="nil"/>
            </w:tcBorders>
            <w:shd w:val="clear" w:color="auto" w:fill="auto"/>
            <w:noWrap/>
            <w:vAlign w:val="center"/>
            <w:hideMark/>
          </w:tcPr>
          <w:p w14:paraId="5BDA5897"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828" w:type="dxa"/>
            <w:tcBorders>
              <w:top w:val="nil"/>
              <w:left w:val="single" w:sz="4" w:space="0" w:color="auto"/>
              <w:bottom w:val="nil"/>
              <w:right w:val="single" w:sz="4" w:space="0" w:color="auto"/>
            </w:tcBorders>
            <w:shd w:val="clear" w:color="auto" w:fill="auto"/>
            <w:noWrap/>
            <w:vAlign w:val="bottom"/>
            <w:hideMark/>
          </w:tcPr>
          <w:p w14:paraId="62857B9C"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60.448 </w:t>
            </w:r>
          </w:p>
        </w:tc>
      </w:tr>
      <w:tr w:rsidR="00C92CD8" w14:paraId="3470ACEE" w14:textId="77777777" w:rsidTr="000A5B26">
        <w:trPr>
          <w:trHeight w:val="300"/>
        </w:trPr>
        <w:tc>
          <w:tcPr>
            <w:tcW w:w="5103" w:type="dxa"/>
            <w:tcBorders>
              <w:top w:val="nil"/>
              <w:left w:val="single" w:sz="4" w:space="0" w:color="auto"/>
              <w:bottom w:val="nil"/>
              <w:right w:val="nil"/>
            </w:tcBorders>
            <w:shd w:val="clear" w:color="auto" w:fill="auto"/>
            <w:noWrap/>
            <w:vAlign w:val="center"/>
            <w:hideMark/>
          </w:tcPr>
          <w:p w14:paraId="05D23DA0"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828" w:type="dxa"/>
            <w:tcBorders>
              <w:top w:val="nil"/>
              <w:left w:val="single" w:sz="4" w:space="0" w:color="auto"/>
              <w:bottom w:val="nil"/>
              <w:right w:val="single" w:sz="4" w:space="0" w:color="auto"/>
            </w:tcBorders>
            <w:shd w:val="clear" w:color="auto" w:fill="auto"/>
            <w:noWrap/>
            <w:vAlign w:val="bottom"/>
            <w:hideMark/>
          </w:tcPr>
          <w:p w14:paraId="6D92D134"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391DB9A4" w14:textId="77777777" w:rsidTr="000A5B26">
        <w:trPr>
          <w:trHeight w:val="300"/>
        </w:trPr>
        <w:tc>
          <w:tcPr>
            <w:tcW w:w="5103" w:type="dxa"/>
            <w:tcBorders>
              <w:top w:val="single" w:sz="4" w:space="0" w:color="auto"/>
              <w:left w:val="single" w:sz="4" w:space="0" w:color="auto"/>
              <w:bottom w:val="single" w:sz="4" w:space="0" w:color="auto"/>
              <w:right w:val="nil"/>
            </w:tcBorders>
            <w:shd w:val="clear" w:color="auto" w:fill="auto"/>
            <w:noWrap/>
            <w:vAlign w:val="center"/>
            <w:hideMark/>
          </w:tcPr>
          <w:p w14:paraId="61A6F5CF"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0EDC0"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266.168 </w:t>
            </w:r>
          </w:p>
        </w:tc>
      </w:tr>
    </w:tbl>
    <w:p w14:paraId="446788B8" w14:textId="77777777" w:rsidR="00146FD5" w:rsidRPr="00CE2155" w:rsidRDefault="004A7A82" w:rsidP="00146FD5">
      <w:pPr>
        <w:rPr>
          <w:rFonts w:cs="Arial"/>
        </w:rPr>
      </w:pPr>
      <w:r w:rsidRPr="00CE2155">
        <w:rPr>
          <w:rFonts w:cs="Arial"/>
        </w:rPr>
        <w:br w:type="page"/>
      </w:r>
    </w:p>
    <w:tbl>
      <w:tblPr>
        <w:tblW w:w="8931" w:type="dxa"/>
        <w:tblLook w:val="04A0" w:firstRow="1" w:lastRow="0" w:firstColumn="1" w:lastColumn="0" w:noHBand="0" w:noVBand="1"/>
      </w:tblPr>
      <w:tblGrid>
        <w:gridCol w:w="5245"/>
        <w:gridCol w:w="3686"/>
      </w:tblGrid>
      <w:tr w:rsidR="00C92CD8" w14:paraId="54A8657D" w14:textId="77777777" w:rsidTr="00B97332">
        <w:trPr>
          <w:trHeight w:val="300"/>
        </w:trPr>
        <w:tc>
          <w:tcPr>
            <w:tcW w:w="5245" w:type="dxa"/>
            <w:tcBorders>
              <w:top w:val="nil"/>
              <w:left w:val="nil"/>
              <w:bottom w:val="nil"/>
              <w:right w:val="nil"/>
            </w:tcBorders>
            <w:shd w:val="clear" w:color="auto" w:fill="auto"/>
            <w:noWrap/>
            <w:vAlign w:val="bottom"/>
            <w:hideMark/>
          </w:tcPr>
          <w:p w14:paraId="52F4C0E7" w14:textId="77777777" w:rsidR="00146FD5" w:rsidRDefault="004A7A82" w:rsidP="00B97332">
            <w:pPr>
              <w:rPr>
                <w:rFonts w:eastAsia="Times New Roman" w:cs="Arial"/>
                <w:b/>
                <w:bCs/>
                <w:color w:val="000000"/>
                <w:u w:val="single"/>
              </w:rPr>
            </w:pPr>
            <w:r>
              <w:rPr>
                <w:rFonts w:eastAsia="Times New Roman" w:cs="Arial"/>
                <w:b/>
                <w:bCs/>
                <w:color w:val="000000"/>
                <w:u w:val="single"/>
              </w:rPr>
              <w:lastRenderedPageBreak/>
              <w:t xml:space="preserve">2.1 </w:t>
            </w:r>
            <w:r w:rsidRPr="00CE2155">
              <w:rPr>
                <w:rFonts w:eastAsia="Times New Roman" w:cs="Arial"/>
                <w:b/>
                <w:bCs/>
                <w:color w:val="000000"/>
                <w:u w:val="single"/>
              </w:rPr>
              <w:t>Director of Children's Social Care</w:t>
            </w:r>
          </w:p>
          <w:p w14:paraId="76E6931D" w14:textId="77777777" w:rsidR="000A5B26" w:rsidRDefault="000A5B26" w:rsidP="00B97332">
            <w:pPr>
              <w:rPr>
                <w:rFonts w:eastAsia="Times New Roman" w:cs="Arial"/>
                <w:b/>
                <w:bCs/>
                <w:color w:val="000000"/>
                <w:u w:val="single"/>
              </w:rPr>
            </w:pPr>
          </w:p>
          <w:p w14:paraId="12993164" w14:textId="77777777" w:rsidR="00146FD5" w:rsidRPr="00CE2155" w:rsidRDefault="00146FD5" w:rsidP="00B97332">
            <w:pPr>
              <w:rPr>
                <w:rFonts w:eastAsia="Times New Roman" w:cs="Arial"/>
                <w:b/>
                <w:bCs/>
                <w:color w:val="000000"/>
                <w:u w:val="single"/>
              </w:rPr>
            </w:pPr>
          </w:p>
        </w:tc>
        <w:tc>
          <w:tcPr>
            <w:tcW w:w="3686" w:type="dxa"/>
            <w:tcBorders>
              <w:top w:val="nil"/>
              <w:left w:val="nil"/>
              <w:bottom w:val="nil"/>
              <w:right w:val="nil"/>
            </w:tcBorders>
            <w:shd w:val="clear" w:color="auto" w:fill="auto"/>
            <w:noWrap/>
            <w:vAlign w:val="bottom"/>
            <w:hideMark/>
          </w:tcPr>
          <w:p w14:paraId="1A088A25" w14:textId="77777777" w:rsidR="00146FD5" w:rsidRPr="00CE2155" w:rsidRDefault="00146FD5" w:rsidP="00B97332">
            <w:pPr>
              <w:rPr>
                <w:rFonts w:eastAsia="Times New Roman" w:cs="Arial"/>
                <w:b/>
                <w:bCs/>
                <w:color w:val="000000"/>
                <w:u w:val="single"/>
              </w:rPr>
            </w:pPr>
          </w:p>
        </w:tc>
      </w:tr>
      <w:tr w:rsidR="00C92CD8" w14:paraId="380ED48F" w14:textId="77777777" w:rsidTr="00B97332">
        <w:trPr>
          <w:trHeight w:val="600"/>
        </w:trPr>
        <w:tc>
          <w:tcPr>
            <w:tcW w:w="5245" w:type="dxa"/>
            <w:tcBorders>
              <w:top w:val="single" w:sz="4" w:space="0" w:color="auto"/>
              <w:left w:val="single" w:sz="4" w:space="0" w:color="auto"/>
              <w:bottom w:val="single" w:sz="4" w:space="0" w:color="auto"/>
              <w:right w:val="nil"/>
            </w:tcBorders>
            <w:shd w:val="clear" w:color="auto" w:fill="auto"/>
            <w:noWrap/>
            <w:vAlign w:val="bottom"/>
            <w:hideMark/>
          </w:tcPr>
          <w:p w14:paraId="5B4A4127"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25FB7"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310C389E" w14:textId="77777777" w:rsidTr="00B97332">
        <w:trPr>
          <w:trHeight w:val="300"/>
        </w:trPr>
        <w:tc>
          <w:tcPr>
            <w:tcW w:w="5245" w:type="dxa"/>
            <w:tcBorders>
              <w:top w:val="nil"/>
              <w:left w:val="single" w:sz="4" w:space="0" w:color="auto"/>
              <w:bottom w:val="nil"/>
              <w:right w:val="nil"/>
            </w:tcBorders>
            <w:shd w:val="clear" w:color="auto" w:fill="auto"/>
            <w:noWrap/>
            <w:vAlign w:val="bottom"/>
            <w:hideMark/>
          </w:tcPr>
          <w:p w14:paraId="2BFD4D10"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center"/>
            <w:hideMark/>
          </w:tcPr>
          <w:p w14:paraId="2F8233DC"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3699E86C"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3CE4D9FE"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686" w:type="dxa"/>
            <w:tcBorders>
              <w:top w:val="nil"/>
              <w:left w:val="single" w:sz="4" w:space="0" w:color="auto"/>
              <w:bottom w:val="nil"/>
              <w:right w:val="single" w:sz="4" w:space="0" w:color="auto"/>
            </w:tcBorders>
            <w:shd w:val="clear" w:color="auto" w:fill="auto"/>
            <w:noWrap/>
            <w:vAlign w:val="bottom"/>
            <w:hideMark/>
          </w:tcPr>
          <w:p w14:paraId="328BC1E3"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3DAF2107"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9765199"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686" w:type="dxa"/>
            <w:tcBorders>
              <w:top w:val="nil"/>
              <w:left w:val="single" w:sz="4" w:space="0" w:color="auto"/>
              <w:bottom w:val="nil"/>
              <w:right w:val="single" w:sz="4" w:space="0" w:color="auto"/>
            </w:tcBorders>
            <w:shd w:val="clear" w:color="auto" w:fill="auto"/>
            <w:noWrap/>
            <w:vAlign w:val="bottom"/>
            <w:hideMark/>
          </w:tcPr>
          <w:p w14:paraId="5B2536AB" w14:textId="5483FB1B" w:rsidR="00146FD5" w:rsidRPr="00CE2155" w:rsidRDefault="004A7A82" w:rsidP="00B97332">
            <w:pPr>
              <w:jc w:val="right"/>
              <w:rPr>
                <w:rFonts w:eastAsia="Times New Roman" w:cs="Arial"/>
                <w:color w:val="000000"/>
              </w:rPr>
            </w:pPr>
            <w:r w:rsidRPr="00CE2155">
              <w:rPr>
                <w:rFonts w:eastAsia="Times New Roman" w:cs="Arial"/>
                <w:color w:val="000000"/>
              </w:rPr>
              <w:t xml:space="preserve">                                     55.40</w:t>
            </w:r>
            <w:r w:rsidR="003F7309">
              <w:rPr>
                <w:rFonts w:eastAsia="Times New Roman" w:cs="Arial"/>
                <w:color w:val="000000"/>
              </w:rPr>
              <w:t>6</w:t>
            </w:r>
            <w:r w:rsidRPr="00CE2155">
              <w:rPr>
                <w:rFonts w:eastAsia="Times New Roman" w:cs="Arial"/>
                <w:color w:val="000000"/>
              </w:rPr>
              <w:t xml:space="preserve"> </w:t>
            </w:r>
          </w:p>
        </w:tc>
      </w:tr>
      <w:tr w:rsidR="00C92CD8" w14:paraId="2C24CBF2"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0292DA65"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686" w:type="dxa"/>
            <w:tcBorders>
              <w:top w:val="nil"/>
              <w:left w:val="single" w:sz="4" w:space="0" w:color="auto"/>
              <w:bottom w:val="nil"/>
              <w:right w:val="single" w:sz="4" w:space="0" w:color="auto"/>
            </w:tcBorders>
            <w:shd w:val="clear" w:color="auto" w:fill="auto"/>
            <w:noWrap/>
            <w:vAlign w:val="bottom"/>
            <w:hideMark/>
          </w:tcPr>
          <w:p w14:paraId="56D107CB"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0.016 </w:t>
            </w:r>
          </w:p>
        </w:tc>
      </w:tr>
      <w:tr w:rsidR="00C92CD8" w14:paraId="5B720E64"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1AB0BB30"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686" w:type="dxa"/>
            <w:tcBorders>
              <w:top w:val="nil"/>
              <w:left w:val="single" w:sz="4" w:space="0" w:color="auto"/>
              <w:bottom w:val="nil"/>
              <w:right w:val="single" w:sz="4" w:space="0" w:color="auto"/>
            </w:tcBorders>
            <w:shd w:val="clear" w:color="auto" w:fill="auto"/>
            <w:noWrap/>
            <w:vAlign w:val="bottom"/>
            <w:hideMark/>
          </w:tcPr>
          <w:p w14:paraId="0909E3BA"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0.956 </w:t>
            </w:r>
          </w:p>
        </w:tc>
      </w:tr>
      <w:tr w:rsidR="00C92CD8" w14:paraId="4E6EF998"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19EF888"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686" w:type="dxa"/>
            <w:tcBorders>
              <w:top w:val="nil"/>
              <w:left w:val="single" w:sz="4" w:space="0" w:color="auto"/>
              <w:bottom w:val="nil"/>
              <w:right w:val="single" w:sz="4" w:space="0" w:color="auto"/>
            </w:tcBorders>
            <w:shd w:val="clear" w:color="auto" w:fill="auto"/>
            <w:noWrap/>
            <w:vAlign w:val="bottom"/>
            <w:hideMark/>
          </w:tcPr>
          <w:p w14:paraId="0AB149F5"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3.228 </w:t>
            </w:r>
          </w:p>
        </w:tc>
      </w:tr>
      <w:tr w:rsidR="00C92CD8" w14:paraId="6D0F4C60"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126A21E6"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686" w:type="dxa"/>
            <w:tcBorders>
              <w:top w:val="nil"/>
              <w:left w:val="single" w:sz="4" w:space="0" w:color="auto"/>
              <w:bottom w:val="nil"/>
              <w:right w:val="single" w:sz="4" w:space="0" w:color="auto"/>
            </w:tcBorders>
            <w:shd w:val="clear" w:color="auto" w:fill="auto"/>
            <w:noWrap/>
            <w:vAlign w:val="bottom"/>
            <w:hideMark/>
          </w:tcPr>
          <w:p w14:paraId="0CA33AB1"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107.575 </w:t>
            </w:r>
          </w:p>
        </w:tc>
      </w:tr>
      <w:tr w:rsidR="00C92CD8" w14:paraId="4E1A6FED"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7EF1E1ED"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686" w:type="dxa"/>
            <w:tcBorders>
              <w:top w:val="nil"/>
              <w:left w:val="single" w:sz="4" w:space="0" w:color="auto"/>
              <w:bottom w:val="nil"/>
              <w:right w:val="single" w:sz="4" w:space="0" w:color="auto"/>
            </w:tcBorders>
            <w:shd w:val="clear" w:color="auto" w:fill="auto"/>
            <w:noWrap/>
            <w:vAlign w:val="bottom"/>
            <w:hideMark/>
          </w:tcPr>
          <w:p w14:paraId="20754666"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44.243 </w:t>
            </w:r>
          </w:p>
        </w:tc>
      </w:tr>
      <w:tr w:rsidR="00C92CD8" w14:paraId="1B7A1EDC"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6744ABC4"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686" w:type="dxa"/>
            <w:tcBorders>
              <w:top w:val="nil"/>
              <w:left w:val="single" w:sz="4" w:space="0" w:color="auto"/>
              <w:bottom w:val="nil"/>
              <w:right w:val="single" w:sz="4" w:space="0" w:color="auto"/>
            </w:tcBorders>
            <w:shd w:val="clear" w:color="auto" w:fill="auto"/>
            <w:noWrap/>
            <w:vAlign w:val="bottom"/>
            <w:hideMark/>
          </w:tcPr>
          <w:p w14:paraId="507E61C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1973FAA7"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36FE924C"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686" w:type="dxa"/>
            <w:tcBorders>
              <w:top w:val="nil"/>
              <w:left w:val="single" w:sz="4" w:space="0" w:color="auto"/>
              <w:bottom w:val="nil"/>
              <w:right w:val="single" w:sz="4" w:space="0" w:color="auto"/>
            </w:tcBorders>
            <w:shd w:val="clear" w:color="auto" w:fill="auto"/>
            <w:noWrap/>
            <w:vAlign w:val="bottom"/>
            <w:hideMark/>
          </w:tcPr>
          <w:p w14:paraId="5F3F462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57EE9B4F"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11638507"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686" w:type="dxa"/>
            <w:tcBorders>
              <w:top w:val="nil"/>
              <w:left w:val="single" w:sz="4" w:space="0" w:color="auto"/>
              <w:bottom w:val="nil"/>
              <w:right w:val="single" w:sz="4" w:space="0" w:color="auto"/>
            </w:tcBorders>
            <w:shd w:val="clear" w:color="auto" w:fill="auto"/>
            <w:noWrap/>
            <w:vAlign w:val="bottom"/>
            <w:hideMark/>
          </w:tcPr>
          <w:p w14:paraId="31F32566" w14:textId="4215A60C"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211.42</w:t>
            </w:r>
            <w:r w:rsidR="003F7309">
              <w:rPr>
                <w:rFonts w:eastAsia="Times New Roman" w:cs="Arial"/>
                <w:b/>
                <w:bCs/>
                <w:color w:val="000000"/>
              </w:rPr>
              <w:t>4</w:t>
            </w:r>
            <w:r w:rsidRPr="00CE2155">
              <w:rPr>
                <w:rFonts w:eastAsia="Times New Roman" w:cs="Arial"/>
                <w:b/>
                <w:bCs/>
                <w:color w:val="000000"/>
              </w:rPr>
              <w:t xml:space="preserve"> </w:t>
            </w:r>
          </w:p>
        </w:tc>
      </w:tr>
      <w:tr w:rsidR="00C92CD8" w14:paraId="59A30B25"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77C91D0F"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bottom"/>
            <w:hideMark/>
          </w:tcPr>
          <w:p w14:paraId="796CAFD9"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738F42CA"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5EEF7942"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686" w:type="dxa"/>
            <w:tcBorders>
              <w:top w:val="nil"/>
              <w:left w:val="single" w:sz="4" w:space="0" w:color="auto"/>
              <w:bottom w:val="nil"/>
              <w:right w:val="single" w:sz="4" w:space="0" w:color="auto"/>
            </w:tcBorders>
            <w:shd w:val="clear" w:color="auto" w:fill="auto"/>
            <w:noWrap/>
            <w:vAlign w:val="bottom"/>
            <w:hideMark/>
          </w:tcPr>
          <w:p w14:paraId="240BCB9E"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2F69D977"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5A0229C8"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686" w:type="dxa"/>
            <w:tcBorders>
              <w:top w:val="nil"/>
              <w:left w:val="single" w:sz="4" w:space="0" w:color="auto"/>
              <w:bottom w:val="nil"/>
              <w:right w:val="single" w:sz="4" w:space="0" w:color="auto"/>
            </w:tcBorders>
            <w:shd w:val="clear" w:color="auto" w:fill="auto"/>
            <w:noWrap/>
            <w:vAlign w:val="bottom"/>
            <w:hideMark/>
          </w:tcPr>
          <w:p w14:paraId="2009B4CD"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59D8ED19"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0AC87E87"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686" w:type="dxa"/>
            <w:tcBorders>
              <w:top w:val="nil"/>
              <w:left w:val="single" w:sz="4" w:space="0" w:color="auto"/>
              <w:bottom w:val="nil"/>
              <w:right w:val="single" w:sz="4" w:space="0" w:color="auto"/>
            </w:tcBorders>
            <w:shd w:val="clear" w:color="auto" w:fill="auto"/>
            <w:noWrap/>
            <w:vAlign w:val="bottom"/>
            <w:hideMark/>
          </w:tcPr>
          <w:p w14:paraId="48AAC1C8" w14:textId="4EFF4DE9" w:rsidR="00146FD5" w:rsidRPr="00CE2155" w:rsidRDefault="004A7A82" w:rsidP="00B97332">
            <w:pPr>
              <w:jc w:val="right"/>
              <w:rPr>
                <w:rFonts w:eastAsia="Times New Roman" w:cs="Arial"/>
                <w:color w:val="000000"/>
              </w:rPr>
            </w:pPr>
            <w:r w:rsidRPr="00CE2155">
              <w:rPr>
                <w:rFonts w:eastAsia="Times New Roman" w:cs="Arial"/>
                <w:color w:val="000000"/>
              </w:rPr>
              <w:t xml:space="preserve">                                       5.82</w:t>
            </w:r>
            <w:r w:rsidR="003C0BB1">
              <w:rPr>
                <w:rFonts w:eastAsia="Times New Roman" w:cs="Arial"/>
                <w:color w:val="000000"/>
              </w:rPr>
              <w:t>5</w:t>
            </w:r>
            <w:r w:rsidRPr="00CE2155">
              <w:rPr>
                <w:rFonts w:eastAsia="Times New Roman" w:cs="Arial"/>
                <w:color w:val="000000"/>
              </w:rPr>
              <w:t xml:space="preserve"> </w:t>
            </w:r>
          </w:p>
        </w:tc>
      </w:tr>
      <w:tr w:rsidR="00C92CD8" w14:paraId="02A81AAC"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720CB0F2"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686" w:type="dxa"/>
            <w:tcBorders>
              <w:top w:val="nil"/>
              <w:left w:val="single" w:sz="4" w:space="0" w:color="auto"/>
              <w:bottom w:val="nil"/>
              <w:right w:val="single" w:sz="4" w:space="0" w:color="auto"/>
            </w:tcBorders>
            <w:shd w:val="clear" w:color="auto" w:fill="auto"/>
            <w:noWrap/>
            <w:vAlign w:val="bottom"/>
            <w:hideMark/>
          </w:tcPr>
          <w:p w14:paraId="6BED1E16"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648F67CA"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0613E286"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686" w:type="dxa"/>
            <w:tcBorders>
              <w:top w:val="nil"/>
              <w:left w:val="single" w:sz="4" w:space="0" w:color="auto"/>
              <w:bottom w:val="nil"/>
              <w:right w:val="single" w:sz="4" w:space="0" w:color="auto"/>
            </w:tcBorders>
            <w:shd w:val="clear" w:color="auto" w:fill="auto"/>
            <w:noWrap/>
            <w:vAlign w:val="bottom"/>
            <w:hideMark/>
          </w:tcPr>
          <w:p w14:paraId="43E5DE56"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1.630 </w:t>
            </w:r>
          </w:p>
        </w:tc>
      </w:tr>
      <w:tr w:rsidR="00C92CD8" w14:paraId="4EB55E0D"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6C8DAA24"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686" w:type="dxa"/>
            <w:tcBorders>
              <w:top w:val="nil"/>
              <w:left w:val="single" w:sz="4" w:space="0" w:color="auto"/>
              <w:bottom w:val="nil"/>
              <w:right w:val="single" w:sz="4" w:space="0" w:color="auto"/>
            </w:tcBorders>
            <w:shd w:val="clear" w:color="auto" w:fill="auto"/>
            <w:noWrap/>
            <w:vAlign w:val="bottom"/>
            <w:hideMark/>
          </w:tcPr>
          <w:p w14:paraId="11C5074A"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0.595 </w:t>
            </w:r>
          </w:p>
        </w:tc>
      </w:tr>
      <w:tr w:rsidR="00C92CD8" w14:paraId="33D01DEB"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1EE5ED18"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686" w:type="dxa"/>
            <w:tcBorders>
              <w:top w:val="nil"/>
              <w:left w:val="single" w:sz="4" w:space="0" w:color="auto"/>
              <w:bottom w:val="nil"/>
              <w:right w:val="single" w:sz="4" w:space="0" w:color="auto"/>
            </w:tcBorders>
            <w:shd w:val="clear" w:color="auto" w:fill="auto"/>
            <w:noWrap/>
            <w:vAlign w:val="bottom"/>
            <w:hideMark/>
          </w:tcPr>
          <w:p w14:paraId="75C5796C" w14:textId="62E346BF"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8.0</w:t>
            </w:r>
            <w:r w:rsidR="003C0BB1">
              <w:rPr>
                <w:rFonts w:eastAsia="Times New Roman" w:cs="Arial"/>
                <w:b/>
                <w:bCs/>
                <w:color w:val="000000"/>
              </w:rPr>
              <w:t>50</w:t>
            </w:r>
            <w:r w:rsidRPr="00CE2155">
              <w:rPr>
                <w:rFonts w:eastAsia="Times New Roman" w:cs="Arial"/>
                <w:b/>
                <w:bCs/>
                <w:color w:val="000000"/>
              </w:rPr>
              <w:t xml:space="preserve"> </w:t>
            </w:r>
          </w:p>
        </w:tc>
      </w:tr>
      <w:tr w:rsidR="00C92CD8" w14:paraId="1F163026"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5218999C"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bottom"/>
            <w:hideMark/>
          </w:tcPr>
          <w:p w14:paraId="14C9DC54"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32E449BF" w14:textId="77777777" w:rsidTr="00B97332">
        <w:trPr>
          <w:trHeight w:val="300"/>
        </w:trPr>
        <w:tc>
          <w:tcPr>
            <w:tcW w:w="5245" w:type="dxa"/>
            <w:tcBorders>
              <w:top w:val="single" w:sz="4" w:space="0" w:color="auto"/>
              <w:left w:val="single" w:sz="4" w:space="0" w:color="auto"/>
              <w:bottom w:val="single" w:sz="4" w:space="0" w:color="auto"/>
              <w:right w:val="nil"/>
            </w:tcBorders>
            <w:shd w:val="clear" w:color="auto" w:fill="auto"/>
            <w:noWrap/>
            <w:vAlign w:val="center"/>
            <w:hideMark/>
          </w:tcPr>
          <w:p w14:paraId="3141ED09"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F33D5"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203.374 </w:t>
            </w:r>
          </w:p>
        </w:tc>
      </w:tr>
    </w:tbl>
    <w:p w14:paraId="7AEDF648" w14:textId="77777777" w:rsidR="00146FD5" w:rsidRPr="00CE2155" w:rsidRDefault="004A7A82" w:rsidP="00146FD5">
      <w:pPr>
        <w:rPr>
          <w:rFonts w:cs="Arial"/>
        </w:rPr>
      </w:pPr>
      <w:r w:rsidRPr="00CE2155">
        <w:rPr>
          <w:rFonts w:cs="Arial"/>
        </w:rPr>
        <w:br w:type="page"/>
      </w:r>
    </w:p>
    <w:tbl>
      <w:tblPr>
        <w:tblW w:w="8931" w:type="dxa"/>
        <w:tblLook w:val="04A0" w:firstRow="1" w:lastRow="0" w:firstColumn="1" w:lastColumn="0" w:noHBand="0" w:noVBand="1"/>
      </w:tblPr>
      <w:tblGrid>
        <w:gridCol w:w="5245"/>
        <w:gridCol w:w="3686"/>
      </w:tblGrid>
      <w:tr w:rsidR="00C92CD8" w14:paraId="0FA54D3E" w14:textId="77777777" w:rsidTr="00B97332">
        <w:trPr>
          <w:trHeight w:val="300"/>
        </w:trPr>
        <w:tc>
          <w:tcPr>
            <w:tcW w:w="8931" w:type="dxa"/>
            <w:gridSpan w:val="2"/>
            <w:tcBorders>
              <w:top w:val="nil"/>
              <w:left w:val="nil"/>
              <w:bottom w:val="nil"/>
              <w:right w:val="nil"/>
            </w:tcBorders>
            <w:shd w:val="clear" w:color="auto" w:fill="auto"/>
            <w:noWrap/>
            <w:vAlign w:val="bottom"/>
            <w:hideMark/>
          </w:tcPr>
          <w:p w14:paraId="160E1674" w14:textId="77777777" w:rsidR="00146FD5" w:rsidRDefault="004A7A82" w:rsidP="00B97332">
            <w:pPr>
              <w:rPr>
                <w:rFonts w:eastAsia="Times New Roman" w:cs="Arial"/>
                <w:b/>
                <w:bCs/>
                <w:color w:val="000000"/>
                <w:u w:val="single"/>
              </w:rPr>
            </w:pPr>
            <w:r>
              <w:rPr>
                <w:rFonts w:eastAsia="Times New Roman" w:cs="Arial"/>
                <w:b/>
                <w:bCs/>
                <w:color w:val="000000"/>
                <w:u w:val="single"/>
              </w:rPr>
              <w:lastRenderedPageBreak/>
              <w:t xml:space="preserve">2.2 </w:t>
            </w:r>
            <w:r w:rsidRPr="00CE2155">
              <w:rPr>
                <w:rFonts w:eastAsia="Times New Roman" w:cs="Arial"/>
                <w:b/>
                <w:bCs/>
                <w:color w:val="000000"/>
                <w:u w:val="single"/>
              </w:rPr>
              <w:t>Director of Education, Culture and Skills</w:t>
            </w:r>
          </w:p>
          <w:p w14:paraId="42C0CDE4" w14:textId="77777777" w:rsidR="000A5B26" w:rsidRDefault="000A5B26" w:rsidP="00B97332">
            <w:pPr>
              <w:rPr>
                <w:rFonts w:eastAsia="Times New Roman" w:cs="Arial"/>
                <w:b/>
                <w:bCs/>
                <w:color w:val="000000"/>
                <w:u w:val="single"/>
              </w:rPr>
            </w:pPr>
          </w:p>
          <w:p w14:paraId="35802201" w14:textId="77777777" w:rsidR="00146FD5" w:rsidRPr="00CE2155" w:rsidRDefault="00146FD5" w:rsidP="00B97332">
            <w:pPr>
              <w:rPr>
                <w:rFonts w:eastAsia="Times New Roman" w:cs="Arial"/>
                <w:b/>
                <w:bCs/>
                <w:color w:val="000000"/>
                <w:u w:val="single"/>
              </w:rPr>
            </w:pPr>
          </w:p>
        </w:tc>
      </w:tr>
      <w:tr w:rsidR="00C92CD8" w14:paraId="612A6B89" w14:textId="77777777" w:rsidTr="00B97332">
        <w:trPr>
          <w:trHeight w:val="600"/>
        </w:trPr>
        <w:tc>
          <w:tcPr>
            <w:tcW w:w="5245" w:type="dxa"/>
            <w:tcBorders>
              <w:top w:val="single" w:sz="4" w:space="0" w:color="auto"/>
              <w:left w:val="single" w:sz="4" w:space="0" w:color="auto"/>
              <w:bottom w:val="single" w:sz="4" w:space="0" w:color="auto"/>
              <w:right w:val="nil"/>
            </w:tcBorders>
            <w:shd w:val="clear" w:color="auto" w:fill="auto"/>
            <w:noWrap/>
            <w:vAlign w:val="bottom"/>
            <w:hideMark/>
          </w:tcPr>
          <w:p w14:paraId="539104EF"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7349D"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1A87A67F" w14:textId="77777777" w:rsidTr="00B97332">
        <w:trPr>
          <w:trHeight w:val="300"/>
        </w:trPr>
        <w:tc>
          <w:tcPr>
            <w:tcW w:w="5245" w:type="dxa"/>
            <w:tcBorders>
              <w:top w:val="nil"/>
              <w:left w:val="single" w:sz="4" w:space="0" w:color="auto"/>
              <w:bottom w:val="nil"/>
              <w:right w:val="nil"/>
            </w:tcBorders>
            <w:shd w:val="clear" w:color="auto" w:fill="auto"/>
            <w:noWrap/>
            <w:vAlign w:val="bottom"/>
            <w:hideMark/>
          </w:tcPr>
          <w:p w14:paraId="336C5464"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center"/>
            <w:hideMark/>
          </w:tcPr>
          <w:p w14:paraId="5DEE5033"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278354BB"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610B142D"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686" w:type="dxa"/>
            <w:tcBorders>
              <w:top w:val="nil"/>
              <w:left w:val="single" w:sz="4" w:space="0" w:color="auto"/>
              <w:bottom w:val="nil"/>
              <w:right w:val="single" w:sz="4" w:space="0" w:color="auto"/>
            </w:tcBorders>
            <w:shd w:val="clear" w:color="auto" w:fill="auto"/>
            <w:noWrap/>
            <w:vAlign w:val="bottom"/>
            <w:hideMark/>
          </w:tcPr>
          <w:p w14:paraId="0111EB7A"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17653D59"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74564041"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686" w:type="dxa"/>
            <w:tcBorders>
              <w:top w:val="nil"/>
              <w:left w:val="single" w:sz="4" w:space="0" w:color="auto"/>
              <w:bottom w:val="nil"/>
              <w:right w:val="single" w:sz="4" w:space="0" w:color="auto"/>
            </w:tcBorders>
            <w:shd w:val="clear" w:color="auto" w:fill="auto"/>
            <w:noWrap/>
            <w:vAlign w:val="bottom"/>
            <w:hideMark/>
          </w:tcPr>
          <w:p w14:paraId="2BEBFD6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64.694 </w:t>
            </w:r>
          </w:p>
        </w:tc>
      </w:tr>
      <w:tr w:rsidR="00C92CD8" w14:paraId="46EF24E6"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21EF4C83"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686" w:type="dxa"/>
            <w:tcBorders>
              <w:top w:val="nil"/>
              <w:left w:val="single" w:sz="4" w:space="0" w:color="auto"/>
              <w:bottom w:val="nil"/>
              <w:right w:val="single" w:sz="4" w:space="0" w:color="auto"/>
            </w:tcBorders>
            <w:shd w:val="clear" w:color="auto" w:fill="auto"/>
            <w:noWrap/>
            <w:vAlign w:val="bottom"/>
            <w:hideMark/>
          </w:tcPr>
          <w:p w14:paraId="7456F482"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09D3A78E"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5F676731"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686" w:type="dxa"/>
            <w:tcBorders>
              <w:top w:val="nil"/>
              <w:left w:val="single" w:sz="4" w:space="0" w:color="auto"/>
              <w:bottom w:val="nil"/>
              <w:right w:val="single" w:sz="4" w:space="0" w:color="auto"/>
            </w:tcBorders>
            <w:shd w:val="clear" w:color="auto" w:fill="auto"/>
            <w:noWrap/>
            <w:vAlign w:val="bottom"/>
            <w:hideMark/>
          </w:tcPr>
          <w:p w14:paraId="1CEEA243"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0.644 </w:t>
            </w:r>
          </w:p>
        </w:tc>
      </w:tr>
      <w:tr w:rsidR="00C92CD8" w14:paraId="77C74543"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17CFA371"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686" w:type="dxa"/>
            <w:tcBorders>
              <w:top w:val="nil"/>
              <w:left w:val="single" w:sz="4" w:space="0" w:color="auto"/>
              <w:bottom w:val="nil"/>
              <w:right w:val="single" w:sz="4" w:space="0" w:color="auto"/>
            </w:tcBorders>
            <w:shd w:val="clear" w:color="auto" w:fill="auto"/>
            <w:noWrap/>
            <w:vAlign w:val="bottom"/>
            <w:hideMark/>
          </w:tcPr>
          <w:p w14:paraId="13BDEA04"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12.275 </w:t>
            </w:r>
          </w:p>
        </w:tc>
      </w:tr>
      <w:tr w:rsidR="00C92CD8" w14:paraId="6F742BF6"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32B902D1"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686" w:type="dxa"/>
            <w:tcBorders>
              <w:top w:val="nil"/>
              <w:left w:val="single" w:sz="4" w:space="0" w:color="auto"/>
              <w:bottom w:val="nil"/>
              <w:right w:val="single" w:sz="4" w:space="0" w:color="auto"/>
            </w:tcBorders>
            <w:shd w:val="clear" w:color="auto" w:fill="auto"/>
            <w:noWrap/>
            <w:vAlign w:val="bottom"/>
            <w:hideMark/>
          </w:tcPr>
          <w:p w14:paraId="7EADDFEB"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6.278 </w:t>
            </w:r>
          </w:p>
        </w:tc>
      </w:tr>
      <w:tr w:rsidR="00C92CD8" w14:paraId="794000CD"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56C7644B"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686" w:type="dxa"/>
            <w:tcBorders>
              <w:top w:val="nil"/>
              <w:left w:val="single" w:sz="4" w:space="0" w:color="auto"/>
              <w:bottom w:val="nil"/>
              <w:right w:val="single" w:sz="4" w:space="0" w:color="auto"/>
            </w:tcBorders>
            <w:shd w:val="clear" w:color="auto" w:fill="auto"/>
            <w:noWrap/>
            <w:vAlign w:val="bottom"/>
            <w:hideMark/>
          </w:tcPr>
          <w:p w14:paraId="3A5F68B0"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55F889B8"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276BA2A6"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686" w:type="dxa"/>
            <w:tcBorders>
              <w:top w:val="nil"/>
              <w:left w:val="single" w:sz="4" w:space="0" w:color="auto"/>
              <w:bottom w:val="nil"/>
              <w:right w:val="single" w:sz="4" w:space="0" w:color="auto"/>
            </w:tcBorders>
            <w:shd w:val="clear" w:color="auto" w:fill="auto"/>
            <w:noWrap/>
            <w:vAlign w:val="bottom"/>
            <w:hideMark/>
          </w:tcPr>
          <w:p w14:paraId="674B7C9D"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4B7AFA0A"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3AC84D42"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686" w:type="dxa"/>
            <w:tcBorders>
              <w:top w:val="nil"/>
              <w:left w:val="single" w:sz="4" w:space="0" w:color="auto"/>
              <w:bottom w:val="nil"/>
              <w:right w:val="single" w:sz="4" w:space="0" w:color="auto"/>
            </w:tcBorders>
            <w:shd w:val="clear" w:color="auto" w:fill="auto"/>
            <w:noWrap/>
            <w:vAlign w:val="bottom"/>
            <w:hideMark/>
          </w:tcPr>
          <w:p w14:paraId="3148A8A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0.028 </w:t>
            </w:r>
          </w:p>
        </w:tc>
      </w:tr>
      <w:tr w:rsidR="00C92CD8" w14:paraId="1420A597"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7D736A3"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686" w:type="dxa"/>
            <w:tcBorders>
              <w:top w:val="nil"/>
              <w:left w:val="single" w:sz="4" w:space="0" w:color="auto"/>
              <w:bottom w:val="nil"/>
              <w:right w:val="single" w:sz="4" w:space="0" w:color="auto"/>
            </w:tcBorders>
            <w:shd w:val="clear" w:color="auto" w:fill="auto"/>
            <w:noWrap/>
            <w:vAlign w:val="bottom"/>
            <w:hideMark/>
          </w:tcPr>
          <w:p w14:paraId="2657DF5C"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83.919 </w:t>
            </w:r>
          </w:p>
        </w:tc>
      </w:tr>
      <w:tr w:rsidR="00C92CD8" w14:paraId="4C3F0115"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37D4B2D"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bottom"/>
            <w:hideMark/>
          </w:tcPr>
          <w:p w14:paraId="38B9D577"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1B2DF367"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28196E14"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686" w:type="dxa"/>
            <w:tcBorders>
              <w:top w:val="nil"/>
              <w:left w:val="single" w:sz="4" w:space="0" w:color="auto"/>
              <w:bottom w:val="nil"/>
              <w:right w:val="single" w:sz="4" w:space="0" w:color="auto"/>
            </w:tcBorders>
            <w:shd w:val="clear" w:color="auto" w:fill="auto"/>
            <w:noWrap/>
            <w:vAlign w:val="bottom"/>
            <w:hideMark/>
          </w:tcPr>
          <w:p w14:paraId="72A0BADF"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642E1B1C"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CDF6998"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686" w:type="dxa"/>
            <w:tcBorders>
              <w:top w:val="nil"/>
              <w:left w:val="single" w:sz="4" w:space="0" w:color="auto"/>
              <w:bottom w:val="nil"/>
              <w:right w:val="single" w:sz="4" w:space="0" w:color="auto"/>
            </w:tcBorders>
            <w:shd w:val="clear" w:color="auto" w:fill="auto"/>
            <w:noWrap/>
            <w:vAlign w:val="bottom"/>
            <w:hideMark/>
          </w:tcPr>
          <w:p w14:paraId="31E2C862"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4.799 </w:t>
            </w:r>
          </w:p>
        </w:tc>
      </w:tr>
      <w:tr w:rsidR="00C92CD8" w14:paraId="17021E63"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57D2F443"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686" w:type="dxa"/>
            <w:tcBorders>
              <w:top w:val="nil"/>
              <w:left w:val="single" w:sz="4" w:space="0" w:color="auto"/>
              <w:bottom w:val="nil"/>
              <w:right w:val="single" w:sz="4" w:space="0" w:color="auto"/>
            </w:tcBorders>
            <w:shd w:val="clear" w:color="auto" w:fill="auto"/>
            <w:noWrap/>
            <w:vAlign w:val="bottom"/>
            <w:hideMark/>
          </w:tcPr>
          <w:p w14:paraId="52F1882E"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6.912 </w:t>
            </w:r>
          </w:p>
        </w:tc>
      </w:tr>
      <w:tr w:rsidR="00C92CD8" w14:paraId="720EFE40"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7546EFE"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686" w:type="dxa"/>
            <w:tcBorders>
              <w:top w:val="nil"/>
              <w:left w:val="single" w:sz="4" w:space="0" w:color="auto"/>
              <w:bottom w:val="nil"/>
              <w:right w:val="single" w:sz="4" w:space="0" w:color="auto"/>
            </w:tcBorders>
            <w:shd w:val="clear" w:color="auto" w:fill="auto"/>
            <w:noWrap/>
            <w:vAlign w:val="bottom"/>
            <w:hideMark/>
          </w:tcPr>
          <w:p w14:paraId="0D32D481"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25CC4AEC"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43CCF97"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686" w:type="dxa"/>
            <w:tcBorders>
              <w:top w:val="nil"/>
              <w:left w:val="single" w:sz="4" w:space="0" w:color="auto"/>
              <w:bottom w:val="nil"/>
              <w:right w:val="single" w:sz="4" w:space="0" w:color="auto"/>
            </w:tcBorders>
            <w:shd w:val="clear" w:color="auto" w:fill="auto"/>
            <w:noWrap/>
            <w:vAlign w:val="bottom"/>
            <w:hideMark/>
          </w:tcPr>
          <w:p w14:paraId="6BF4B4E3" w14:textId="2286B451" w:rsidR="00146FD5" w:rsidRPr="00CE2155" w:rsidRDefault="004A7A82" w:rsidP="00B97332">
            <w:pPr>
              <w:jc w:val="right"/>
              <w:rPr>
                <w:rFonts w:eastAsia="Times New Roman" w:cs="Arial"/>
                <w:color w:val="000000"/>
              </w:rPr>
            </w:pPr>
            <w:r w:rsidRPr="00CE2155">
              <w:rPr>
                <w:rFonts w:eastAsia="Times New Roman" w:cs="Arial"/>
                <w:color w:val="000000"/>
              </w:rPr>
              <w:t xml:space="preserve">                                     21.39</w:t>
            </w:r>
            <w:r w:rsidR="003C0BB1">
              <w:rPr>
                <w:rFonts w:eastAsia="Times New Roman" w:cs="Arial"/>
                <w:color w:val="000000"/>
              </w:rPr>
              <w:t>3</w:t>
            </w:r>
            <w:r w:rsidRPr="00CE2155">
              <w:rPr>
                <w:rFonts w:eastAsia="Times New Roman" w:cs="Arial"/>
                <w:color w:val="000000"/>
              </w:rPr>
              <w:t xml:space="preserve"> </w:t>
            </w:r>
          </w:p>
        </w:tc>
      </w:tr>
      <w:tr w:rsidR="00C92CD8" w14:paraId="4D165239"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29630D49"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686" w:type="dxa"/>
            <w:tcBorders>
              <w:top w:val="nil"/>
              <w:left w:val="single" w:sz="4" w:space="0" w:color="auto"/>
              <w:bottom w:val="nil"/>
              <w:right w:val="single" w:sz="4" w:space="0" w:color="auto"/>
            </w:tcBorders>
            <w:shd w:val="clear" w:color="auto" w:fill="auto"/>
            <w:noWrap/>
            <w:vAlign w:val="bottom"/>
            <w:hideMark/>
          </w:tcPr>
          <w:p w14:paraId="5801834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1.578 </w:t>
            </w:r>
          </w:p>
        </w:tc>
      </w:tr>
      <w:tr w:rsidR="00C92CD8" w14:paraId="4849B983"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6C5D3237"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686" w:type="dxa"/>
            <w:tcBorders>
              <w:top w:val="nil"/>
              <w:left w:val="single" w:sz="4" w:space="0" w:color="auto"/>
              <w:bottom w:val="nil"/>
              <w:right w:val="single" w:sz="4" w:space="0" w:color="auto"/>
            </w:tcBorders>
            <w:shd w:val="clear" w:color="auto" w:fill="auto"/>
            <w:noWrap/>
            <w:vAlign w:val="bottom"/>
            <w:hideMark/>
          </w:tcPr>
          <w:p w14:paraId="4E5C5C32" w14:textId="090BE225"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34.68</w:t>
            </w:r>
            <w:r w:rsidR="003C0BB1">
              <w:rPr>
                <w:rFonts w:eastAsia="Times New Roman" w:cs="Arial"/>
                <w:b/>
                <w:bCs/>
                <w:color w:val="000000"/>
              </w:rPr>
              <w:t>2</w:t>
            </w:r>
            <w:r w:rsidRPr="00CE2155">
              <w:rPr>
                <w:rFonts w:eastAsia="Times New Roman" w:cs="Arial"/>
                <w:b/>
                <w:bCs/>
                <w:color w:val="000000"/>
              </w:rPr>
              <w:t xml:space="preserve"> </w:t>
            </w:r>
          </w:p>
        </w:tc>
      </w:tr>
      <w:tr w:rsidR="00C92CD8" w14:paraId="2BD5FB3C"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F5EBE24"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bottom"/>
            <w:hideMark/>
          </w:tcPr>
          <w:p w14:paraId="00B145F8"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7D2D22D4" w14:textId="77777777" w:rsidTr="00B97332">
        <w:trPr>
          <w:trHeight w:val="300"/>
        </w:trPr>
        <w:tc>
          <w:tcPr>
            <w:tcW w:w="5245" w:type="dxa"/>
            <w:tcBorders>
              <w:top w:val="single" w:sz="4" w:space="0" w:color="auto"/>
              <w:left w:val="single" w:sz="4" w:space="0" w:color="auto"/>
              <w:bottom w:val="single" w:sz="4" w:space="0" w:color="auto"/>
              <w:right w:val="nil"/>
            </w:tcBorders>
            <w:shd w:val="clear" w:color="auto" w:fill="auto"/>
            <w:noWrap/>
            <w:vAlign w:val="center"/>
            <w:hideMark/>
          </w:tcPr>
          <w:p w14:paraId="4B13F2DB"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89A87"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49.236 </w:t>
            </w:r>
          </w:p>
        </w:tc>
      </w:tr>
    </w:tbl>
    <w:p w14:paraId="479E0D89" w14:textId="77777777" w:rsidR="00146FD5" w:rsidRPr="00CE2155" w:rsidRDefault="004A7A82" w:rsidP="00146FD5">
      <w:pPr>
        <w:rPr>
          <w:rFonts w:cs="Arial"/>
        </w:rPr>
      </w:pPr>
      <w:r w:rsidRPr="00CE2155">
        <w:rPr>
          <w:rFonts w:cs="Arial"/>
        </w:rPr>
        <w:br w:type="page"/>
      </w:r>
    </w:p>
    <w:tbl>
      <w:tblPr>
        <w:tblW w:w="8931" w:type="dxa"/>
        <w:tblLook w:val="04A0" w:firstRow="1" w:lastRow="0" w:firstColumn="1" w:lastColumn="0" w:noHBand="0" w:noVBand="1"/>
      </w:tblPr>
      <w:tblGrid>
        <w:gridCol w:w="5245"/>
        <w:gridCol w:w="3686"/>
      </w:tblGrid>
      <w:tr w:rsidR="00C92CD8" w14:paraId="61011889" w14:textId="77777777" w:rsidTr="00B97332">
        <w:trPr>
          <w:trHeight w:val="300"/>
        </w:trPr>
        <w:tc>
          <w:tcPr>
            <w:tcW w:w="8931" w:type="dxa"/>
            <w:gridSpan w:val="2"/>
            <w:tcBorders>
              <w:top w:val="nil"/>
              <w:left w:val="nil"/>
              <w:bottom w:val="nil"/>
              <w:right w:val="nil"/>
            </w:tcBorders>
            <w:shd w:val="clear" w:color="auto" w:fill="auto"/>
            <w:noWrap/>
            <w:vAlign w:val="bottom"/>
            <w:hideMark/>
          </w:tcPr>
          <w:p w14:paraId="157A179D" w14:textId="77777777" w:rsidR="00146FD5" w:rsidRDefault="004A7A82" w:rsidP="00B97332">
            <w:pPr>
              <w:rPr>
                <w:rFonts w:eastAsia="Times New Roman" w:cs="Arial"/>
                <w:b/>
                <w:bCs/>
                <w:color w:val="000000"/>
                <w:u w:val="single"/>
              </w:rPr>
            </w:pPr>
            <w:r>
              <w:rPr>
                <w:rFonts w:eastAsia="Times New Roman" w:cs="Arial"/>
                <w:b/>
                <w:bCs/>
                <w:color w:val="000000"/>
                <w:u w:val="single"/>
              </w:rPr>
              <w:lastRenderedPageBreak/>
              <w:t xml:space="preserve">2.3 </w:t>
            </w:r>
            <w:r w:rsidRPr="00CE2155">
              <w:rPr>
                <w:rFonts w:eastAsia="Times New Roman" w:cs="Arial"/>
                <w:b/>
                <w:bCs/>
                <w:color w:val="000000"/>
                <w:u w:val="single"/>
              </w:rPr>
              <w:t>Education and Children's Services</w:t>
            </w:r>
          </w:p>
          <w:p w14:paraId="07E8A985" w14:textId="77777777" w:rsidR="00146FD5" w:rsidRDefault="00146FD5" w:rsidP="00B97332">
            <w:pPr>
              <w:rPr>
                <w:rFonts w:eastAsia="Times New Roman" w:cs="Arial"/>
                <w:b/>
                <w:bCs/>
                <w:color w:val="000000"/>
                <w:u w:val="single"/>
              </w:rPr>
            </w:pPr>
          </w:p>
          <w:p w14:paraId="03BC11BC" w14:textId="77777777" w:rsidR="00146FD5" w:rsidRPr="00CE2155" w:rsidRDefault="00146FD5" w:rsidP="00B97332">
            <w:pPr>
              <w:rPr>
                <w:rFonts w:eastAsia="Times New Roman" w:cs="Arial"/>
                <w:b/>
                <w:bCs/>
                <w:color w:val="000000"/>
                <w:u w:val="single"/>
              </w:rPr>
            </w:pPr>
          </w:p>
        </w:tc>
      </w:tr>
      <w:tr w:rsidR="00C92CD8" w14:paraId="622C5B4D" w14:textId="77777777" w:rsidTr="00B97332">
        <w:trPr>
          <w:trHeight w:val="600"/>
        </w:trPr>
        <w:tc>
          <w:tcPr>
            <w:tcW w:w="5245" w:type="dxa"/>
            <w:tcBorders>
              <w:top w:val="single" w:sz="4" w:space="0" w:color="auto"/>
              <w:left w:val="single" w:sz="4" w:space="0" w:color="auto"/>
              <w:bottom w:val="single" w:sz="4" w:space="0" w:color="auto"/>
              <w:right w:val="nil"/>
            </w:tcBorders>
            <w:shd w:val="clear" w:color="auto" w:fill="auto"/>
            <w:noWrap/>
            <w:vAlign w:val="bottom"/>
            <w:hideMark/>
          </w:tcPr>
          <w:p w14:paraId="0217254D"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EB32B"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2456FC44" w14:textId="77777777" w:rsidTr="00B97332">
        <w:trPr>
          <w:trHeight w:val="300"/>
        </w:trPr>
        <w:tc>
          <w:tcPr>
            <w:tcW w:w="5245" w:type="dxa"/>
            <w:tcBorders>
              <w:top w:val="nil"/>
              <w:left w:val="single" w:sz="4" w:space="0" w:color="auto"/>
              <w:bottom w:val="nil"/>
              <w:right w:val="nil"/>
            </w:tcBorders>
            <w:shd w:val="clear" w:color="auto" w:fill="auto"/>
            <w:noWrap/>
            <w:vAlign w:val="bottom"/>
            <w:hideMark/>
          </w:tcPr>
          <w:p w14:paraId="5AB79248"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center"/>
            <w:hideMark/>
          </w:tcPr>
          <w:p w14:paraId="4F73B0EB"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32A7C446"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38188ED3"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686" w:type="dxa"/>
            <w:tcBorders>
              <w:top w:val="nil"/>
              <w:left w:val="single" w:sz="4" w:space="0" w:color="auto"/>
              <w:bottom w:val="nil"/>
              <w:right w:val="single" w:sz="4" w:space="0" w:color="auto"/>
            </w:tcBorders>
            <w:shd w:val="clear" w:color="auto" w:fill="auto"/>
            <w:noWrap/>
            <w:vAlign w:val="bottom"/>
            <w:hideMark/>
          </w:tcPr>
          <w:p w14:paraId="212C117E"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57027C53"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69217F6E"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686" w:type="dxa"/>
            <w:tcBorders>
              <w:top w:val="nil"/>
              <w:left w:val="single" w:sz="4" w:space="0" w:color="auto"/>
              <w:bottom w:val="nil"/>
              <w:right w:val="single" w:sz="4" w:space="0" w:color="auto"/>
            </w:tcBorders>
            <w:shd w:val="clear" w:color="auto" w:fill="auto"/>
            <w:noWrap/>
            <w:vAlign w:val="bottom"/>
            <w:hideMark/>
          </w:tcPr>
          <w:p w14:paraId="45227C2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17.160 </w:t>
            </w:r>
          </w:p>
        </w:tc>
      </w:tr>
      <w:tr w:rsidR="00C92CD8" w14:paraId="527944AA"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15685BEA"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686" w:type="dxa"/>
            <w:tcBorders>
              <w:top w:val="nil"/>
              <w:left w:val="single" w:sz="4" w:space="0" w:color="auto"/>
              <w:bottom w:val="nil"/>
              <w:right w:val="single" w:sz="4" w:space="0" w:color="auto"/>
            </w:tcBorders>
            <w:shd w:val="clear" w:color="auto" w:fill="auto"/>
            <w:noWrap/>
            <w:vAlign w:val="bottom"/>
            <w:hideMark/>
          </w:tcPr>
          <w:p w14:paraId="5F9AD8BA"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164CBEC4"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114C1995"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686" w:type="dxa"/>
            <w:tcBorders>
              <w:top w:val="nil"/>
              <w:left w:val="single" w:sz="4" w:space="0" w:color="auto"/>
              <w:bottom w:val="nil"/>
              <w:right w:val="single" w:sz="4" w:space="0" w:color="auto"/>
            </w:tcBorders>
            <w:shd w:val="clear" w:color="auto" w:fill="auto"/>
            <w:noWrap/>
            <w:vAlign w:val="bottom"/>
            <w:hideMark/>
          </w:tcPr>
          <w:p w14:paraId="2F7E2B3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0.137 </w:t>
            </w:r>
          </w:p>
        </w:tc>
      </w:tr>
      <w:tr w:rsidR="00C92CD8" w14:paraId="19301333"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193F1A41"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686" w:type="dxa"/>
            <w:tcBorders>
              <w:top w:val="nil"/>
              <w:left w:val="single" w:sz="4" w:space="0" w:color="auto"/>
              <w:bottom w:val="nil"/>
              <w:right w:val="single" w:sz="4" w:space="0" w:color="auto"/>
            </w:tcBorders>
            <w:shd w:val="clear" w:color="auto" w:fill="auto"/>
            <w:noWrap/>
            <w:vAlign w:val="bottom"/>
            <w:hideMark/>
          </w:tcPr>
          <w:p w14:paraId="24DEFA2B"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0.363 </w:t>
            </w:r>
          </w:p>
        </w:tc>
      </w:tr>
      <w:tr w:rsidR="00C92CD8" w14:paraId="778D131F"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645D3B41"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686" w:type="dxa"/>
            <w:tcBorders>
              <w:top w:val="nil"/>
              <w:left w:val="single" w:sz="4" w:space="0" w:color="auto"/>
              <w:bottom w:val="nil"/>
              <w:right w:val="single" w:sz="4" w:space="0" w:color="auto"/>
            </w:tcBorders>
            <w:shd w:val="clear" w:color="auto" w:fill="auto"/>
            <w:noWrap/>
            <w:vAlign w:val="bottom"/>
            <w:hideMark/>
          </w:tcPr>
          <w:p w14:paraId="67B72180"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31AEB36D"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7A23947A"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686" w:type="dxa"/>
            <w:tcBorders>
              <w:top w:val="nil"/>
              <w:left w:val="single" w:sz="4" w:space="0" w:color="auto"/>
              <w:bottom w:val="nil"/>
              <w:right w:val="single" w:sz="4" w:space="0" w:color="auto"/>
            </w:tcBorders>
            <w:shd w:val="clear" w:color="auto" w:fill="auto"/>
            <w:noWrap/>
            <w:vAlign w:val="bottom"/>
            <w:hideMark/>
          </w:tcPr>
          <w:p w14:paraId="4204153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0E9A591B"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16262B46"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686" w:type="dxa"/>
            <w:tcBorders>
              <w:top w:val="nil"/>
              <w:left w:val="single" w:sz="4" w:space="0" w:color="auto"/>
              <w:bottom w:val="nil"/>
              <w:right w:val="single" w:sz="4" w:space="0" w:color="auto"/>
            </w:tcBorders>
            <w:shd w:val="clear" w:color="auto" w:fill="auto"/>
            <w:noWrap/>
            <w:vAlign w:val="bottom"/>
            <w:hideMark/>
          </w:tcPr>
          <w:p w14:paraId="5156EBA1"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3B51A9A2"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52591D93"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686" w:type="dxa"/>
            <w:tcBorders>
              <w:top w:val="nil"/>
              <w:left w:val="single" w:sz="4" w:space="0" w:color="auto"/>
              <w:bottom w:val="nil"/>
              <w:right w:val="single" w:sz="4" w:space="0" w:color="auto"/>
            </w:tcBorders>
            <w:shd w:val="clear" w:color="auto" w:fill="auto"/>
            <w:noWrap/>
            <w:vAlign w:val="bottom"/>
            <w:hideMark/>
          </w:tcPr>
          <w:p w14:paraId="3FD0762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2.995 </w:t>
            </w:r>
          </w:p>
        </w:tc>
      </w:tr>
      <w:tr w:rsidR="00C92CD8" w14:paraId="68DFC0FC"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6E5822B"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686" w:type="dxa"/>
            <w:tcBorders>
              <w:top w:val="nil"/>
              <w:left w:val="single" w:sz="4" w:space="0" w:color="auto"/>
              <w:bottom w:val="nil"/>
              <w:right w:val="single" w:sz="4" w:space="0" w:color="auto"/>
            </w:tcBorders>
            <w:shd w:val="clear" w:color="auto" w:fill="auto"/>
            <w:noWrap/>
            <w:vAlign w:val="bottom"/>
            <w:hideMark/>
          </w:tcPr>
          <w:p w14:paraId="6DBF8F0C"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19.929 </w:t>
            </w:r>
          </w:p>
        </w:tc>
      </w:tr>
      <w:tr w:rsidR="00C92CD8" w14:paraId="6F1B4132"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6AFB66AD"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bottom"/>
            <w:hideMark/>
          </w:tcPr>
          <w:p w14:paraId="499EE09A"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3516E634"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03A0FF6C"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686" w:type="dxa"/>
            <w:tcBorders>
              <w:top w:val="nil"/>
              <w:left w:val="single" w:sz="4" w:space="0" w:color="auto"/>
              <w:bottom w:val="nil"/>
              <w:right w:val="single" w:sz="4" w:space="0" w:color="auto"/>
            </w:tcBorders>
            <w:shd w:val="clear" w:color="auto" w:fill="auto"/>
            <w:noWrap/>
            <w:vAlign w:val="bottom"/>
            <w:hideMark/>
          </w:tcPr>
          <w:p w14:paraId="52738735"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11C185AB"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A8A2C96"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686" w:type="dxa"/>
            <w:tcBorders>
              <w:top w:val="nil"/>
              <w:left w:val="single" w:sz="4" w:space="0" w:color="auto"/>
              <w:bottom w:val="nil"/>
              <w:right w:val="single" w:sz="4" w:space="0" w:color="auto"/>
            </w:tcBorders>
            <w:shd w:val="clear" w:color="auto" w:fill="auto"/>
            <w:noWrap/>
            <w:vAlign w:val="bottom"/>
            <w:hideMark/>
          </w:tcPr>
          <w:p w14:paraId="31DD4C36"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0.236 </w:t>
            </w:r>
          </w:p>
        </w:tc>
      </w:tr>
      <w:tr w:rsidR="00C92CD8" w14:paraId="21E6D1CD"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831A0A0"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686" w:type="dxa"/>
            <w:tcBorders>
              <w:top w:val="nil"/>
              <w:left w:val="single" w:sz="4" w:space="0" w:color="auto"/>
              <w:bottom w:val="nil"/>
              <w:right w:val="single" w:sz="4" w:space="0" w:color="auto"/>
            </w:tcBorders>
            <w:shd w:val="clear" w:color="auto" w:fill="auto"/>
            <w:noWrap/>
            <w:vAlign w:val="bottom"/>
            <w:hideMark/>
          </w:tcPr>
          <w:p w14:paraId="32EBFA1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0.725 </w:t>
            </w:r>
          </w:p>
        </w:tc>
      </w:tr>
      <w:tr w:rsidR="00C92CD8" w14:paraId="6403D89B"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2F0B5FD8"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686" w:type="dxa"/>
            <w:tcBorders>
              <w:top w:val="nil"/>
              <w:left w:val="single" w:sz="4" w:space="0" w:color="auto"/>
              <w:bottom w:val="nil"/>
              <w:right w:val="single" w:sz="4" w:space="0" w:color="auto"/>
            </w:tcBorders>
            <w:shd w:val="clear" w:color="auto" w:fill="auto"/>
            <w:noWrap/>
            <w:vAlign w:val="bottom"/>
            <w:hideMark/>
          </w:tcPr>
          <w:p w14:paraId="6268A80D"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6D19CD5D"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0299A301"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686" w:type="dxa"/>
            <w:tcBorders>
              <w:top w:val="nil"/>
              <w:left w:val="single" w:sz="4" w:space="0" w:color="auto"/>
              <w:bottom w:val="nil"/>
              <w:right w:val="single" w:sz="4" w:space="0" w:color="auto"/>
            </w:tcBorders>
            <w:shd w:val="clear" w:color="auto" w:fill="auto"/>
            <w:noWrap/>
            <w:vAlign w:val="bottom"/>
            <w:hideMark/>
          </w:tcPr>
          <w:p w14:paraId="5B0F180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7.314 </w:t>
            </w:r>
          </w:p>
        </w:tc>
      </w:tr>
      <w:tr w:rsidR="00C92CD8" w14:paraId="70894F14"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11E84D31"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686" w:type="dxa"/>
            <w:tcBorders>
              <w:top w:val="nil"/>
              <w:left w:val="single" w:sz="4" w:space="0" w:color="auto"/>
              <w:bottom w:val="nil"/>
              <w:right w:val="single" w:sz="4" w:space="0" w:color="auto"/>
            </w:tcBorders>
            <w:shd w:val="clear" w:color="auto" w:fill="auto"/>
            <w:noWrap/>
            <w:vAlign w:val="bottom"/>
            <w:hideMark/>
          </w:tcPr>
          <w:p w14:paraId="17E61391"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4B64DCCF"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5EABB550"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686" w:type="dxa"/>
            <w:tcBorders>
              <w:top w:val="nil"/>
              <w:left w:val="single" w:sz="4" w:space="0" w:color="auto"/>
              <w:bottom w:val="nil"/>
              <w:right w:val="single" w:sz="4" w:space="0" w:color="auto"/>
            </w:tcBorders>
            <w:shd w:val="clear" w:color="auto" w:fill="auto"/>
            <w:noWrap/>
            <w:vAlign w:val="bottom"/>
            <w:hideMark/>
          </w:tcPr>
          <w:p w14:paraId="7C57B26C"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8.275 </w:t>
            </w:r>
          </w:p>
        </w:tc>
      </w:tr>
      <w:tr w:rsidR="00C92CD8" w14:paraId="24BF1410"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7777C989"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bottom"/>
            <w:hideMark/>
          </w:tcPr>
          <w:p w14:paraId="497B92E4"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59C5AB8A" w14:textId="77777777" w:rsidTr="00B97332">
        <w:trPr>
          <w:trHeight w:val="300"/>
        </w:trPr>
        <w:tc>
          <w:tcPr>
            <w:tcW w:w="5245" w:type="dxa"/>
            <w:tcBorders>
              <w:top w:val="single" w:sz="4" w:space="0" w:color="auto"/>
              <w:left w:val="single" w:sz="4" w:space="0" w:color="auto"/>
              <w:bottom w:val="single" w:sz="4" w:space="0" w:color="auto"/>
              <w:right w:val="nil"/>
            </w:tcBorders>
            <w:shd w:val="clear" w:color="auto" w:fill="auto"/>
            <w:noWrap/>
            <w:vAlign w:val="center"/>
            <w:hideMark/>
          </w:tcPr>
          <w:p w14:paraId="51717E7B"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E1844"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11.654 </w:t>
            </w:r>
          </w:p>
        </w:tc>
      </w:tr>
    </w:tbl>
    <w:p w14:paraId="0F52A7E0" w14:textId="77777777" w:rsidR="00146FD5" w:rsidRPr="00CE2155" w:rsidRDefault="004A7A82" w:rsidP="00146FD5">
      <w:pPr>
        <w:rPr>
          <w:rFonts w:cs="Arial"/>
        </w:rPr>
      </w:pPr>
      <w:r w:rsidRPr="00CE2155">
        <w:rPr>
          <w:rFonts w:cs="Arial"/>
        </w:rPr>
        <w:br w:type="page"/>
      </w:r>
    </w:p>
    <w:tbl>
      <w:tblPr>
        <w:tblW w:w="8931" w:type="dxa"/>
        <w:tblLook w:val="04A0" w:firstRow="1" w:lastRow="0" w:firstColumn="1" w:lastColumn="0" w:noHBand="0" w:noVBand="1"/>
      </w:tblPr>
      <w:tblGrid>
        <w:gridCol w:w="5245"/>
        <w:gridCol w:w="3686"/>
      </w:tblGrid>
      <w:tr w:rsidR="00C92CD8" w14:paraId="280BC8F9" w14:textId="77777777" w:rsidTr="00B97332">
        <w:trPr>
          <w:trHeight w:val="300"/>
        </w:trPr>
        <w:tc>
          <w:tcPr>
            <w:tcW w:w="8931" w:type="dxa"/>
            <w:gridSpan w:val="2"/>
            <w:tcBorders>
              <w:top w:val="nil"/>
              <w:left w:val="nil"/>
              <w:bottom w:val="nil"/>
              <w:right w:val="nil"/>
            </w:tcBorders>
            <w:shd w:val="clear" w:color="auto" w:fill="auto"/>
            <w:noWrap/>
            <w:vAlign w:val="bottom"/>
            <w:hideMark/>
          </w:tcPr>
          <w:p w14:paraId="70FEEE93" w14:textId="77777777" w:rsidR="00146FD5" w:rsidRDefault="004A7A82" w:rsidP="00B97332">
            <w:pPr>
              <w:rPr>
                <w:rFonts w:eastAsia="Times New Roman" w:cs="Arial"/>
                <w:b/>
                <w:bCs/>
                <w:color w:val="000000"/>
                <w:u w:val="single"/>
              </w:rPr>
            </w:pPr>
            <w:r>
              <w:rPr>
                <w:rFonts w:eastAsia="Times New Roman" w:cs="Arial"/>
                <w:b/>
                <w:bCs/>
                <w:color w:val="000000"/>
                <w:u w:val="single"/>
              </w:rPr>
              <w:lastRenderedPageBreak/>
              <w:t xml:space="preserve">2.4 </w:t>
            </w:r>
            <w:r w:rsidRPr="00CE2155">
              <w:rPr>
                <w:rFonts w:eastAsia="Times New Roman" w:cs="Arial"/>
                <w:b/>
                <w:bCs/>
                <w:color w:val="000000"/>
                <w:u w:val="single"/>
              </w:rPr>
              <w:t>Director of Policy Commissioning and Children's Health</w:t>
            </w:r>
          </w:p>
          <w:p w14:paraId="2B0569DA" w14:textId="77777777" w:rsidR="000A5B26" w:rsidRDefault="000A5B26" w:rsidP="00B97332">
            <w:pPr>
              <w:rPr>
                <w:rFonts w:eastAsia="Times New Roman" w:cs="Arial"/>
                <w:b/>
                <w:bCs/>
                <w:color w:val="000000"/>
                <w:u w:val="single"/>
              </w:rPr>
            </w:pPr>
          </w:p>
          <w:p w14:paraId="7F137210" w14:textId="77777777" w:rsidR="00146FD5" w:rsidRPr="00CE2155" w:rsidRDefault="00146FD5" w:rsidP="00B97332">
            <w:pPr>
              <w:rPr>
                <w:rFonts w:eastAsia="Times New Roman" w:cs="Arial"/>
                <w:b/>
                <w:bCs/>
                <w:color w:val="000000"/>
                <w:u w:val="single"/>
              </w:rPr>
            </w:pPr>
          </w:p>
        </w:tc>
      </w:tr>
      <w:tr w:rsidR="00C92CD8" w14:paraId="34786283" w14:textId="77777777" w:rsidTr="00B97332">
        <w:trPr>
          <w:trHeight w:val="600"/>
        </w:trPr>
        <w:tc>
          <w:tcPr>
            <w:tcW w:w="5245" w:type="dxa"/>
            <w:tcBorders>
              <w:top w:val="single" w:sz="4" w:space="0" w:color="auto"/>
              <w:left w:val="single" w:sz="4" w:space="0" w:color="auto"/>
              <w:bottom w:val="single" w:sz="4" w:space="0" w:color="auto"/>
              <w:right w:val="nil"/>
            </w:tcBorders>
            <w:shd w:val="clear" w:color="auto" w:fill="auto"/>
            <w:noWrap/>
            <w:vAlign w:val="bottom"/>
            <w:hideMark/>
          </w:tcPr>
          <w:p w14:paraId="6729C75B"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1D22A"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06D94D07" w14:textId="77777777" w:rsidTr="00B97332">
        <w:trPr>
          <w:trHeight w:val="300"/>
        </w:trPr>
        <w:tc>
          <w:tcPr>
            <w:tcW w:w="5245" w:type="dxa"/>
            <w:tcBorders>
              <w:top w:val="nil"/>
              <w:left w:val="single" w:sz="4" w:space="0" w:color="auto"/>
              <w:bottom w:val="nil"/>
              <w:right w:val="nil"/>
            </w:tcBorders>
            <w:shd w:val="clear" w:color="auto" w:fill="auto"/>
            <w:noWrap/>
            <w:vAlign w:val="bottom"/>
            <w:hideMark/>
          </w:tcPr>
          <w:p w14:paraId="0967F97C"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center"/>
            <w:hideMark/>
          </w:tcPr>
          <w:p w14:paraId="74DABEDE"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043917BE"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596CBB1E"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686" w:type="dxa"/>
            <w:tcBorders>
              <w:top w:val="nil"/>
              <w:left w:val="single" w:sz="4" w:space="0" w:color="auto"/>
              <w:bottom w:val="nil"/>
              <w:right w:val="single" w:sz="4" w:space="0" w:color="auto"/>
            </w:tcBorders>
            <w:shd w:val="clear" w:color="auto" w:fill="auto"/>
            <w:noWrap/>
            <w:vAlign w:val="bottom"/>
            <w:hideMark/>
          </w:tcPr>
          <w:p w14:paraId="3B5342DE"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70783C03"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1D508661"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686" w:type="dxa"/>
            <w:tcBorders>
              <w:top w:val="nil"/>
              <w:left w:val="single" w:sz="4" w:space="0" w:color="auto"/>
              <w:bottom w:val="nil"/>
              <w:right w:val="single" w:sz="4" w:space="0" w:color="auto"/>
            </w:tcBorders>
            <w:shd w:val="clear" w:color="auto" w:fill="auto"/>
            <w:noWrap/>
            <w:vAlign w:val="bottom"/>
            <w:hideMark/>
          </w:tcPr>
          <w:p w14:paraId="353FED1D" w14:textId="18CC16FB" w:rsidR="00146FD5" w:rsidRPr="00CE2155" w:rsidRDefault="004A7A82" w:rsidP="00B97332">
            <w:pPr>
              <w:jc w:val="right"/>
              <w:rPr>
                <w:rFonts w:eastAsia="Times New Roman" w:cs="Arial"/>
                <w:color w:val="000000"/>
              </w:rPr>
            </w:pPr>
            <w:r w:rsidRPr="00CE2155">
              <w:rPr>
                <w:rFonts w:eastAsia="Times New Roman" w:cs="Arial"/>
                <w:color w:val="000000"/>
              </w:rPr>
              <w:t xml:space="preserve">                                       5.50</w:t>
            </w:r>
            <w:r w:rsidR="009115A2">
              <w:rPr>
                <w:rFonts w:eastAsia="Times New Roman" w:cs="Arial"/>
                <w:color w:val="000000"/>
              </w:rPr>
              <w:t>6</w:t>
            </w:r>
            <w:r w:rsidRPr="00CE2155">
              <w:rPr>
                <w:rFonts w:eastAsia="Times New Roman" w:cs="Arial"/>
                <w:color w:val="000000"/>
              </w:rPr>
              <w:t xml:space="preserve"> </w:t>
            </w:r>
          </w:p>
        </w:tc>
      </w:tr>
      <w:tr w:rsidR="00C92CD8" w14:paraId="7F705AC6"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FA32E0F"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686" w:type="dxa"/>
            <w:tcBorders>
              <w:top w:val="nil"/>
              <w:left w:val="single" w:sz="4" w:space="0" w:color="auto"/>
              <w:bottom w:val="nil"/>
              <w:right w:val="single" w:sz="4" w:space="0" w:color="auto"/>
            </w:tcBorders>
            <w:shd w:val="clear" w:color="auto" w:fill="auto"/>
            <w:noWrap/>
            <w:vAlign w:val="bottom"/>
            <w:hideMark/>
          </w:tcPr>
          <w:p w14:paraId="422ACFBD"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04B63C33"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14576B53"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686" w:type="dxa"/>
            <w:tcBorders>
              <w:top w:val="nil"/>
              <w:left w:val="single" w:sz="4" w:space="0" w:color="auto"/>
              <w:bottom w:val="nil"/>
              <w:right w:val="single" w:sz="4" w:space="0" w:color="auto"/>
            </w:tcBorders>
            <w:shd w:val="clear" w:color="auto" w:fill="auto"/>
            <w:noWrap/>
            <w:vAlign w:val="bottom"/>
            <w:hideMark/>
          </w:tcPr>
          <w:p w14:paraId="78BCF955"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0.002 </w:t>
            </w:r>
          </w:p>
        </w:tc>
      </w:tr>
      <w:tr w:rsidR="00C92CD8" w14:paraId="21F6BD2B"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5E302FFD"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686" w:type="dxa"/>
            <w:tcBorders>
              <w:top w:val="nil"/>
              <w:left w:val="single" w:sz="4" w:space="0" w:color="auto"/>
              <w:bottom w:val="nil"/>
              <w:right w:val="single" w:sz="4" w:space="0" w:color="auto"/>
            </w:tcBorders>
            <w:shd w:val="clear" w:color="auto" w:fill="auto"/>
            <w:noWrap/>
            <w:vAlign w:val="bottom"/>
            <w:hideMark/>
          </w:tcPr>
          <w:p w14:paraId="79ADF75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5.053 </w:t>
            </w:r>
          </w:p>
        </w:tc>
      </w:tr>
      <w:tr w:rsidR="00C92CD8" w14:paraId="523C40DA"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11C3D824"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686" w:type="dxa"/>
            <w:tcBorders>
              <w:top w:val="nil"/>
              <w:left w:val="single" w:sz="4" w:space="0" w:color="auto"/>
              <w:bottom w:val="nil"/>
              <w:right w:val="single" w:sz="4" w:space="0" w:color="auto"/>
            </w:tcBorders>
            <w:shd w:val="clear" w:color="auto" w:fill="auto"/>
            <w:noWrap/>
            <w:vAlign w:val="bottom"/>
            <w:hideMark/>
          </w:tcPr>
          <w:p w14:paraId="2147956D"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0.585 </w:t>
            </w:r>
          </w:p>
        </w:tc>
      </w:tr>
      <w:tr w:rsidR="00C92CD8" w14:paraId="6E8123AF"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6C90C542"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686" w:type="dxa"/>
            <w:tcBorders>
              <w:top w:val="nil"/>
              <w:left w:val="single" w:sz="4" w:space="0" w:color="auto"/>
              <w:bottom w:val="nil"/>
              <w:right w:val="single" w:sz="4" w:space="0" w:color="auto"/>
            </w:tcBorders>
            <w:shd w:val="clear" w:color="auto" w:fill="auto"/>
            <w:noWrap/>
            <w:vAlign w:val="bottom"/>
            <w:hideMark/>
          </w:tcPr>
          <w:p w14:paraId="08EC5B8F"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0.200 </w:t>
            </w:r>
          </w:p>
        </w:tc>
      </w:tr>
      <w:tr w:rsidR="00C92CD8" w14:paraId="41B21355"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6B42ED41"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686" w:type="dxa"/>
            <w:tcBorders>
              <w:top w:val="nil"/>
              <w:left w:val="single" w:sz="4" w:space="0" w:color="auto"/>
              <w:bottom w:val="nil"/>
              <w:right w:val="single" w:sz="4" w:space="0" w:color="auto"/>
            </w:tcBorders>
            <w:shd w:val="clear" w:color="auto" w:fill="auto"/>
            <w:noWrap/>
            <w:vAlign w:val="bottom"/>
            <w:hideMark/>
          </w:tcPr>
          <w:p w14:paraId="0194BA0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3BA6D50D"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679C8DD4"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686" w:type="dxa"/>
            <w:tcBorders>
              <w:top w:val="nil"/>
              <w:left w:val="single" w:sz="4" w:space="0" w:color="auto"/>
              <w:bottom w:val="nil"/>
              <w:right w:val="single" w:sz="4" w:space="0" w:color="auto"/>
            </w:tcBorders>
            <w:shd w:val="clear" w:color="auto" w:fill="auto"/>
            <w:noWrap/>
            <w:vAlign w:val="bottom"/>
            <w:hideMark/>
          </w:tcPr>
          <w:p w14:paraId="7BF9DD2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12E8CA95"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0A481523"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686" w:type="dxa"/>
            <w:tcBorders>
              <w:top w:val="nil"/>
              <w:left w:val="single" w:sz="4" w:space="0" w:color="auto"/>
              <w:bottom w:val="nil"/>
              <w:right w:val="single" w:sz="4" w:space="0" w:color="auto"/>
            </w:tcBorders>
            <w:shd w:val="clear" w:color="auto" w:fill="auto"/>
            <w:noWrap/>
            <w:vAlign w:val="bottom"/>
            <w:hideMark/>
          </w:tcPr>
          <w:p w14:paraId="0A5FA926" w14:textId="1ED720AC"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11.34</w:t>
            </w:r>
            <w:r w:rsidR="009115A2">
              <w:rPr>
                <w:rFonts w:eastAsia="Times New Roman" w:cs="Arial"/>
                <w:b/>
                <w:bCs/>
                <w:color w:val="000000"/>
              </w:rPr>
              <w:t>6</w:t>
            </w:r>
            <w:r w:rsidRPr="00CE2155">
              <w:rPr>
                <w:rFonts w:eastAsia="Times New Roman" w:cs="Arial"/>
                <w:b/>
                <w:bCs/>
                <w:color w:val="000000"/>
              </w:rPr>
              <w:t xml:space="preserve"> </w:t>
            </w:r>
          </w:p>
        </w:tc>
      </w:tr>
      <w:tr w:rsidR="00C92CD8" w14:paraId="394AAFD1"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07B07D51"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bottom"/>
            <w:hideMark/>
          </w:tcPr>
          <w:p w14:paraId="18C42EF8"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0CA449E6"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0147C8F6"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686" w:type="dxa"/>
            <w:tcBorders>
              <w:top w:val="nil"/>
              <w:left w:val="single" w:sz="4" w:space="0" w:color="auto"/>
              <w:bottom w:val="nil"/>
              <w:right w:val="single" w:sz="4" w:space="0" w:color="auto"/>
            </w:tcBorders>
            <w:shd w:val="clear" w:color="auto" w:fill="auto"/>
            <w:noWrap/>
            <w:vAlign w:val="bottom"/>
            <w:hideMark/>
          </w:tcPr>
          <w:p w14:paraId="39F5254A"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08805502"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15B3BC79"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686" w:type="dxa"/>
            <w:tcBorders>
              <w:top w:val="nil"/>
              <w:left w:val="single" w:sz="4" w:space="0" w:color="auto"/>
              <w:bottom w:val="nil"/>
              <w:right w:val="single" w:sz="4" w:space="0" w:color="auto"/>
            </w:tcBorders>
            <w:shd w:val="clear" w:color="auto" w:fill="auto"/>
            <w:noWrap/>
            <w:vAlign w:val="bottom"/>
            <w:hideMark/>
          </w:tcPr>
          <w:p w14:paraId="2B521F1D"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09BB2EE2"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3E49ED6B"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686" w:type="dxa"/>
            <w:tcBorders>
              <w:top w:val="nil"/>
              <w:left w:val="single" w:sz="4" w:space="0" w:color="auto"/>
              <w:bottom w:val="nil"/>
              <w:right w:val="single" w:sz="4" w:space="0" w:color="auto"/>
            </w:tcBorders>
            <w:shd w:val="clear" w:color="auto" w:fill="auto"/>
            <w:noWrap/>
            <w:vAlign w:val="bottom"/>
            <w:hideMark/>
          </w:tcPr>
          <w:p w14:paraId="3525E47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2.493 </w:t>
            </w:r>
          </w:p>
        </w:tc>
      </w:tr>
      <w:tr w:rsidR="00C92CD8" w14:paraId="27983C0C"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6D0252AA"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686" w:type="dxa"/>
            <w:tcBorders>
              <w:top w:val="nil"/>
              <w:left w:val="single" w:sz="4" w:space="0" w:color="auto"/>
              <w:bottom w:val="nil"/>
              <w:right w:val="single" w:sz="4" w:space="0" w:color="auto"/>
            </w:tcBorders>
            <w:shd w:val="clear" w:color="auto" w:fill="auto"/>
            <w:noWrap/>
            <w:vAlign w:val="bottom"/>
            <w:hideMark/>
          </w:tcPr>
          <w:p w14:paraId="0D2A374D"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11583795"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16445F3F"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686" w:type="dxa"/>
            <w:tcBorders>
              <w:top w:val="nil"/>
              <w:left w:val="single" w:sz="4" w:space="0" w:color="auto"/>
              <w:bottom w:val="nil"/>
              <w:right w:val="single" w:sz="4" w:space="0" w:color="auto"/>
            </w:tcBorders>
            <w:shd w:val="clear" w:color="auto" w:fill="auto"/>
            <w:noWrap/>
            <w:vAlign w:val="bottom"/>
            <w:hideMark/>
          </w:tcPr>
          <w:p w14:paraId="5806A0EB"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0.145 </w:t>
            </w:r>
          </w:p>
        </w:tc>
      </w:tr>
      <w:tr w:rsidR="00C92CD8" w14:paraId="433102E4"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00590B4D"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686" w:type="dxa"/>
            <w:tcBorders>
              <w:top w:val="nil"/>
              <w:left w:val="single" w:sz="4" w:space="0" w:color="auto"/>
              <w:bottom w:val="nil"/>
              <w:right w:val="single" w:sz="4" w:space="0" w:color="auto"/>
            </w:tcBorders>
            <w:shd w:val="clear" w:color="auto" w:fill="auto"/>
            <w:noWrap/>
            <w:vAlign w:val="bottom"/>
            <w:hideMark/>
          </w:tcPr>
          <w:p w14:paraId="731336FA" w14:textId="1A1A0B4D" w:rsidR="00146FD5" w:rsidRPr="00CE2155" w:rsidRDefault="004A7A82" w:rsidP="00B97332">
            <w:pPr>
              <w:jc w:val="right"/>
              <w:rPr>
                <w:rFonts w:eastAsia="Times New Roman" w:cs="Arial"/>
                <w:color w:val="000000"/>
              </w:rPr>
            </w:pPr>
            <w:r w:rsidRPr="00CE2155">
              <w:rPr>
                <w:rFonts w:eastAsia="Times New Roman" w:cs="Arial"/>
                <w:color w:val="000000"/>
              </w:rPr>
              <w:t xml:space="preserve">                                       6.80</w:t>
            </w:r>
            <w:r w:rsidR="009115A2">
              <w:rPr>
                <w:rFonts w:eastAsia="Times New Roman" w:cs="Arial"/>
                <w:color w:val="000000"/>
              </w:rPr>
              <w:t>4</w:t>
            </w:r>
            <w:r w:rsidRPr="00CE2155">
              <w:rPr>
                <w:rFonts w:eastAsia="Times New Roman" w:cs="Arial"/>
                <w:color w:val="000000"/>
              </w:rPr>
              <w:t xml:space="preserve"> </w:t>
            </w:r>
          </w:p>
        </w:tc>
      </w:tr>
      <w:tr w:rsidR="00C92CD8" w14:paraId="1F73588C"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A48C69C"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686" w:type="dxa"/>
            <w:tcBorders>
              <w:top w:val="nil"/>
              <w:left w:val="single" w:sz="4" w:space="0" w:color="auto"/>
              <w:bottom w:val="nil"/>
              <w:right w:val="single" w:sz="4" w:space="0" w:color="auto"/>
            </w:tcBorders>
            <w:shd w:val="clear" w:color="auto" w:fill="auto"/>
            <w:noWrap/>
            <w:vAlign w:val="bottom"/>
            <w:hideMark/>
          </w:tcPr>
          <w:p w14:paraId="64F82A15" w14:textId="039491E3"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9.44</w:t>
            </w:r>
            <w:r w:rsidR="009115A2">
              <w:rPr>
                <w:rFonts w:eastAsia="Times New Roman" w:cs="Arial"/>
                <w:b/>
                <w:bCs/>
                <w:color w:val="000000"/>
              </w:rPr>
              <w:t>2</w:t>
            </w:r>
            <w:r w:rsidRPr="00CE2155">
              <w:rPr>
                <w:rFonts w:eastAsia="Times New Roman" w:cs="Arial"/>
                <w:b/>
                <w:bCs/>
                <w:color w:val="000000"/>
              </w:rPr>
              <w:t xml:space="preserve"> </w:t>
            </w:r>
          </w:p>
        </w:tc>
      </w:tr>
      <w:tr w:rsidR="00C92CD8" w14:paraId="0C4BC166"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2718C26F"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bottom"/>
            <w:hideMark/>
          </w:tcPr>
          <w:p w14:paraId="7BE7F26A"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1B951C8A" w14:textId="77777777" w:rsidTr="00B97332">
        <w:trPr>
          <w:trHeight w:val="300"/>
        </w:trPr>
        <w:tc>
          <w:tcPr>
            <w:tcW w:w="5245" w:type="dxa"/>
            <w:tcBorders>
              <w:top w:val="single" w:sz="4" w:space="0" w:color="auto"/>
              <w:left w:val="single" w:sz="4" w:space="0" w:color="auto"/>
              <w:bottom w:val="single" w:sz="4" w:space="0" w:color="auto"/>
              <w:right w:val="nil"/>
            </w:tcBorders>
            <w:shd w:val="clear" w:color="auto" w:fill="auto"/>
            <w:noWrap/>
            <w:vAlign w:val="center"/>
            <w:hideMark/>
          </w:tcPr>
          <w:p w14:paraId="51472751"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C3049"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1.904 </w:t>
            </w:r>
          </w:p>
        </w:tc>
      </w:tr>
    </w:tbl>
    <w:p w14:paraId="4274A091" w14:textId="77777777" w:rsidR="00146FD5" w:rsidRDefault="00146FD5" w:rsidP="00146FD5">
      <w:pPr>
        <w:rPr>
          <w:rFonts w:cs="Arial"/>
        </w:rPr>
      </w:pPr>
    </w:p>
    <w:p w14:paraId="0F40AAA1" w14:textId="77777777" w:rsidR="00146FD5" w:rsidRDefault="00146FD5" w:rsidP="00146FD5">
      <w:pPr>
        <w:rPr>
          <w:rFonts w:cs="Arial"/>
        </w:rPr>
      </w:pPr>
    </w:p>
    <w:p w14:paraId="3EDE8EB2" w14:textId="77777777" w:rsidR="00146FD5" w:rsidRDefault="00146FD5" w:rsidP="00146FD5">
      <w:pPr>
        <w:rPr>
          <w:rFonts w:cs="Arial"/>
        </w:rPr>
      </w:pPr>
    </w:p>
    <w:p w14:paraId="7B1522F2" w14:textId="77777777" w:rsidR="00146FD5" w:rsidRDefault="00146FD5" w:rsidP="00146FD5">
      <w:pPr>
        <w:rPr>
          <w:rFonts w:cs="Arial"/>
        </w:rPr>
      </w:pPr>
    </w:p>
    <w:p w14:paraId="74EA8769" w14:textId="77777777" w:rsidR="00146FD5" w:rsidRDefault="00146FD5" w:rsidP="00146FD5">
      <w:pPr>
        <w:rPr>
          <w:rFonts w:cs="Arial"/>
        </w:rPr>
      </w:pPr>
    </w:p>
    <w:p w14:paraId="6459BDC1" w14:textId="77777777" w:rsidR="00146FD5" w:rsidRDefault="00146FD5" w:rsidP="00146FD5">
      <w:pPr>
        <w:rPr>
          <w:rFonts w:cs="Arial"/>
        </w:rPr>
      </w:pPr>
    </w:p>
    <w:p w14:paraId="61D183A1" w14:textId="77777777" w:rsidR="00146FD5" w:rsidRDefault="00146FD5" w:rsidP="00146FD5">
      <w:pPr>
        <w:rPr>
          <w:rFonts w:cs="Arial"/>
        </w:rPr>
      </w:pPr>
    </w:p>
    <w:p w14:paraId="3DB3B49E" w14:textId="77777777" w:rsidR="00146FD5" w:rsidRDefault="00146FD5" w:rsidP="00146FD5">
      <w:pPr>
        <w:rPr>
          <w:rFonts w:cs="Arial"/>
        </w:rPr>
      </w:pPr>
    </w:p>
    <w:p w14:paraId="3224F847" w14:textId="77777777" w:rsidR="00146FD5" w:rsidRDefault="00146FD5" w:rsidP="00146FD5">
      <w:pPr>
        <w:rPr>
          <w:rFonts w:cs="Arial"/>
        </w:rPr>
      </w:pPr>
    </w:p>
    <w:p w14:paraId="4F557E54" w14:textId="77777777" w:rsidR="00146FD5" w:rsidRDefault="00146FD5" w:rsidP="00146FD5">
      <w:pPr>
        <w:rPr>
          <w:rFonts w:cs="Arial"/>
        </w:rPr>
      </w:pPr>
    </w:p>
    <w:p w14:paraId="1DDC41BF" w14:textId="77777777" w:rsidR="00146FD5" w:rsidRDefault="00146FD5" w:rsidP="00146FD5">
      <w:pPr>
        <w:rPr>
          <w:rFonts w:cs="Arial"/>
        </w:rPr>
      </w:pPr>
    </w:p>
    <w:p w14:paraId="25D2FF13" w14:textId="77777777" w:rsidR="00146FD5" w:rsidRDefault="00146FD5" w:rsidP="00146FD5">
      <w:pPr>
        <w:rPr>
          <w:rFonts w:cs="Arial"/>
        </w:rPr>
      </w:pPr>
    </w:p>
    <w:p w14:paraId="2A9048B5" w14:textId="77777777" w:rsidR="00146FD5" w:rsidRDefault="00146FD5" w:rsidP="00146FD5">
      <w:pPr>
        <w:rPr>
          <w:rFonts w:cs="Arial"/>
        </w:rPr>
      </w:pPr>
    </w:p>
    <w:p w14:paraId="7C420232" w14:textId="77777777" w:rsidR="00146FD5" w:rsidRDefault="00146FD5" w:rsidP="00146FD5">
      <w:pPr>
        <w:rPr>
          <w:rFonts w:cs="Arial"/>
        </w:rPr>
      </w:pPr>
    </w:p>
    <w:p w14:paraId="0B5B2C15" w14:textId="77777777" w:rsidR="00146FD5" w:rsidRDefault="00146FD5" w:rsidP="00146FD5">
      <w:pPr>
        <w:rPr>
          <w:rFonts w:cs="Arial"/>
        </w:rPr>
      </w:pPr>
    </w:p>
    <w:p w14:paraId="43B6D51B" w14:textId="77777777" w:rsidR="00146FD5" w:rsidRDefault="00146FD5" w:rsidP="00146FD5">
      <w:pPr>
        <w:rPr>
          <w:rFonts w:cs="Arial"/>
        </w:rPr>
      </w:pPr>
    </w:p>
    <w:p w14:paraId="581A3E7B" w14:textId="77777777" w:rsidR="00146FD5" w:rsidRDefault="00146FD5" w:rsidP="00146FD5">
      <w:pPr>
        <w:rPr>
          <w:rFonts w:cs="Arial"/>
        </w:rPr>
      </w:pPr>
    </w:p>
    <w:p w14:paraId="01DBCE14" w14:textId="77777777" w:rsidR="00146FD5" w:rsidRDefault="00146FD5" w:rsidP="00146FD5">
      <w:pPr>
        <w:rPr>
          <w:rFonts w:cs="Arial"/>
        </w:rPr>
      </w:pPr>
    </w:p>
    <w:p w14:paraId="687D7D20" w14:textId="77777777" w:rsidR="00146FD5" w:rsidRDefault="00146FD5" w:rsidP="00146FD5">
      <w:pPr>
        <w:rPr>
          <w:rFonts w:cs="Arial"/>
        </w:rPr>
      </w:pPr>
    </w:p>
    <w:p w14:paraId="313626BF" w14:textId="77777777" w:rsidR="00146FD5" w:rsidRDefault="00146FD5" w:rsidP="00146FD5">
      <w:pPr>
        <w:rPr>
          <w:rFonts w:cs="Arial"/>
        </w:rPr>
      </w:pPr>
    </w:p>
    <w:p w14:paraId="05792A02" w14:textId="77777777" w:rsidR="00146FD5" w:rsidRDefault="00146FD5" w:rsidP="00146FD5">
      <w:pPr>
        <w:rPr>
          <w:rFonts w:cs="Arial"/>
        </w:rPr>
      </w:pPr>
    </w:p>
    <w:p w14:paraId="144D402F" w14:textId="77777777" w:rsidR="00146FD5" w:rsidRDefault="00146FD5" w:rsidP="00146FD5">
      <w:pPr>
        <w:rPr>
          <w:rFonts w:cs="Arial"/>
        </w:rPr>
      </w:pPr>
    </w:p>
    <w:p w14:paraId="72A3FA0D" w14:textId="77777777" w:rsidR="00146FD5" w:rsidRDefault="00146FD5" w:rsidP="00146FD5">
      <w:pPr>
        <w:rPr>
          <w:rFonts w:cs="Arial"/>
        </w:rPr>
      </w:pPr>
    </w:p>
    <w:p w14:paraId="17BCC0A8" w14:textId="19FF3204" w:rsidR="00146FD5" w:rsidRPr="00E8291D" w:rsidRDefault="004A7A82" w:rsidP="00146FD5">
      <w:pPr>
        <w:rPr>
          <w:rFonts w:cs="Arial"/>
          <w:b/>
          <w:bCs/>
          <w:u w:val="single"/>
        </w:rPr>
      </w:pPr>
      <w:r w:rsidRPr="00E8291D">
        <w:rPr>
          <w:rFonts w:cs="Arial"/>
          <w:b/>
          <w:bCs/>
          <w:u w:val="single"/>
        </w:rPr>
        <w:lastRenderedPageBreak/>
        <w:t>3. Growth, Environment, Transport and Health</w:t>
      </w:r>
      <w:r w:rsidR="00897065">
        <w:rPr>
          <w:rFonts w:cs="Arial"/>
          <w:b/>
          <w:bCs/>
          <w:u w:val="single"/>
        </w:rPr>
        <w:t xml:space="preserve"> Directorate</w:t>
      </w:r>
    </w:p>
    <w:tbl>
      <w:tblPr>
        <w:tblW w:w="8931" w:type="dxa"/>
        <w:tblLook w:val="04A0" w:firstRow="1" w:lastRow="0" w:firstColumn="1" w:lastColumn="0" w:noHBand="0" w:noVBand="1"/>
      </w:tblPr>
      <w:tblGrid>
        <w:gridCol w:w="4395"/>
        <w:gridCol w:w="850"/>
        <w:gridCol w:w="3686"/>
      </w:tblGrid>
      <w:tr w:rsidR="00C92CD8" w14:paraId="4D951B8F" w14:textId="77777777" w:rsidTr="00B97332">
        <w:trPr>
          <w:trHeight w:val="300"/>
        </w:trPr>
        <w:tc>
          <w:tcPr>
            <w:tcW w:w="4395" w:type="dxa"/>
            <w:tcBorders>
              <w:top w:val="nil"/>
              <w:left w:val="nil"/>
              <w:bottom w:val="nil"/>
              <w:right w:val="nil"/>
            </w:tcBorders>
            <w:shd w:val="clear" w:color="auto" w:fill="auto"/>
            <w:noWrap/>
            <w:vAlign w:val="bottom"/>
            <w:hideMark/>
          </w:tcPr>
          <w:p w14:paraId="3F37B14B" w14:textId="77777777" w:rsidR="00146FD5" w:rsidRDefault="00146FD5" w:rsidP="00B97332">
            <w:pPr>
              <w:rPr>
                <w:rFonts w:eastAsia="Times New Roman" w:cs="Arial"/>
                <w:b/>
                <w:bCs/>
                <w:color w:val="000000"/>
                <w:u w:val="single"/>
              </w:rPr>
            </w:pPr>
          </w:p>
          <w:p w14:paraId="56994FEE" w14:textId="77777777" w:rsidR="00146FD5" w:rsidRPr="00CE2155" w:rsidRDefault="00146FD5" w:rsidP="00B97332">
            <w:pPr>
              <w:rPr>
                <w:rFonts w:eastAsia="Times New Roman" w:cs="Arial"/>
                <w:b/>
                <w:bCs/>
                <w:color w:val="000000"/>
                <w:u w:val="single"/>
              </w:rPr>
            </w:pPr>
          </w:p>
        </w:tc>
        <w:tc>
          <w:tcPr>
            <w:tcW w:w="4536" w:type="dxa"/>
            <w:gridSpan w:val="2"/>
            <w:tcBorders>
              <w:top w:val="nil"/>
              <w:left w:val="nil"/>
              <w:bottom w:val="nil"/>
              <w:right w:val="nil"/>
            </w:tcBorders>
            <w:shd w:val="clear" w:color="auto" w:fill="auto"/>
            <w:noWrap/>
            <w:vAlign w:val="bottom"/>
            <w:hideMark/>
          </w:tcPr>
          <w:p w14:paraId="529C3474" w14:textId="77777777" w:rsidR="00146FD5" w:rsidRPr="00CE2155" w:rsidRDefault="00146FD5" w:rsidP="00B97332">
            <w:pPr>
              <w:rPr>
                <w:rFonts w:eastAsia="Times New Roman" w:cs="Arial"/>
                <w:b/>
                <w:bCs/>
                <w:color w:val="000000"/>
                <w:u w:val="single"/>
              </w:rPr>
            </w:pPr>
          </w:p>
        </w:tc>
      </w:tr>
      <w:tr w:rsidR="00C92CD8" w14:paraId="385D77B1" w14:textId="77777777" w:rsidTr="00B97332">
        <w:trPr>
          <w:trHeight w:val="600"/>
        </w:trPr>
        <w:tc>
          <w:tcPr>
            <w:tcW w:w="5245" w:type="dxa"/>
            <w:gridSpan w:val="2"/>
            <w:tcBorders>
              <w:top w:val="single" w:sz="4" w:space="0" w:color="auto"/>
              <w:left w:val="single" w:sz="4" w:space="0" w:color="auto"/>
              <w:bottom w:val="single" w:sz="4" w:space="0" w:color="auto"/>
              <w:right w:val="nil"/>
            </w:tcBorders>
            <w:shd w:val="clear" w:color="auto" w:fill="auto"/>
            <w:noWrap/>
            <w:vAlign w:val="bottom"/>
            <w:hideMark/>
          </w:tcPr>
          <w:p w14:paraId="6C4F197C"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19066"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33966F20" w14:textId="77777777" w:rsidTr="00B97332">
        <w:trPr>
          <w:trHeight w:val="300"/>
        </w:trPr>
        <w:tc>
          <w:tcPr>
            <w:tcW w:w="5245" w:type="dxa"/>
            <w:gridSpan w:val="2"/>
            <w:tcBorders>
              <w:top w:val="nil"/>
              <w:left w:val="single" w:sz="4" w:space="0" w:color="auto"/>
              <w:bottom w:val="nil"/>
              <w:right w:val="nil"/>
            </w:tcBorders>
            <w:shd w:val="clear" w:color="auto" w:fill="auto"/>
            <w:noWrap/>
            <w:vAlign w:val="bottom"/>
            <w:hideMark/>
          </w:tcPr>
          <w:p w14:paraId="74C58495"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center"/>
            <w:hideMark/>
          </w:tcPr>
          <w:p w14:paraId="587C4CAD"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0FC2AAB3"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2D31F625"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686" w:type="dxa"/>
            <w:tcBorders>
              <w:top w:val="nil"/>
              <w:left w:val="single" w:sz="4" w:space="0" w:color="auto"/>
              <w:bottom w:val="nil"/>
              <w:right w:val="single" w:sz="4" w:space="0" w:color="auto"/>
            </w:tcBorders>
            <w:shd w:val="clear" w:color="auto" w:fill="auto"/>
            <w:noWrap/>
            <w:vAlign w:val="bottom"/>
            <w:hideMark/>
          </w:tcPr>
          <w:p w14:paraId="70BCA2E9"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172318DB"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3A1B57CA"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686" w:type="dxa"/>
            <w:tcBorders>
              <w:top w:val="nil"/>
              <w:left w:val="single" w:sz="4" w:space="0" w:color="auto"/>
              <w:bottom w:val="nil"/>
              <w:right w:val="single" w:sz="4" w:space="0" w:color="auto"/>
            </w:tcBorders>
            <w:shd w:val="clear" w:color="auto" w:fill="auto"/>
            <w:noWrap/>
            <w:vAlign w:val="bottom"/>
            <w:hideMark/>
          </w:tcPr>
          <w:p w14:paraId="4603B42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92.395 </w:t>
            </w:r>
          </w:p>
        </w:tc>
      </w:tr>
      <w:tr w:rsidR="00C92CD8" w14:paraId="6C082158"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387D577C"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686" w:type="dxa"/>
            <w:tcBorders>
              <w:top w:val="nil"/>
              <w:left w:val="single" w:sz="4" w:space="0" w:color="auto"/>
              <w:bottom w:val="nil"/>
              <w:right w:val="single" w:sz="4" w:space="0" w:color="auto"/>
            </w:tcBorders>
            <w:shd w:val="clear" w:color="auto" w:fill="auto"/>
            <w:noWrap/>
            <w:vAlign w:val="bottom"/>
            <w:hideMark/>
          </w:tcPr>
          <w:p w14:paraId="3B92064A"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4.548 </w:t>
            </w:r>
          </w:p>
        </w:tc>
      </w:tr>
      <w:tr w:rsidR="00C92CD8" w14:paraId="3C43342E"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0EF40C5B"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686" w:type="dxa"/>
            <w:tcBorders>
              <w:top w:val="nil"/>
              <w:left w:val="single" w:sz="4" w:space="0" w:color="auto"/>
              <w:bottom w:val="nil"/>
              <w:right w:val="single" w:sz="4" w:space="0" w:color="auto"/>
            </w:tcBorders>
            <w:shd w:val="clear" w:color="auto" w:fill="auto"/>
            <w:noWrap/>
            <w:vAlign w:val="bottom"/>
            <w:hideMark/>
          </w:tcPr>
          <w:p w14:paraId="438ABB60"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43.118 </w:t>
            </w:r>
          </w:p>
        </w:tc>
      </w:tr>
      <w:tr w:rsidR="00C92CD8" w14:paraId="0E28753D"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7935AE89"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686" w:type="dxa"/>
            <w:tcBorders>
              <w:top w:val="nil"/>
              <w:left w:val="single" w:sz="4" w:space="0" w:color="auto"/>
              <w:bottom w:val="nil"/>
              <w:right w:val="single" w:sz="4" w:space="0" w:color="auto"/>
            </w:tcBorders>
            <w:shd w:val="clear" w:color="auto" w:fill="auto"/>
            <w:noWrap/>
            <w:vAlign w:val="bottom"/>
            <w:hideMark/>
          </w:tcPr>
          <w:p w14:paraId="1B75B834"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54.446 </w:t>
            </w:r>
          </w:p>
        </w:tc>
      </w:tr>
      <w:tr w:rsidR="00C92CD8" w14:paraId="06BB6EFB"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4126708A"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686" w:type="dxa"/>
            <w:tcBorders>
              <w:top w:val="nil"/>
              <w:left w:val="single" w:sz="4" w:space="0" w:color="auto"/>
              <w:bottom w:val="nil"/>
              <w:right w:val="single" w:sz="4" w:space="0" w:color="auto"/>
            </w:tcBorders>
            <w:shd w:val="clear" w:color="auto" w:fill="auto"/>
            <w:noWrap/>
            <w:vAlign w:val="bottom"/>
            <w:hideMark/>
          </w:tcPr>
          <w:p w14:paraId="7AB82DA1"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210.812 </w:t>
            </w:r>
          </w:p>
        </w:tc>
      </w:tr>
      <w:tr w:rsidR="00C92CD8" w14:paraId="302B1710"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5F9D3F77"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686" w:type="dxa"/>
            <w:tcBorders>
              <w:top w:val="nil"/>
              <w:left w:val="single" w:sz="4" w:space="0" w:color="auto"/>
              <w:bottom w:val="nil"/>
              <w:right w:val="single" w:sz="4" w:space="0" w:color="auto"/>
            </w:tcBorders>
            <w:shd w:val="clear" w:color="auto" w:fill="auto"/>
            <w:noWrap/>
            <w:vAlign w:val="bottom"/>
            <w:hideMark/>
          </w:tcPr>
          <w:p w14:paraId="2E989F7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2B5F6472"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00209171"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686" w:type="dxa"/>
            <w:tcBorders>
              <w:top w:val="nil"/>
              <w:left w:val="single" w:sz="4" w:space="0" w:color="auto"/>
              <w:bottom w:val="nil"/>
              <w:right w:val="single" w:sz="4" w:space="0" w:color="auto"/>
            </w:tcBorders>
            <w:shd w:val="clear" w:color="auto" w:fill="auto"/>
            <w:noWrap/>
            <w:vAlign w:val="bottom"/>
            <w:hideMark/>
          </w:tcPr>
          <w:p w14:paraId="7C783A3E"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5D4D0B20"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059D3E50"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686" w:type="dxa"/>
            <w:tcBorders>
              <w:top w:val="nil"/>
              <w:left w:val="single" w:sz="4" w:space="0" w:color="auto"/>
              <w:bottom w:val="nil"/>
              <w:right w:val="single" w:sz="4" w:space="0" w:color="auto"/>
            </w:tcBorders>
            <w:shd w:val="clear" w:color="auto" w:fill="auto"/>
            <w:noWrap/>
            <w:vAlign w:val="bottom"/>
            <w:hideMark/>
          </w:tcPr>
          <w:p w14:paraId="7C6C2ED1"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086E1E66"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6FB0A68F"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686" w:type="dxa"/>
            <w:tcBorders>
              <w:top w:val="nil"/>
              <w:left w:val="single" w:sz="4" w:space="0" w:color="auto"/>
              <w:bottom w:val="nil"/>
              <w:right w:val="single" w:sz="4" w:space="0" w:color="auto"/>
            </w:tcBorders>
            <w:shd w:val="clear" w:color="auto" w:fill="auto"/>
            <w:noWrap/>
            <w:vAlign w:val="bottom"/>
            <w:hideMark/>
          </w:tcPr>
          <w:p w14:paraId="66F2B747"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405.319 </w:t>
            </w:r>
          </w:p>
        </w:tc>
      </w:tr>
      <w:tr w:rsidR="00C92CD8" w14:paraId="6E558CF5"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0390EF59"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bottom"/>
            <w:hideMark/>
          </w:tcPr>
          <w:p w14:paraId="6A3AD6F6"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6D9B1DC8"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630D7AED"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686" w:type="dxa"/>
            <w:tcBorders>
              <w:top w:val="nil"/>
              <w:left w:val="single" w:sz="4" w:space="0" w:color="auto"/>
              <w:bottom w:val="nil"/>
              <w:right w:val="single" w:sz="4" w:space="0" w:color="auto"/>
            </w:tcBorders>
            <w:shd w:val="clear" w:color="auto" w:fill="auto"/>
            <w:noWrap/>
            <w:vAlign w:val="bottom"/>
            <w:hideMark/>
          </w:tcPr>
          <w:p w14:paraId="1731D3E8"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714532B2"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72D26BD4"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686" w:type="dxa"/>
            <w:tcBorders>
              <w:top w:val="nil"/>
              <w:left w:val="single" w:sz="4" w:space="0" w:color="auto"/>
              <w:bottom w:val="nil"/>
              <w:right w:val="single" w:sz="4" w:space="0" w:color="auto"/>
            </w:tcBorders>
            <w:shd w:val="clear" w:color="auto" w:fill="auto"/>
            <w:noWrap/>
            <w:vAlign w:val="bottom"/>
            <w:hideMark/>
          </w:tcPr>
          <w:p w14:paraId="0D7F8CB2"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24.783 </w:t>
            </w:r>
          </w:p>
        </w:tc>
      </w:tr>
      <w:tr w:rsidR="00C92CD8" w14:paraId="45A00EC1"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06B6D30D"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686" w:type="dxa"/>
            <w:tcBorders>
              <w:top w:val="nil"/>
              <w:left w:val="single" w:sz="4" w:space="0" w:color="auto"/>
              <w:bottom w:val="nil"/>
              <w:right w:val="single" w:sz="4" w:space="0" w:color="auto"/>
            </w:tcBorders>
            <w:shd w:val="clear" w:color="auto" w:fill="auto"/>
            <w:noWrap/>
            <w:vAlign w:val="bottom"/>
            <w:hideMark/>
          </w:tcPr>
          <w:p w14:paraId="2ECB3AEB"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83.016 </w:t>
            </w:r>
          </w:p>
        </w:tc>
      </w:tr>
      <w:tr w:rsidR="00C92CD8" w14:paraId="56F0944C"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2862E399"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686" w:type="dxa"/>
            <w:tcBorders>
              <w:top w:val="nil"/>
              <w:left w:val="single" w:sz="4" w:space="0" w:color="auto"/>
              <w:bottom w:val="nil"/>
              <w:right w:val="single" w:sz="4" w:space="0" w:color="auto"/>
            </w:tcBorders>
            <w:shd w:val="clear" w:color="auto" w:fill="auto"/>
            <w:noWrap/>
            <w:vAlign w:val="bottom"/>
            <w:hideMark/>
          </w:tcPr>
          <w:p w14:paraId="74C2241E"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1545D83F"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66761C1F"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686" w:type="dxa"/>
            <w:tcBorders>
              <w:top w:val="nil"/>
              <w:left w:val="single" w:sz="4" w:space="0" w:color="auto"/>
              <w:bottom w:val="nil"/>
              <w:right w:val="single" w:sz="4" w:space="0" w:color="auto"/>
            </w:tcBorders>
            <w:shd w:val="clear" w:color="auto" w:fill="auto"/>
            <w:noWrap/>
            <w:vAlign w:val="bottom"/>
            <w:hideMark/>
          </w:tcPr>
          <w:p w14:paraId="5C21BC68" w14:textId="51595734" w:rsidR="00146FD5" w:rsidRPr="00CE2155" w:rsidRDefault="004A7A82" w:rsidP="00B97332">
            <w:pPr>
              <w:jc w:val="right"/>
              <w:rPr>
                <w:rFonts w:eastAsia="Times New Roman" w:cs="Arial"/>
                <w:color w:val="000000"/>
              </w:rPr>
            </w:pPr>
            <w:r w:rsidRPr="00CE2155">
              <w:rPr>
                <w:rFonts w:eastAsia="Times New Roman" w:cs="Arial"/>
                <w:color w:val="000000"/>
              </w:rPr>
              <w:t xml:space="preserve">                                     93.27</w:t>
            </w:r>
            <w:r w:rsidR="00730BFC">
              <w:rPr>
                <w:rFonts w:eastAsia="Times New Roman" w:cs="Arial"/>
                <w:color w:val="000000"/>
              </w:rPr>
              <w:t>5</w:t>
            </w:r>
            <w:r w:rsidRPr="00CE2155">
              <w:rPr>
                <w:rFonts w:eastAsia="Times New Roman" w:cs="Arial"/>
                <w:color w:val="000000"/>
              </w:rPr>
              <w:t xml:space="preserve"> </w:t>
            </w:r>
          </w:p>
        </w:tc>
      </w:tr>
      <w:tr w:rsidR="00C92CD8" w14:paraId="3F0ACB2A"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3385A308"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686" w:type="dxa"/>
            <w:tcBorders>
              <w:top w:val="nil"/>
              <w:left w:val="single" w:sz="4" w:space="0" w:color="auto"/>
              <w:bottom w:val="nil"/>
              <w:right w:val="single" w:sz="4" w:space="0" w:color="auto"/>
            </w:tcBorders>
            <w:shd w:val="clear" w:color="auto" w:fill="auto"/>
            <w:noWrap/>
            <w:vAlign w:val="bottom"/>
            <w:hideMark/>
          </w:tcPr>
          <w:p w14:paraId="28CC41F3"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19.519 </w:t>
            </w:r>
          </w:p>
        </w:tc>
      </w:tr>
      <w:tr w:rsidR="00C92CD8" w14:paraId="3EA545C7"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1C20D377"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686" w:type="dxa"/>
            <w:tcBorders>
              <w:top w:val="nil"/>
              <w:left w:val="single" w:sz="4" w:space="0" w:color="auto"/>
              <w:bottom w:val="nil"/>
              <w:right w:val="single" w:sz="4" w:space="0" w:color="auto"/>
            </w:tcBorders>
            <w:shd w:val="clear" w:color="auto" w:fill="auto"/>
            <w:noWrap/>
            <w:vAlign w:val="bottom"/>
            <w:hideMark/>
          </w:tcPr>
          <w:p w14:paraId="325D4177" w14:textId="3A25430F"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220.59</w:t>
            </w:r>
            <w:r w:rsidR="00730BFC">
              <w:rPr>
                <w:rFonts w:eastAsia="Times New Roman" w:cs="Arial"/>
                <w:b/>
                <w:bCs/>
                <w:color w:val="000000"/>
              </w:rPr>
              <w:t>3</w:t>
            </w:r>
            <w:r w:rsidRPr="00CE2155">
              <w:rPr>
                <w:rFonts w:eastAsia="Times New Roman" w:cs="Arial"/>
                <w:b/>
                <w:bCs/>
                <w:color w:val="000000"/>
              </w:rPr>
              <w:t xml:space="preserve"> </w:t>
            </w:r>
          </w:p>
        </w:tc>
      </w:tr>
      <w:tr w:rsidR="00C92CD8" w14:paraId="28A176EC"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6572AB13"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bottom"/>
            <w:hideMark/>
          </w:tcPr>
          <w:p w14:paraId="7B19D230"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12510908" w14:textId="77777777" w:rsidTr="00B97332">
        <w:trPr>
          <w:trHeight w:val="300"/>
        </w:trPr>
        <w:tc>
          <w:tcPr>
            <w:tcW w:w="5245" w:type="dxa"/>
            <w:gridSpan w:val="2"/>
            <w:tcBorders>
              <w:top w:val="single" w:sz="4" w:space="0" w:color="auto"/>
              <w:left w:val="single" w:sz="4" w:space="0" w:color="auto"/>
              <w:bottom w:val="single" w:sz="4" w:space="0" w:color="auto"/>
              <w:right w:val="nil"/>
            </w:tcBorders>
            <w:shd w:val="clear" w:color="auto" w:fill="auto"/>
            <w:noWrap/>
            <w:vAlign w:val="center"/>
            <w:hideMark/>
          </w:tcPr>
          <w:p w14:paraId="555BFC66"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EA587" w14:textId="41F2FCFD"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184.72</w:t>
            </w:r>
            <w:r w:rsidR="00730BFC">
              <w:rPr>
                <w:rFonts w:eastAsia="Times New Roman" w:cs="Arial"/>
                <w:b/>
                <w:bCs/>
                <w:color w:val="000000"/>
              </w:rPr>
              <w:t>6</w:t>
            </w:r>
            <w:r w:rsidRPr="00CE2155">
              <w:rPr>
                <w:rFonts w:eastAsia="Times New Roman" w:cs="Arial"/>
                <w:b/>
                <w:bCs/>
                <w:color w:val="000000"/>
              </w:rPr>
              <w:t xml:space="preserve"> </w:t>
            </w:r>
          </w:p>
        </w:tc>
      </w:tr>
    </w:tbl>
    <w:p w14:paraId="49D43B57" w14:textId="77777777" w:rsidR="00146FD5" w:rsidRPr="00CE2155" w:rsidRDefault="004A7A82" w:rsidP="00146FD5">
      <w:pPr>
        <w:rPr>
          <w:rFonts w:cs="Arial"/>
        </w:rPr>
      </w:pPr>
      <w:r w:rsidRPr="00CE2155">
        <w:rPr>
          <w:rFonts w:cs="Arial"/>
        </w:rPr>
        <w:br w:type="page"/>
      </w:r>
    </w:p>
    <w:tbl>
      <w:tblPr>
        <w:tblW w:w="8931" w:type="dxa"/>
        <w:tblLook w:val="04A0" w:firstRow="1" w:lastRow="0" w:firstColumn="1" w:lastColumn="0" w:noHBand="0" w:noVBand="1"/>
      </w:tblPr>
      <w:tblGrid>
        <w:gridCol w:w="5245"/>
        <w:gridCol w:w="3686"/>
      </w:tblGrid>
      <w:tr w:rsidR="00C92CD8" w14:paraId="1519191F" w14:textId="77777777" w:rsidTr="00B97332">
        <w:trPr>
          <w:trHeight w:val="300"/>
        </w:trPr>
        <w:tc>
          <w:tcPr>
            <w:tcW w:w="5245" w:type="dxa"/>
            <w:tcBorders>
              <w:top w:val="nil"/>
              <w:left w:val="nil"/>
              <w:bottom w:val="nil"/>
              <w:right w:val="nil"/>
            </w:tcBorders>
            <w:shd w:val="clear" w:color="auto" w:fill="auto"/>
            <w:noWrap/>
            <w:vAlign w:val="bottom"/>
            <w:hideMark/>
          </w:tcPr>
          <w:p w14:paraId="6DF564B9" w14:textId="77777777" w:rsidR="00146FD5" w:rsidRDefault="004A7A82" w:rsidP="00B97332">
            <w:pPr>
              <w:rPr>
                <w:rFonts w:eastAsia="Times New Roman" w:cs="Arial"/>
                <w:b/>
                <w:bCs/>
                <w:color w:val="000000"/>
                <w:u w:val="single"/>
              </w:rPr>
            </w:pPr>
            <w:r>
              <w:rPr>
                <w:rFonts w:eastAsia="Times New Roman" w:cs="Arial"/>
                <w:b/>
                <w:bCs/>
                <w:color w:val="000000"/>
                <w:u w:val="single"/>
              </w:rPr>
              <w:lastRenderedPageBreak/>
              <w:t xml:space="preserve">3.1 </w:t>
            </w:r>
            <w:r w:rsidRPr="00CE2155">
              <w:rPr>
                <w:rFonts w:eastAsia="Times New Roman" w:cs="Arial"/>
                <w:b/>
                <w:bCs/>
                <w:color w:val="000000"/>
                <w:u w:val="single"/>
              </w:rPr>
              <w:t>Director of Public Health</w:t>
            </w:r>
          </w:p>
          <w:p w14:paraId="58A1325F" w14:textId="77777777" w:rsidR="000A5B26" w:rsidRDefault="000A5B26" w:rsidP="00B97332">
            <w:pPr>
              <w:rPr>
                <w:rFonts w:eastAsia="Times New Roman" w:cs="Arial"/>
                <w:b/>
                <w:bCs/>
                <w:color w:val="000000"/>
                <w:u w:val="single"/>
              </w:rPr>
            </w:pPr>
          </w:p>
          <w:p w14:paraId="7A261187" w14:textId="77777777" w:rsidR="00146FD5" w:rsidRPr="00CE2155" w:rsidRDefault="00146FD5" w:rsidP="00B97332">
            <w:pPr>
              <w:rPr>
                <w:rFonts w:eastAsia="Times New Roman" w:cs="Arial"/>
                <w:b/>
                <w:bCs/>
                <w:color w:val="000000"/>
                <w:u w:val="single"/>
              </w:rPr>
            </w:pPr>
          </w:p>
        </w:tc>
        <w:tc>
          <w:tcPr>
            <w:tcW w:w="3686" w:type="dxa"/>
            <w:tcBorders>
              <w:top w:val="nil"/>
              <w:left w:val="nil"/>
              <w:bottom w:val="nil"/>
              <w:right w:val="nil"/>
            </w:tcBorders>
            <w:shd w:val="clear" w:color="auto" w:fill="auto"/>
            <w:noWrap/>
            <w:vAlign w:val="bottom"/>
            <w:hideMark/>
          </w:tcPr>
          <w:p w14:paraId="217B5FDB" w14:textId="77777777" w:rsidR="00146FD5" w:rsidRPr="00CE2155" w:rsidRDefault="00146FD5" w:rsidP="00B97332">
            <w:pPr>
              <w:rPr>
                <w:rFonts w:eastAsia="Times New Roman" w:cs="Arial"/>
                <w:b/>
                <w:bCs/>
                <w:color w:val="000000"/>
                <w:u w:val="single"/>
              </w:rPr>
            </w:pPr>
          </w:p>
        </w:tc>
      </w:tr>
      <w:tr w:rsidR="00C92CD8" w14:paraId="4953DA15" w14:textId="77777777" w:rsidTr="00B97332">
        <w:trPr>
          <w:trHeight w:val="600"/>
        </w:trPr>
        <w:tc>
          <w:tcPr>
            <w:tcW w:w="5245" w:type="dxa"/>
            <w:tcBorders>
              <w:top w:val="single" w:sz="4" w:space="0" w:color="auto"/>
              <w:left w:val="single" w:sz="4" w:space="0" w:color="auto"/>
              <w:bottom w:val="single" w:sz="4" w:space="0" w:color="auto"/>
              <w:right w:val="nil"/>
            </w:tcBorders>
            <w:shd w:val="clear" w:color="auto" w:fill="auto"/>
            <w:noWrap/>
            <w:vAlign w:val="bottom"/>
            <w:hideMark/>
          </w:tcPr>
          <w:p w14:paraId="7EE57574"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7D003"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0C40948C" w14:textId="77777777" w:rsidTr="00B97332">
        <w:trPr>
          <w:trHeight w:val="300"/>
        </w:trPr>
        <w:tc>
          <w:tcPr>
            <w:tcW w:w="5245" w:type="dxa"/>
            <w:tcBorders>
              <w:top w:val="nil"/>
              <w:left w:val="single" w:sz="4" w:space="0" w:color="auto"/>
              <w:bottom w:val="nil"/>
              <w:right w:val="nil"/>
            </w:tcBorders>
            <w:shd w:val="clear" w:color="auto" w:fill="auto"/>
            <w:noWrap/>
            <w:vAlign w:val="bottom"/>
            <w:hideMark/>
          </w:tcPr>
          <w:p w14:paraId="30E22D0C"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center"/>
            <w:hideMark/>
          </w:tcPr>
          <w:p w14:paraId="6FE701E5"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7FA34965"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248F7722"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686" w:type="dxa"/>
            <w:tcBorders>
              <w:top w:val="nil"/>
              <w:left w:val="single" w:sz="4" w:space="0" w:color="auto"/>
              <w:bottom w:val="nil"/>
              <w:right w:val="single" w:sz="4" w:space="0" w:color="auto"/>
            </w:tcBorders>
            <w:shd w:val="clear" w:color="auto" w:fill="auto"/>
            <w:noWrap/>
            <w:vAlign w:val="bottom"/>
            <w:hideMark/>
          </w:tcPr>
          <w:p w14:paraId="2EDA16A3"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3424B0A3"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3643B442"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686" w:type="dxa"/>
            <w:tcBorders>
              <w:top w:val="nil"/>
              <w:left w:val="single" w:sz="4" w:space="0" w:color="auto"/>
              <w:bottom w:val="nil"/>
              <w:right w:val="single" w:sz="4" w:space="0" w:color="auto"/>
            </w:tcBorders>
            <w:shd w:val="clear" w:color="auto" w:fill="auto"/>
            <w:noWrap/>
            <w:vAlign w:val="bottom"/>
            <w:hideMark/>
          </w:tcPr>
          <w:p w14:paraId="5E671886"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13.559 </w:t>
            </w:r>
          </w:p>
        </w:tc>
      </w:tr>
      <w:tr w:rsidR="00C92CD8" w14:paraId="35D9AF92"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7E991C87"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686" w:type="dxa"/>
            <w:tcBorders>
              <w:top w:val="nil"/>
              <w:left w:val="single" w:sz="4" w:space="0" w:color="auto"/>
              <w:bottom w:val="nil"/>
              <w:right w:val="single" w:sz="4" w:space="0" w:color="auto"/>
            </w:tcBorders>
            <w:shd w:val="clear" w:color="auto" w:fill="auto"/>
            <w:noWrap/>
            <w:vAlign w:val="bottom"/>
            <w:hideMark/>
          </w:tcPr>
          <w:p w14:paraId="52E8538A"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0.292 </w:t>
            </w:r>
          </w:p>
        </w:tc>
      </w:tr>
      <w:tr w:rsidR="00C92CD8" w14:paraId="71BDB028"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7B315717"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686" w:type="dxa"/>
            <w:tcBorders>
              <w:top w:val="nil"/>
              <w:left w:val="single" w:sz="4" w:space="0" w:color="auto"/>
              <w:bottom w:val="nil"/>
              <w:right w:val="single" w:sz="4" w:space="0" w:color="auto"/>
            </w:tcBorders>
            <w:shd w:val="clear" w:color="auto" w:fill="auto"/>
            <w:noWrap/>
            <w:vAlign w:val="bottom"/>
            <w:hideMark/>
          </w:tcPr>
          <w:p w14:paraId="2EE71281"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0.123 </w:t>
            </w:r>
          </w:p>
        </w:tc>
      </w:tr>
      <w:tr w:rsidR="00C92CD8" w14:paraId="7B8EBFFF"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151BF1CF"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686" w:type="dxa"/>
            <w:tcBorders>
              <w:top w:val="nil"/>
              <w:left w:val="single" w:sz="4" w:space="0" w:color="auto"/>
              <w:bottom w:val="nil"/>
              <w:right w:val="single" w:sz="4" w:space="0" w:color="auto"/>
            </w:tcBorders>
            <w:shd w:val="clear" w:color="auto" w:fill="auto"/>
            <w:noWrap/>
            <w:vAlign w:val="bottom"/>
            <w:hideMark/>
          </w:tcPr>
          <w:p w14:paraId="6C184EAA"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1.329 </w:t>
            </w:r>
          </w:p>
        </w:tc>
      </w:tr>
      <w:tr w:rsidR="00C92CD8" w14:paraId="604273DE"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2E689DBD"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686" w:type="dxa"/>
            <w:tcBorders>
              <w:top w:val="nil"/>
              <w:left w:val="single" w:sz="4" w:space="0" w:color="auto"/>
              <w:bottom w:val="nil"/>
              <w:right w:val="single" w:sz="4" w:space="0" w:color="auto"/>
            </w:tcBorders>
            <w:shd w:val="clear" w:color="auto" w:fill="auto"/>
            <w:noWrap/>
            <w:vAlign w:val="bottom"/>
            <w:hideMark/>
          </w:tcPr>
          <w:p w14:paraId="7E781820"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70.013 </w:t>
            </w:r>
          </w:p>
        </w:tc>
      </w:tr>
      <w:tr w:rsidR="00C92CD8" w14:paraId="6441877B"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7063E962"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686" w:type="dxa"/>
            <w:tcBorders>
              <w:top w:val="nil"/>
              <w:left w:val="single" w:sz="4" w:space="0" w:color="auto"/>
              <w:bottom w:val="nil"/>
              <w:right w:val="single" w:sz="4" w:space="0" w:color="auto"/>
            </w:tcBorders>
            <w:shd w:val="clear" w:color="auto" w:fill="auto"/>
            <w:noWrap/>
            <w:vAlign w:val="bottom"/>
            <w:hideMark/>
          </w:tcPr>
          <w:p w14:paraId="43FD375B"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39B36D45"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0F76954"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686" w:type="dxa"/>
            <w:tcBorders>
              <w:top w:val="nil"/>
              <w:left w:val="single" w:sz="4" w:space="0" w:color="auto"/>
              <w:bottom w:val="nil"/>
              <w:right w:val="single" w:sz="4" w:space="0" w:color="auto"/>
            </w:tcBorders>
            <w:shd w:val="clear" w:color="auto" w:fill="auto"/>
            <w:noWrap/>
            <w:vAlign w:val="bottom"/>
            <w:hideMark/>
          </w:tcPr>
          <w:p w14:paraId="6E9087B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3AFCBDD6"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3373B839"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686" w:type="dxa"/>
            <w:tcBorders>
              <w:top w:val="nil"/>
              <w:left w:val="single" w:sz="4" w:space="0" w:color="auto"/>
              <w:bottom w:val="nil"/>
              <w:right w:val="single" w:sz="4" w:space="0" w:color="auto"/>
            </w:tcBorders>
            <w:shd w:val="clear" w:color="auto" w:fill="auto"/>
            <w:noWrap/>
            <w:vAlign w:val="bottom"/>
            <w:hideMark/>
          </w:tcPr>
          <w:p w14:paraId="796F3979"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5B84FCC1"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0D0B7D5B"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686" w:type="dxa"/>
            <w:tcBorders>
              <w:top w:val="nil"/>
              <w:left w:val="single" w:sz="4" w:space="0" w:color="auto"/>
              <w:bottom w:val="nil"/>
              <w:right w:val="single" w:sz="4" w:space="0" w:color="auto"/>
            </w:tcBorders>
            <w:shd w:val="clear" w:color="auto" w:fill="auto"/>
            <w:noWrap/>
            <w:vAlign w:val="bottom"/>
            <w:hideMark/>
          </w:tcPr>
          <w:p w14:paraId="0CD4D1E5"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85.316 </w:t>
            </w:r>
          </w:p>
        </w:tc>
      </w:tr>
      <w:tr w:rsidR="00C92CD8" w14:paraId="18A2E9F4"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17E16BA8"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bottom"/>
            <w:hideMark/>
          </w:tcPr>
          <w:p w14:paraId="3DEBC2F4"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19FFA8CF"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3CF5EAEA"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686" w:type="dxa"/>
            <w:tcBorders>
              <w:top w:val="nil"/>
              <w:left w:val="single" w:sz="4" w:space="0" w:color="auto"/>
              <w:bottom w:val="nil"/>
              <w:right w:val="single" w:sz="4" w:space="0" w:color="auto"/>
            </w:tcBorders>
            <w:shd w:val="clear" w:color="auto" w:fill="auto"/>
            <w:noWrap/>
            <w:vAlign w:val="bottom"/>
            <w:hideMark/>
          </w:tcPr>
          <w:p w14:paraId="4141F277"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3E31139C"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7FFBBE0D"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686" w:type="dxa"/>
            <w:tcBorders>
              <w:top w:val="nil"/>
              <w:left w:val="single" w:sz="4" w:space="0" w:color="auto"/>
              <w:bottom w:val="nil"/>
              <w:right w:val="single" w:sz="4" w:space="0" w:color="auto"/>
            </w:tcBorders>
            <w:shd w:val="clear" w:color="auto" w:fill="auto"/>
            <w:noWrap/>
            <w:vAlign w:val="bottom"/>
            <w:hideMark/>
          </w:tcPr>
          <w:p w14:paraId="77B6E30B"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1.007 </w:t>
            </w:r>
          </w:p>
        </w:tc>
      </w:tr>
      <w:tr w:rsidR="00C92CD8" w14:paraId="2919F5AF"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7BCA0FD3"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686" w:type="dxa"/>
            <w:tcBorders>
              <w:top w:val="nil"/>
              <w:left w:val="single" w:sz="4" w:space="0" w:color="auto"/>
              <w:bottom w:val="nil"/>
              <w:right w:val="single" w:sz="4" w:space="0" w:color="auto"/>
            </w:tcBorders>
            <w:shd w:val="clear" w:color="auto" w:fill="auto"/>
            <w:noWrap/>
            <w:vAlign w:val="bottom"/>
            <w:hideMark/>
          </w:tcPr>
          <w:p w14:paraId="11CE0EC9"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74.839 </w:t>
            </w:r>
          </w:p>
        </w:tc>
      </w:tr>
      <w:tr w:rsidR="00C92CD8" w14:paraId="3A7621C5"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63F30B0C"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686" w:type="dxa"/>
            <w:tcBorders>
              <w:top w:val="nil"/>
              <w:left w:val="single" w:sz="4" w:space="0" w:color="auto"/>
              <w:bottom w:val="nil"/>
              <w:right w:val="single" w:sz="4" w:space="0" w:color="auto"/>
            </w:tcBorders>
            <w:shd w:val="clear" w:color="auto" w:fill="auto"/>
            <w:noWrap/>
            <w:vAlign w:val="bottom"/>
            <w:hideMark/>
          </w:tcPr>
          <w:p w14:paraId="7DFBA85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588107D5"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60FA4853"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686" w:type="dxa"/>
            <w:tcBorders>
              <w:top w:val="nil"/>
              <w:left w:val="single" w:sz="4" w:space="0" w:color="auto"/>
              <w:bottom w:val="nil"/>
              <w:right w:val="single" w:sz="4" w:space="0" w:color="auto"/>
            </w:tcBorders>
            <w:shd w:val="clear" w:color="auto" w:fill="auto"/>
            <w:noWrap/>
            <w:vAlign w:val="bottom"/>
            <w:hideMark/>
          </w:tcPr>
          <w:p w14:paraId="7CB5761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2.596 </w:t>
            </w:r>
          </w:p>
        </w:tc>
      </w:tr>
      <w:tr w:rsidR="00C92CD8" w14:paraId="5AE84040"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6916535D"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686" w:type="dxa"/>
            <w:tcBorders>
              <w:top w:val="nil"/>
              <w:left w:val="single" w:sz="4" w:space="0" w:color="auto"/>
              <w:bottom w:val="nil"/>
              <w:right w:val="single" w:sz="4" w:space="0" w:color="auto"/>
            </w:tcBorders>
            <w:shd w:val="clear" w:color="auto" w:fill="auto"/>
            <w:noWrap/>
            <w:vAlign w:val="bottom"/>
            <w:hideMark/>
          </w:tcPr>
          <w:p w14:paraId="18890096"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10.375 </w:t>
            </w:r>
          </w:p>
        </w:tc>
      </w:tr>
      <w:tr w:rsidR="00C92CD8" w14:paraId="28C452EC"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1AF5B536"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686" w:type="dxa"/>
            <w:tcBorders>
              <w:top w:val="nil"/>
              <w:left w:val="single" w:sz="4" w:space="0" w:color="auto"/>
              <w:bottom w:val="nil"/>
              <w:right w:val="single" w:sz="4" w:space="0" w:color="auto"/>
            </w:tcBorders>
            <w:shd w:val="clear" w:color="auto" w:fill="auto"/>
            <w:noWrap/>
            <w:vAlign w:val="bottom"/>
            <w:hideMark/>
          </w:tcPr>
          <w:p w14:paraId="5F35A9EA"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88.817 </w:t>
            </w:r>
          </w:p>
        </w:tc>
      </w:tr>
      <w:tr w:rsidR="00C92CD8" w14:paraId="03782B28"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0EADE434"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bottom"/>
            <w:hideMark/>
          </w:tcPr>
          <w:p w14:paraId="401868C5"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45EEEAC5" w14:textId="77777777" w:rsidTr="00B97332">
        <w:trPr>
          <w:trHeight w:val="300"/>
        </w:trPr>
        <w:tc>
          <w:tcPr>
            <w:tcW w:w="5245" w:type="dxa"/>
            <w:tcBorders>
              <w:top w:val="single" w:sz="4" w:space="0" w:color="auto"/>
              <w:left w:val="single" w:sz="4" w:space="0" w:color="auto"/>
              <w:bottom w:val="single" w:sz="4" w:space="0" w:color="auto"/>
              <w:right w:val="nil"/>
            </w:tcBorders>
            <w:shd w:val="clear" w:color="auto" w:fill="auto"/>
            <w:noWrap/>
            <w:vAlign w:val="center"/>
            <w:hideMark/>
          </w:tcPr>
          <w:p w14:paraId="341C4BFD"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BF410" w14:textId="379F308F" w:rsidR="00146FD5" w:rsidRPr="00CE2155" w:rsidRDefault="004A7A82" w:rsidP="00B97332">
            <w:pPr>
              <w:jc w:val="right"/>
              <w:rPr>
                <w:rFonts w:eastAsia="Times New Roman" w:cs="Arial"/>
                <w:b/>
                <w:bCs/>
                <w:color w:val="000000"/>
              </w:rPr>
            </w:pPr>
            <w:r w:rsidRPr="00CE2155">
              <w:rPr>
                <w:rFonts w:eastAsia="Times New Roman" w:cs="Arial"/>
                <w:b/>
                <w:bCs/>
                <w:color w:val="000000"/>
              </w:rPr>
              <w:t>-                                     3.50</w:t>
            </w:r>
            <w:r w:rsidR="00730BFC">
              <w:rPr>
                <w:rFonts w:eastAsia="Times New Roman" w:cs="Arial"/>
                <w:b/>
                <w:bCs/>
                <w:color w:val="000000"/>
              </w:rPr>
              <w:t>0</w:t>
            </w:r>
            <w:r w:rsidRPr="00CE2155">
              <w:rPr>
                <w:rFonts w:eastAsia="Times New Roman" w:cs="Arial"/>
                <w:b/>
                <w:bCs/>
                <w:color w:val="000000"/>
              </w:rPr>
              <w:t xml:space="preserve"> </w:t>
            </w:r>
          </w:p>
        </w:tc>
      </w:tr>
    </w:tbl>
    <w:p w14:paraId="79B1630D" w14:textId="77777777" w:rsidR="00146FD5" w:rsidRPr="00CE2155" w:rsidRDefault="004A7A82" w:rsidP="00146FD5">
      <w:pPr>
        <w:rPr>
          <w:rFonts w:cs="Arial"/>
        </w:rPr>
      </w:pPr>
      <w:r w:rsidRPr="00CE2155">
        <w:rPr>
          <w:rFonts w:cs="Arial"/>
        </w:rPr>
        <w:br w:type="page"/>
      </w:r>
    </w:p>
    <w:tbl>
      <w:tblPr>
        <w:tblW w:w="8931" w:type="dxa"/>
        <w:tblLook w:val="04A0" w:firstRow="1" w:lastRow="0" w:firstColumn="1" w:lastColumn="0" w:noHBand="0" w:noVBand="1"/>
      </w:tblPr>
      <w:tblGrid>
        <w:gridCol w:w="5245"/>
        <w:gridCol w:w="3686"/>
      </w:tblGrid>
      <w:tr w:rsidR="00C92CD8" w14:paraId="0B282EBA" w14:textId="77777777" w:rsidTr="00B97332">
        <w:trPr>
          <w:trHeight w:val="300"/>
        </w:trPr>
        <w:tc>
          <w:tcPr>
            <w:tcW w:w="5245" w:type="dxa"/>
            <w:tcBorders>
              <w:top w:val="nil"/>
              <w:left w:val="nil"/>
              <w:bottom w:val="nil"/>
              <w:right w:val="nil"/>
            </w:tcBorders>
            <w:shd w:val="clear" w:color="auto" w:fill="auto"/>
            <w:noWrap/>
            <w:vAlign w:val="bottom"/>
            <w:hideMark/>
          </w:tcPr>
          <w:p w14:paraId="2531E19C" w14:textId="77777777" w:rsidR="00146FD5" w:rsidRDefault="004A7A82" w:rsidP="00B97332">
            <w:pPr>
              <w:rPr>
                <w:rFonts w:eastAsia="Times New Roman" w:cs="Arial"/>
                <w:b/>
                <w:bCs/>
                <w:color w:val="000000"/>
                <w:u w:val="single"/>
              </w:rPr>
            </w:pPr>
            <w:r>
              <w:rPr>
                <w:rFonts w:eastAsia="Times New Roman" w:cs="Arial"/>
                <w:b/>
                <w:bCs/>
                <w:color w:val="000000"/>
                <w:u w:val="single"/>
              </w:rPr>
              <w:lastRenderedPageBreak/>
              <w:t xml:space="preserve">3.2 </w:t>
            </w:r>
            <w:r w:rsidRPr="00CE2155">
              <w:rPr>
                <w:rFonts w:eastAsia="Times New Roman" w:cs="Arial"/>
                <w:b/>
                <w:bCs/>
                <w:color w:val="000000"/>
                <w:u w:val="single"/>
              </w:rPr>
              <w:t>Director of Highways and Transport</w:t>
            </w:r>
          </w:p>
          <w:p w14:paraId="628F6D42" w14:textId="77777777" w:rsidR="000A5B26" w:rsidRDefault="000A5B26" w:rsidP="00B97332">
            <w:pPr>
              <w:rPr>
                <w:rFonts w:eastAsia="Times New Roman" w:cs="Arial"/>
                <w:b/>
                <w:bCs/>
                <w:color w:val="000000"/>
                <w:u w:val="single"/>
              </w:rPr>
            </w:pPr>
          </w:p>
          <w:p w14:paraId="05A8E921" w14:textId="77777777" w:rsidR="00146FD5" w:rsidRPr="00CE2155" w:rsidRDefault="00146FD5" w:rsidP="00B97332">
            <w:pPr>
              <w:rPr>
                <w:rFonts w:eastAsia="Times New Roman" w:cs="Arial"/>
                <w:b/>
                <w:bCs/>
                <w:color w:val="000000"/>
                <w:u w:val="single"/>
              </w:rPr>
            </w:pPr>
          </w:p>
        </w:tc>
        <w:tc>
          <w:tcPr>
            <w:tcW w:w="3686" w:type="dxa"/>
            <w:tcBorders>
              <w:top w:val="nil"/>
              <w:left w:val="nil"/>
              <w:bottom w:val="nil"/>
              <w:right w:val="nil"/>
            </w:tcBorders>
            <w:shd w:val="clear" w:color="auto" w:fill="auto"/>
            <w:noWrap/>
            <w:vAlign w:val="bottom"/>
            <w:hideMark/>
          </w:tcPr>
          <w:p w14:paraId="3C044718" w14:textId="77777777" w:rsidR="00146FD5" w:rsidRPr="00CE2155" w:rsidRDefault="00146FD5" w:rsidP="00B97332">
            <w:pPr>
              <w:rPr>
                <w:rFonts w:eastAsia="Times New Roman" w:cs="Arial"/>
                <w:b/>
                <w:bCs/>
                <w:color w:val="000000"/>
                <w:u w:val="single"/>
              </w:rPr>
            </w:pPr>
          </w:p>
        </w:tc>
      </w:tr>
      <w:tr w:rsidR="00C92CD8" w14:paraId="61E51F3E" w14:textId="77777777" w:rsidTr="00B97332">
        <w:trPr>
          <w:trHeight w:val="600"/>
        </w:trPr>
        <w:tc>
          <w:tcPr>
            <w:tcW w:w="5245" w:type="dxa"/>
            <w:tcBorders>
              <w:top w:val="single" w:sz="4" w:space="0" w:color="auto"/>
              <w:left w:val="single" w:sz="4" w:space="0" w:color="auto"/>
              <w:bottom w:val="single" w:sz="4" w:space="0" w:color="auto"/>
              <w:right w:val="nil"/>
            </w:tcBorders>
            <w:shd w:val="clear" w:color="auto" w:fill="auto"/>
            <w:noWrap/>
            <w:vAlign w:val="bottom"/>
            <w:hideMark/>
          </w:tcPr>
          <w:p w14:paraId="1F95423B"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A8ECD"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32039CA1" w14:textId="77777777" w:rsidTr="00B97332">
        <w:trPr>
          <w:trHeight w:val="300"/>
        </w:trPr>
        <w:tc>
          <w:tcPr>
            <w:tcW w:w="5245" w:type="dxa"/>
            <w:tcBorders>
              <w:top w:val="nil"/>
              <w:left w:val="single" w:sz="4" w:space="0" w:color="auto"/>
              <w:bottom w:val="nil"/>
              <w:right w:val="nil"/>
            </w:tcBorders>
            <w:shd w:val="clear" w:color="auto" w:fill="auto"/>
            <w:noWrap/>
            <w:vAlign w:val="bottom"/>
            <w:hideMark/>
          </w:tcPr>
          <w:p w14:paraId="2DEC8662"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center"/>
            <w:hideMark/>
          </w:tcPr>
          <w:p w14:paraId="65EC36EA"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70B6255E"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F9C9C5C"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686" w:type="dxa"/>
            <w:tcBorders>
              <w:top w:val="nil"/>
              <w:left w:val="single" w:sz="4" w:space="0" w:color="auto"/>
              <w:bottom w:val="nil"/>
              <w:right w:val="single" w:sz="4" w:space="0" w:color="auto"/>
            </w:tcBorders>
            <w:shd w:val="clear" w:color="auto" w:fill="auto"/>
            <w:noWrap/>
            <w:vAlign w:val="bottom"/>
            <w:hideMark/>
          </w:tcPr>
          <w:p w14:paraId="46276763"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5F81BE15"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16C47047"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686" w:type="dxa"/>
            <w:tcBorders>
              <w:top w:val="nil"/>
              <w:left w:val="single" w:sz="4" w:space="0" w:color="auto"/>
              <w:bottom w:val="nil"/>
              <w:right w:val="single" w:sz="4" w:space="0" w:color="auto"/>
            </w:tcBorders>
            <w:shd w:val="clear" w:color="auto" w:fill="auto"/>
            <w:noWrap/>
            <w:vAlign w:val="bottom"/>
            <w:hideMark/>
          </w:tcPr>
          <w:p w14:paraId="0914014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67.730 </w:t>
            </w:r>
          </w:p>
        </w:tc>
      </w:tr>
      <w:tr w:rsidR="00C92CD8" w14:paraId="0977B384"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0F661BCD"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686" w:type="dxa"/>
            <w:tcBorders>
              <w:top w:val="nil"/>
              <w:left w:val="single" w:sz="4" w:space="0" w:color="auto"/>
              <w:bottom w:val="nil"/>
              <w:right w:val="single" w:sz="4" w:space="0" w:color="auto"/>
            </w:tcBorders>
            <w:shd w:val="clear" w:color="auto" w:fill="auto"/>
            <w:noWrap/>
            <w:vAlign w:val="bottom"/>
            <w:hideMark/>
          </w:tcPr>
          <w:p w14:paraId="5B4537BA"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3.952 </w:t>
            </w:r>
          </w:p>
        </w:tc>
      </w:tr>
      <w:tr w:rsidR="00C92CD8" w14:paraId="016D0739"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502E735E"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686" w:type="dxa"/>
            <w:tcBorders>
              <w:top w:val="nil"/>
              <w:left w:val="single" w:sz="4" w:space="0" w:color="auto"/>
              <w:bottom w:val="nil"/>
              <w:right w:val="single" w:sz="4" w:space="0" w:color="auto"/>
            </w:tcBorders>
            <w:shd w:val="clear" w:color="auto" w:fill="auto"/>
            <w:noWrap/>
            <w:vAlign w:val="bottom"/>
            <w:hideMark/>
          </w:tcPr>
          <w:p w14:paraId="210CC1A1"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42.937 </w:t>
            </w:r>
          </w:p>
        </w:tc>
      </w:tr>
      <w:tr w:rsidR="00C92CD8" w14:paraId="7CAD001B"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EBABEFE"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686" w:type="dxa"/>
            <w:tcBorders>
              <w:top w:val="nil"/>
              <w:left w:val="single" w:sz="4" w:space="0" w:color="auto"/>
              <w:bottom w:val="nil"/>
              <w:right w:val="single" w:sz="4" w:space="0" w:color="auto"/>
            </w:tcBorders>
            <w:shd w:val="clear" w:color="auto" w:fill="auto"/>
            <w:noWrap/>
            <w:vAlign w:val="bottom"/>
            <w:hideMark/>
          </w:tcPr>
          <w:p w14:paraId="6D3DF355"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34.584 </w:t>
            </w:r>
          </w:p>
        </w:tc>
      </w:tr>
      <w:tr w:rsidR="00C92CD8" w14:paraId="77D0D0EA"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13EA124F"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686" w:type="dxa"/>
            <w:tcBorders>
              <w:top w:val="nil"/>
              <w:left w:val="single" w:sz="4" w:space="0" w:color="auto"/>
              <w:bottom w:val="nil"/>
              <w:right w:val="single" w:sz="4" w:space="0" w:color="auto"/>
            </w:tcBorders>
            <w:shd w:val="clear" w:color="auto" w:fill="auto"/>
            <w:noWrap/>
            <w:vAlign w:val="bottom"/>
            <w:hideMark/>
          </w:tcPr>
          <w:p w14:paraId="15CD15FA"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139.933 </w:t>
            </w:r>
          </w:p>
        </w:tc>
      </w:tr>
      <w:tr w:rsidR="00C92CD8" w14:paraId="6316F329"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20EB8A96"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686" w:type="dxa"/>
            <w:tcBorders>
              <w:top w:val="nil"/>
              <w:left w:val="single" w:sz="4" w:space="0" w:color="auto"/>
              <w:bottom w:val="nil"/>
              <w:right w:val="single" w:sz="4" w:space="0" w:color="auto"/>
            </w:tcBorders>
            <w:shd w:val="clear" w:color="auto" w:fill="auto"/>
            <w:noWrap/>
            <w:vAlign w:val="bottom"/>
            <w:hideMark/>
          </w:tcPr>
          <w:p w14:paraId="07304D6D"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4895C59F"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027B5E50"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686" w:type="dxa"/>
            <w:tcBorders>
              <w:top w:val="nil"/>
              <w:left w:val="single" w:sz="4" w:space="0" w:color="auto"/>
              <w:bottom w:val="nil"/>
              <w:right w:val="single" w:sz="4" w:space="0" w:color="auto"/>
            </w:tcBorders>
            <w:shd w:val="clear" w:color="auto" w:fill="auto"/>
            <w:noWrap/>
            <w:vAlign w:val="bottom"/>
            <w:hideMark/>
          </w:tcPr>
          <w:p w14:paraId="51DDE48D"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53F049CC"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34CB51C9"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686" w:type="dxa"/>
            <w:tcBorders>
              <w:top w:val="nil"/>
              <w:left w:val="single" w:sz="4" w:space="0" w:color="auto"/>
              <w:bottom w:val="nil"/>
              <w:right w:val="single" w:sz="4" w:space="0" w:color="auto"/>
            </w:tcBorders>
            <w:shd w:val="clear" w:color="auto" w:fill="auto"/>
            <w:noWrap/>
            <w:vAlign w:val="bottom"/>
            <w:hideMark/>
          </w:tcPr>
          <w:p w14:paraId="770D4A82"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7AB35383"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44BF897"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686" w:type="dxa"/>
            <w:tcBorders>
              <w:top w:val="nil"/>
              <w:left w:val="single" w:sz="4" w:space="0" w:color="auto"/>
              <w:bottom w:val="nil"/>
              <w:right w:val="single" w:sz="4" w:space="0" w:color="auto"/>
            </w:tcBorders>
            <w:shd w:val="clear" w:color="auto" w:fill="auto"/>
            <w:noWrap/>
            <w:vAlign w:val="bottom"/>
            <w:hideMark/>
          </w:tcPr>
          <w:p w14:paraId="318C9EC2"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289.136 </w:t>
            </w:r>
          </w:p>
        </w:tc>
      </w:tr>
      <w:tr w:rsidR="00C92CD8" w14:paraId="2D8AE22B"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C97BD07"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bottom"/>
            <w:hideMark/>
          </w:tcPr>
          <w:p w14:paraId="743B99DE"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45676725"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41363A9"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686" w:type="dxa"/>
            <w:tcBorders>
              <w:top w:val="nil"/>
              <w:left w:val="single" w:sz="4" w:space="0" w:color="auto"/>
              <w:bottom w:val="nil"/>
              <w:right w:val="single" w:sz="4" w:space="0" w:color="auto"/>
            </w:tcBorders>
            <w:shd w:val="clear" w:color="auto" w:fill="auto"/>
            <w:noWrap/>
            <w:vAlign w:val="bottom"/>
            <w:hideMark/>
          </w:tcPr>
          <w:p w14:paraId="36E334A5"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4471457E"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2AECE20A"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686" w:type="dxa"/>
            <w:tcBorders>
              <w:top w:val="nil"/>
              <w:left w:val="single" w:sz="4" w:space="0" w:color="auto"/>
              <w:bottom w:val="nil"/>
              <w:right w:val="single" w:sz="4" w:space="0" w:color="auto"/>
            </w:tcBorders>
            <w:shd w:val="clear" w:color="auto" w:fill="auto"/>
            <w:noWrap/>
            <w:vAlign w:val="bottom"/>
            <w:hideMark/>
          </w:tcPr>
          <w:p w14:paraId="5CA86D2D"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22.255 </w:t>
            </w:r>
          </w:p>
        </w:tc>
      </w:tr>
      <w:tr w:rsidR="00C92CD8" w14:paraId="6329987C"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883CD10"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686" w:type="dxa"/>
            <w:tcBorders>
              <w:top w:val="nil"/>
              <w:left w:val="single" w:sz="4" w:space="0" w:color="auto"/>
              <w:bottom w:val="nil"/>
              <w:right w:val="single" w:sz="4" w:space="0" w:color="auto"/>
            </w:tcBorders>
            <w:shd w:val="clear" w:color="auto" w:fill="auto"/>
            <w:noWrap/>
            <w:vAlign w:val="bottom"/>
            <w:hideMark/>
          </w:tcPr>
          <w:p w14:paraId="035EB3EF"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3.660 </w:t>
            </w:r>
          </w:p>
        </w:tc>
      </w:tr>
      <w:tr w:rsidR="00C92CD8" w14:paraId="6BBF3FCA"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DCBC3E2"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686" w:type="dxa"/>
            <w:tcBorders>
              <w:top w:val="nil"/>
              <w:left w:val="single" w:sz="4" w:space="0" w:color="auto"/>
              <w:bottom w:val="nil"/>
              <w:right w:val="single" w:sz="4" w:space="0" w:color="auto"/>
            </w:tcBorders>
            <w:shd w:val="clear" w:color="auto" w:fill="auto"/>
            <w:noWrap/>
            <w:vAlign w:val="bottom"/>
            <w:hideMark/>
          </w:tcPr>
          <w:p w14:paraId="1D26921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75582DD1"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22FF1482"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686" w:type="dxa"/>
            <w:tcBorders>
              <w:top w:val="nil"/>
              <w:left w:val="single" w:sz="4" w:space="0" w:color="auto"/>
              <w:bottom w:val="nil"/>
              <w:right w:val="single" w:sz="4" w:space="0" w:color="auto"/>
            </w:tcBorders>
            <w:shd w:val="clear" w:color="auto" w:fill="auto"/>
            <w:noWrap/>
            <w:vAlign w:val="bottom"/>
            <w:hideMark/>
          </w:tcPr>
          <w:p w14:paraId="2EC276E6"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81.318 </w:t>
            </w:r>
          </w:p>
        </w:tc>
      </w:tr>
      <w:tr w:rsidR="00C92CD8" w14:paraId="0CEC5C30"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52E2AA14"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686" w:type="dxa"/>
            <w:tcBorders>
              <w:top w:val="nil"/>
              <w:left w:val="single" w:sz="4" w:space="0" w:color="auto"/>
              <w:bottom w:val="nil"/>
              <w:right w:val="single" w:sz="4" w:space="0" w:color="auto"/>
            </w:tcBorders>
            <w:shd w:val="clear" w:color="auto" w:fill="auto"/>
            <w:noWrap/>
            <w:vAlign w:val="bottom"/>
            <w:hideMark/>
          </w:tcPr>
          <w:p w14:paraId="5CA3A48B"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5157CD3C"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6299624B"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686" w:type="dxa"/>
            <w:tcBorders>
              <w:top w:val="nil"/>
              <w:left w:val="single" w:sz="4" w:space="0" w:color="auto"/>
              <w:bottom w:val="nil"/>
              <w:right w:val="single" w:sz="4" w:space="0" w:color="auto"/>
            </w:tcBorders>
            <w:shd w:val="clear" w:color="auto" w:fill="auto"/>
            <w:noWrap/>
            <w:vAlign w:val="bottom"/>
            <w:hideMark/>
          </w:tcPr>
          <w:p w14:paraId="315CD4AD"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107.233 </w:t>
            </w:r>
          </w:p>
        </w:tc>
      </w:tr>
      <w:tr w:rsidR="00C92CD8" w14:paraId="427057EF"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30694F37"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bottom"/>
            <w:hideMark/>
          </w:tcPr>
          <w:p w14:paraId="5310B158"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584658AF" w14:textId="77777777" w:rsidTr="00B97332">
        <w:trPr>
          <w:trHeight w:val="300"/>
        </w:trPr>
        <w:tc>
          <w:tcPr>
            <w:tcW w:w="5245" w:type="dxa"/>
            <w:tcBorders>
              <w:top w:val="single" w:sz="4" w:space="0" w:color="auto"/>
              <w:left w:val="single" w:sz="4" w:space="0" w:color="auto"/>
              <w:bottom w:val="single" w:sz="4" w:space="0" w:color="auto"/>
              <w:right w:val="nil"/>
            </w:tcBorders>
            <w:shd w:val="clear" w:color="auto" w:fill="auto"/>
            <w:noWrap/>
            <w:vAlign w:val="center"/>
            <w:hideMark/>
          </w:tcPr>
          <w:p w14:paraId="6AEA32EE"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0BCC3"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181.903 </w:t>
            </w:r>
          </w:p>
        </w:tc>
      </w:tr>
    </w:tbl>
    <w:p w14:paraId="1DC5153B" w14:textId="77777777" w:rsidR="00146FD5" w:rsidRPr="00CE2155" w:rsidRDefault="004A7A82" w:rsidP="00146FD5">
      <w:pPr>
        <w:rPr>
          <w:rFonts w:cs="Arial"/>
        </w:rPr>
      </w:pPr>
      <w:r w:rsidRPr="00CE2155">
        <w:rPr>
          <w:rFonts w:cs="Arial"/>
        </w:rPr>
        <w:br w:type="page"/>
      </w:r>
    </w:p>
    <w:tbl>
      <w:tblPr>
        <w:tblW w:w="8931" w:type="dxa"/>
        <w:tblLook w:val="04A0" w:firstRow="1" w:lastRow="0" w:firstColumn="1" w:lastColumn="0" w:noHBand="0" w:noVBand="1"/>
      </w:tblPr>
      <w:tblGrid>
        <w:gridCol w:w="5245"/>
        <w:gridCol w:w="3686"/>
      </w:tblGrid>
      <w:tr w:rsidR="00C92CD8" w14:paraId="2C587B94" w14:textId="77777777" w:rsidTr="00B97332">
        <w:trPr>
          <w:trHeight w:val="300"/>
        </w:trPr>
        <w:tc>
          <w:tcPr>
            <w:tcW w:w="5245" w:type="dxa"/>
            <w:tcBorders>
              <w:top w:val="nil"/>
              <w:left w:val="nil"/>
              <w:bottom w:val="nil"/>
              <w:right w:val="nil"/>
            </w:tcBorders>
            <w:shd w:val="clear" w:color="auto" w:fill="auto"/>
            <w:noWrap/>
            <w:vAlign w:val="bottom"/>
            <w:hideMark/>
          </w:tcPr>
          <w:p w14:paraId="2CCC423D" w14:textId="77777777" w:rsidR="00146FD5" w:rsidRDefault="004A7A82" w:rsidP="00B97332">
            <w:pPr>
              <w:rPr>
                <w:rFonts w:eastAsia="Times New Roman" w:cs="Arial"/>
                <w:b/>
                <w:bCs/>
                <w:color w:val="000000"/>
                <w:u w:val="single"/>
              </w:rPr>
            </w:pPr>
            <w:r>
              <w:rPr>
                <w:rFonts w:eastAsia="Times New Roman" w:cs="Arial"/>
                <w:b/>
                <w:bCs/>
                <w:color w:val="000000"/>
                <w:u w:val="single"/>
              </w:rPr>
              <w:lastRenderedPageBreak/>
              <w:t xml:space="preserve">3.3 </w:t>
            </w:r>
            <w:r w:rsidRPr="00CE2155">
              <w:rPr>
                <w:rFonts w:eastAsia="Times New Roman" w:cs="Arial"/>
                <w:b/>
                <w:bCs/>
                <w:color w:val="000000"/>
                <w:u w:val="single"/>
              </w:rPr>
              <w:t>Director of Growth and Regeneration</w:t>
            </w:r>
          </w:p>
          <w:p w14:paraId="6E610143" w14:textId="77777777" w:rsidR="000A5B26" w:rsidRDefault="000A5B26" w:rsidP="00B97332">
            <w:pPr>
              <w:rPr>
                <w:rFonts w:eastAsia="Times New Roman" w:cs="Arial"/>
                <w:b/>
                <w:bCs/>
                <w:color w:val="000000"/>
                <w:u w:val="single"/>
              </w:rPr>
            </w:pPr>
          </w:p>
          <w:p w14:paraId="3315F4C7" w14:textId="77777777" w:rsidR="00146FD5" w:rsidRPr="00CE2155" w:rsidRDefault="00146FD5" w:rsidP="00B97332">
            <w:pPr>
              <w:rPr>
                <w:rFonts w:eastAsia="Times New Roman" w:cs="Arial"/>
                <w:b/>
                <w:bCs/>
                <w:color w:val="000000"/>
                <w:u w:val="single"/>
              </w:rPr>
            </w:pPr>
          </w:p>
        </w:tc>
        <w:tc>
          <w:tcPr>
            <w:tcW w:w="3686" w:type="dxa"/>
            <w:tcBorders>
              <w:top w:val="nil"/>
              <w:left w:val="nil"/>
              <w:bottom w:val="nil"/>
              <w:right w:val="nil"/>
            </w:tcBorders>
            <w:shd w:val="clear" w:color="auto" w:fill="auto"/>
            <w:noWrap/>
            <w:vAlign w:val="bottom"/>
            <w:hideMark/>
          </w:tcPr>
          <w:p w14:paraId="6C5C4F3B" w14:textId="77777777" w:rsidR="00146FD5" w:rsidRPr="00CE2155" w:rsidRDefault="00146FD5" w:rsidP="00B97332">
            <w:pPr>
              <w:rPr>
                <w:rFonts w:eastAsia="Times New Roman" w:cs="Arial"/>
                <w:b/>
                <w:bCs/>
                <w:color w:val="000000"/>
                <w:u w:val="single"/>
              </w:rPr>
            </w:pPr>
          </w:p>
        </w:tc>
      </w:tr>
      <w:tr w:rsidR="00C92CD8" w14:paraId="0E3223D0" w14:textId="77777777" w:rsidTr="00B97332">
        <w:trPr>
          <w:trHeight w:val="600"/>
        </w:trPr>
        <w:tc>
          <w:tcPr>
            <w:tcW w:w="5245" w:type="dxa"/>
            <w:tcBorders>
              <w:top w:val="single" w:sz="4" w:space="0" w:color="auto"/>
              <w:left w:val="single" w:sz="4" w:space="0" w:color="auto"/>
              <w:bottom w:val="single" w:sz="4" w:space="0" w:color="auto"/>
              <w:right w:val="nil"/>
            </w:tcBorders>
            <w:shd w:val="clear" w:color="auto" w:fill="auto"/>
            <w:noWrap/>
            <w:vAlign w:val="bottom"/>
            <w:hideMark/>
          </w:tcPr>
          <w:p w14:paraId="59899B08"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D5993"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494DA8EE" w14:textId="77777777" w:rsidTr="00B97332">
        <w:trPr>
          <w:trHeight w:val="300"/>
        </w:trPr>
        <w:tc>
          <w:tcPr>
            <w:tcW w:w="5245" w:type="dxa"/>
            <w:tcBorders>
              <w:top w:val="nil"/>
              <w:left w:val="single" w:sz="4" w:space="0" w:color="auto"/>
              <w:bottom w:val="nil"/>
              <w:right w:val="nil"/>
            </w:tcBorders>
            <w:shd w:val="clear" w:color="auto" w:fill="auto"/>
            <w:noWrap/>
            <w:vAlign w:val="bottom"/>
            <w:hideMark/>
          </w:tcPr>
          <w:p w14:paraId="34949A03"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center"/>
            <w:hideMark/>
          </w:tcPr>
          <w:p w14:paraId="43E52873"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2B120E4E"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356948B"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686" w:type="dxa"/>
            <w:tcBorders>
              <w:top w:val="nil"/>
              <w:left w:val="single" w:sz="4" w:space="0" w:color="auto"/>
              <w:bottom w:val="nil"/>
              <w:right w:val="single" w:sz="4" w:space="0" w:color="auto"/>
            </w:tcBorders>
            <w:shd w:val="clear" w:color="auto" w:fill="auto"/>
            <w:noWrap/>
            <w:vAlign w:val="bottom"/>
            <w:hideMark/>
          </w:tcPr>
          <w:p w14:paraId="6B8D696B"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37118E0A"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6EBB977B"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686" w:type="dxa"/>
            <w:tcBorders>
              <w:top w:val="nil"/>
              <w:left w:val="single" w:sz="4" w:space="0" w:color="auto"/>
              <w:bottom w:val="nil"/>
              <w:right w:val="single" w:sz="4" w:space="0" w:color="auto"/>
            </w:tcBorders>
            <w:shd w:val="clear" w:color="auto" w:fill="auto"/>
            <w:noWrap/>
            <w:vAlign w:val="bottom"/>
            <w:hideMark/>
          </w:tcPr>
          <w:p w14:paraId="2DAF3F06"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6.147 </w:t>
            </w:r>
          </w:p>
        </w:tc>
      </w:tr>
      <w:tr w:rsidR="00C92CD8" w14:paraId="2E8899ED"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3782ECB3"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686" w:type="dxa"/>
            <w:tcBorders>
              <w:top w:val="nil"/>
              <w:left w:val="single" w:sz="4" w:space="0" w:color="auto"/>
              <w:bottom w:val="nil"/>
              <w:right w:val="single" w:sz="4" w:space="0" w:color="auto"/>
            </w:tcBorders>
            <w:shd w:val="clear" w:color="auto" w:fill="auto"/>
            <w:noWrap/>
            <w:vAlign w:val="bottom"/>
            <w:hideMark/>
          </w:tcPr>
          <w:p w14:paraId="34BF6B6A"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0.180 </w:t>
            </w:r>
          </w:p>
        </w:tc>
      </w:tr>
      <w:tr w:rsidR="00C92CD8" w14:paraId="6FE6D87C"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985D976"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686" w:type="dxa"/>
            <w:tcBorders>
              <w:top w:val="nil"/>
              <w:left w:val="single" w:sz="4" w:space="0" w:color="auto"/>
              <w:bottom w:val="nil"/>
              <w:right w:val="single" w:sz="4" w:space="0" w:color="auto"/>
            </w:tcBorders>
            <w:shd w:val="clear" w:color="auto" w:fill="auto"/>
            <w:noWrap/>
            <w:vAlign w:val="bottom"/>
            <w:hideMark/>
          </w:tcPr>
          <w:p w14:paraId="2EF45ED5"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0.030 </w:t>
            </w:r>
          </w:p>
        </w:tc>
      </w:tr>
      <w:tr w:rsidR="00C92CD8" w14:paraId="34154101"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060BF55A"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686" w:type="dxa"/>
            <w:tcBorders>
              <w:top w:val="nil"/>
              <w:left w:val="single" w:sz="4" w:space="0" w:color="auto"/>
              <w:bottom w:val="nil"/>
              <w:right w:val="single" w:sz="4" w:space="0" w:color="auto"/>
            </w:tcBorders>
            <w:shd w:val="clear" w:color="auto" w:fill="auto"/>
            <w:noWrap/>
            <w:vAlign w:val="bottom"/>
            <w:hideMark/>
          </w:tcPr>
          <w:p w14:paraId="13D02B2E"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17.240 </w:t>
            </w:r>
          </w:p>
        </w:tc>
      </w:tr>
      <w:tr w:rsidR="00C92CD8" w14:paraId="5A51DA19"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2E6B8D2B"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686" w:type="dxa"/>
            <w:tcBorders>
              <w:top w:val="nil"/>
              <w:left w:val="single" w:sz="4" w:space="0" w:color="auto"/>
              <w:bottom w:val="nil"/>
              <w:right w:val="single" w:sz="4" w:space="0" w:color="auto"/>
            </w:tcBorders>
            <w:shd w:val="clear" w:color="auto" w:fill="auto"/>
            <w:noWrap/>
            <w:vAlign w:val="bottom"/>
            <w:hideMark/>
          </w:tcPr>
          <w:p w14:paraId="6F13813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54912A0F"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1128E24D"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686" w:type="dxa"/>
            <w:tcBorders>
              <w:top w:val="nil"/>
              <w:left w:val="single" w:sz="4" w:space="0" w:color="auto"/>
              <w:bottom w:val="nil"/>
              <w:right w:val="single" w:sz="4" w:space="0" w:color="auto"/>
            </w:tcBorders>
            <w:shd w:val="clear" w:color="auto" w:fill="auto"/>
            <w:noWrap/>
            <w:vAlign w:val="bottom"/>
            <w:hideMark/>
          </w:tcPr>
          <w:p w14:paraId="687E690E"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4A2EAC4C"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60075179"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686" w:type="dxa"/>
            <w:tcBorders>
              <w:top w:val="nil"/>
              <w:left w:val="single" w:sz="4" w:space="0" w:color="auto"/>
              <w:bottom w:val="nil"/>
              <w:right w:val="single" w:sz="4" w:space="0" w:color="auto"/>
            </w:tcBorders>
            <w:shd w:val="clear" w:color="auto" w:fill="auto"/>
            <w:noWrap/>
            <w:vAlign w:val="bottom"/>
            <w:hideMark/>
          </w:tcPr>
          <w:p w14:paraId="13CD6880"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752D93C4"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7B94C97B"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686" w:type="dxa"/>
            <w:tcBorders>
              <w:top w:val="nil"/>
              <w:left w:val="single" w:sz="4" w:space="0" w:color="auto"/>
              <w:bottom w:val="nil"/>
              <w:right w:val="single" w:sz="4" w:space="0" w:color="auto"/>
            </w:tcBorders>
            <w:shd w:val="clear" w:color="auto" w:fill="auto"/>
            <w:noWrap/>
            <w:vAlign w:val="bottom"/>
            <w:hideMark/>
          </w:tcPr>
          <w:p w14:paraId="160266C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42E7C644"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708ABE3C"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686" w:type="dxa"/>
            <w:tcBorders>
              <w:top w:val="nil"/>
              <w:left w:val="single" w:sz="4" w:space="0" w:color="auto"/>
              <w:bottom w:val="nil"/>
              <w:right w:val="single" w:sz="4" w:space="0" w:color="auto"/>
            </w:tcBorders>
            <w:shd w:val="clear" w:color="auto" w:fill="auto"/>
            <w:noWrap/>
            <w:vAlign w:val="bottom"/>
            <w:hideMark/>
          </w:tcPr>
          <w:p w14:paraId="15B103B4"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23.597 </w:t>
            </w:r>
          </w:p>
        </w:tc>
      </w:tr>
      <w:tr w:rsidR="00C92CD8" w14:paraId="773D856C"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50ADE92E"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bottom"/>
            <w:hideMark/>
          </w:tcPr>
          <w:p w14:paraId="3AD778AE"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108A6DBE"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0E3474C0"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686" w:type="dxa"/>
            <w:tcBorders>
              <w:top w:val="nil"/>
              <w:left w:val="single" w:sz="4" w:space="0" w:color="auto"/>
              <w:bottom w:val="nil"/>
              <w:right w:val="single" w:sz="4" w:space="0" w:color="auto"/>
            </w:tcBorders>
            <w:shd w:val="clear" w:color="auto" w:fill="auto"/>
            <w:noWrap/>
            <w:vAlign w:val="bottom"/>
            <w:hideMark/>
          </w:tcPr>
          <w:p w14:paraId="0D6FAE9D"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36B92EA8"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29A0C80C"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686" w:type="dxa"/>
            <w:tcBorders>
              <w:top w:val="nil"/>
              <w:left w:val="single" w:sz="4" w:space="0" w:color="auto"/>
              <w:bottom w:val="nil"/>
              <w:right w:val="single" w:sz="4" w:space="0" w:color="auto"/>
            </w:tcBorders>
            <w:shd w:val="clear" w:color="auto" w:fill="auto"/>
            <w:noWrap/>
            <w:vAlign w:val="bottom"/>
            <w:hideMark/>
          </w:tcPr>
          <w:p w14:paraId="18274CC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1.157 </w:t>
            </w:r>
          </w:p>
        </w:tc>
      </w:tr>
      <w:tr w:rsidR="00C92CD8" w14:paraId="52D1AF66"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793FBDFE"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686" w:type="dxa"/>
            <w:tcBorders>
              <w:top w:val="nil"/>
              <w:left w:val="single" w:sz="4" w:space="0" w:color="auto"/>
              <w:bottom w:val="nil"/>
              <w:right w:val="single" w:sz="4" w:space="0" w:color="auto"/>
            </w:tcBorders>
            <w:shd w:val="clear" w:color="auto" w:fill="auto"/>
            <w:noWrap/>
            <w:vAlign w:val="bottom"/>
            <w:hideMark/>
          </w:tcPr>
          <w:p w14:paraId="1D68A6BF"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3.559 </w:t>
            </w:r>
          </w:p>
        </w:tc>
      </w:tr>
      <w:tr w:rsidR="00C92CD8" w14:paraId="2BEDCF41"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5142B6DE"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686" w:type="dxa"/>
            <w:tcBorders>
              <w:top w:val="nil"/>
              <w:left w:val="single" w:sz="4" w:space="0" w:color="auto"/>
              <w:bottom w:val="nil"/>
              <w:right w:val="single" w:sz="4" w:space="0" w:color="auto"/>
            </w:tcBorders>
            <w:shd w:val="clear" w:color="auto" w:fill="auto"/>
            <w:noWrap/>
            <w:vAlign w:val="bottom"/>
            <w:hideMark/>
          </w:tcPr>
          <w:p w14:paraId="076E4230"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0989EBCC"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5D34C3B5"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686" w:type="dxa"/>
            <w:tcBorders>
              <w:top w:val="nil"/>
              <w:left w:val="single" w:sz="4" w:space="0" w:color="auto"/>
              <w:bottom w:val="nil"/>
              <w:right w:val="single" w:sz="4" w:space="0" w:color="auto"/>
            </w:tcBorders>
            <w:shd w:val="clear" w:color="auto" w:fill="auto"/>
            <w:noWrap/>
            <w:vAlign w:val="bottom"/>
            <w:hideMark/>
          </w:tcPr>
          <w:p w14:paraId="4C44E174"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6.890 </w:t>
            </w:r>
          </w:p>
        </w:tc>
      </w:tr>
      <w:tr w:rsidR="00C92CD8" w14:paraId="06CD0CD2"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0B279D9F"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686" w:type="dxa"/>
            <w:tcBorders>
              <w:top w:val="nil"/>
              <w:left w:val="single" w:sz="4" w:space="0" w:color="auto"/>
              <w:bottom w:val="nil"/>
              <w:right w:val="single" w:sz="4" w:space="0" w:color="auto"/>
            </w:tcBorders>
            <w:shd w:val="clear" w:color="auto" w:fill="auto"/>
            <w:noWrap/>
            <w:vAlign w:val="bottom"/>
            <w:hideMark/>
          </w:tcPr>
          <w:p w14:paraId="09D68C32" w14:textId="1E3210DB" w:rsidR="00146FD5" w:rsidRPr="00CE2155" w:rsidRDefault="004A7A82" w:rsidP="00B97332">
            <w:pPr>
              <w:jc w:val="right"/>
              <w:rPr>
                <w:rFonts w:eastAsia="Times New Roman" w:cs="Arial"/>
                <w:color w:val="000000"/>
              </w:rPr>
            </w:pPr>
            <w:r w:rsidRPr="00CE2155">
              <w:rPr>
                <w:rFonts w:eastAsia="Times New Roman" w:cs="Arial"/>
                <w:color w:val="000000"/>
              </w:rPr>
              <w:t xml:space="preserve">                                       9.14</w:t>
            </w:r>
            <w:r w:rsidR="00730BFC">
              <w:rPr>
                <w:rFonts w:eastAsia="Times New Roman" w:cs="Arial"/>
                <w:color w:val="000000"/>
              </w:rPr>
              <w:t>4</w:t>
            </w:r>
            <w:r w:rsidRPr="00CE2155">
              <w:rPr>
                <w:rFonts w:eastAsia="Times New Roman" w:cs="Arial"/>
                <w:color w:val="000000"/>
              </w:rPr>
              <w:t xml:space="preserve"> </w:t>
            </w:r>
          </w:p>
        </w:tc>
      </w:tr>
      <w:tr w:rsidR="00C92CD8" w14:paraId="74BB2D92"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03717FAD"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686" w:type="dxa"/>
            <w:tcBorders>
              <w:top w:val="nil"/>
              <w:left w:val="single" w:sz="4" w:space="0" w:color="auto"/>
              <w:bottom w:val="nil"/>
              <w:right w:val="single" w:sz="4" w:space="0" w:color="auto"/>
            </w:tcBorders>
            <w:shd w:val="clear" w:color="auto" w:fill="auto"/>
            <w:noWrap/>
            <w:vAlign w:val="bottom"/>
            <w:hideMark/>
          </w:tcPr>
          <w:p w14:paraId="343BC9D8" w14:textId="78FB0F0A"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20.7</w:t>
            </w:r>
            <w:r w:rsidR="00730BFC">
              <w:rPr>
                <w:rFonts w:eastAsia="Times New Roman" w:cs="Arial"/>
                <w:b/>
                <w:bCs/>
                <w:color w:val="000000"/>
              </w:rPr>
              <w:t>50</w:t>
            </w:r>
            <w:r w:rsidRPr="00CE2155">
              <w:rPr>
                <w:rFonts w:eastAsia="Times New Roman" w:cs="Arial"/>
                <w:b/>
                <w:bCs/>
                <w:color w:val="000000"/>
              </w:rPr>
              <w:t xml:space="preserve"> </w:t>
            </w:r>
          </w:p>
        </w:tc>
      </w:tr>
      <w:tr w:rsidR="00C92CD8" w14:paraId="6D3E5B8F"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BD02C87"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bottom"/>
            <w:hideMark/>
          </w:tcPr>
          <w:p w14:paraId="0C4925DE"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0AF47466" w14:textId="77777777" w:rsidTr="00B97332">
        <w:trPr>
          <w:trHeight w:val="300"/>
        </w:trPr>
        <w:tc>
          <w:tcPr>
            <w:tcW w:w="5245" w:type="dxa"/>
            <w:tcBorders>
              <w:top w:val="single" w:sz="4" w:space="0" w:color="auto"/>
              <w:left w:val="single" w:sz="4" w:space="0" w:color="auto"/>
              <w:bottom w:val="single" w:sz="4" w:space="0" w:color="auto"/>
              <w:right w:val="nil"/>
            </w:tcBorders>
            <w:shd w:val="clear" w:color="auto" w:fill="auto"/>
            <w:noWrap/>
            <w:vAlign w:val="center"/>
            <w:hideMark/>
          </w:tcPr>
          <w:p w14:paraId="0C4B79B5"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8D8DD" w14:textId="573D6E66"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2.84</w:t>
            </w:r>
            <w:r w:rsidR="00730BFC">
              <w:rPr>
                <w:rFonts w:eastAsia="Times New Roman" w:cs="Arial"/>
                <w:b/>
                <w:bCs/>
                <w:color w:val="000000"/>
              </w:rPr>
              <w:t>7</w:t>
            </w:r>
            <w:r w:rsidRPr="00CE2155">
              <w:rPr>
                <w:rFonts w:eastAsia="Times New Roman" w:cs="Arial"/>
                <w:b/>
                <w:bCs/>
                <w:color w:val="000000"/>
              </w:rPr>
              <w:t xml:space="preserve"> </w:t>
            </w:r>
          </w:p>
        </w:tc>
      </w:tr>
    </w:tbl>
    <w:p w14:paraId="5F2225EC" w14:textId="77777777" w:rsidR="00146FD5" w:rsidRPr="00CE2155" w:rsidRDefault="004A7A82" w:rsidP="00146FD5">
      <w:pPr>
        <w:rPr>
          <w:rFonts w:cs="Arial"/>
        </w:rPr>
      </w:pPr>
      <w:r w:rsidRPr="00CE2155">
        <w:rPr>
          <w:rFonts w:cs="Arial"/>
        </w:rPr>
        <w:br w:type="page"/>
      </w:r>
    </w:p>
    <w:tbl>
      <w:tblPr>
        <w:tblW w:w="8931" w:type="dxa"/>
        <w:tblLook w:val="04A0" w:firstRow="1" w:lastRow="0" w:firstColumn="1" w:lastColumn="0" w:noHBand="0" w:noVBand="1"/>
      </w:tblPr>
      <w:tblGrid>
        <w:gridCol w:w="5245"/>
        <w:gridCol w:w="3686"/>
      </w:tblGrid>
      <w:tr w:rsidR="00C92CD8" w14:paraId="7884284B" w14:textId="77777777" w:rsidTr="00B97332">
        <w:trPr>
          <w:trHeight w:val="300"/>
        </w:trPr>
        <w:tc>
          <w:tcPr>
            <w:tcW w:w="5245" w:type="dxa"/>
            <w:tcBorders>
              <w:top w:val="nil"/>
              <w:left w:val="nil"/>
              <w:bottom w:val="nil"/>
              <w:right w:val="nil"/>
            </w:tcBorders>
            <w:shd w:val="clear" w:color="auto" w:fill="auto"/>
            <w:noWrap/>
            <w:vAlign w:val="bottom"/>
            <w:hideMark/>
          </w:tcPr>
          <w:p w14:paraId="3C15C9C4" w14:textId="77777777" w:rsidR="00146FD5" w:rsidRDefault="004A7A82" w:rsidP="00B97332">
            <w:pPr>
              <w:rPr>
                <w:rFonts w:eastAsia="Times New Roman" w:cs="Arial"/>
                <w:b/>
                <w:bCs/>
                <w:color w:val="000000"/>
                <w:u w:val="single"/>
              </w:rPr>
            </w:pPr>
            <w:r>
              <w:rPr>
                <w:rFonts w:eastAsia="Times New Roman" w:cs="Arial"/>
                <w:b/>
                <w:bCs/>
                <w:color w:val="000000"/>
                <w:u w:val="single"/>
              </w:rPr>
              <w:lastRenderedPageBreak/>
              <w:t xml:space="preserve">3.4 </w:t>
            </w:r>
            <w:r w:rsidRPr="00CE2155">
              <w:rPr>
                <w:rFonts w:eastAsia="Times New Roman" w:cs="Arial"/>
                <w:b/>
                <w:bCs/>
                <w:color w:val="000000"/>
                <w:u w:val="single"/>
              </w:rPr>
              <w:t>Director of Environment and Planning</w:t>
            </w:r>
          </w:p>
          <w:p w14:paraId="65A68872" w14:textId="77777777" w:rsidR="000A5B26" w:rsidRDefault="000A5B26" w:rsidP="00B97332">
            <w:pPr>
              <w:rPr>
                <w:rFonts w:eastAsia="Times New Roman" w:cs="Arial"/>
                <w:b/>
                <w:bCs/>
                <w:color w:val="000000"/>
                <w:u w:val="single"/>
              </w:rPr>
            </w:pPr>
          </w:p>
          <w:p w14:paraId="2AEA47C9" w14:textId="77777777" w:rsidR="00146FD5" w:rsidRPr="00CE2155" w:rsidRDefault="00146FD5" w:rsidP="00B97332">
            <w:pPr>
              <w:rPr>
                <w:rFonts w:eastAsia="Times New Roman" w:cs="Arial"/>
                <w:b/>
                <w:bCs/>
                <w:color w:val="000000"/>
                <w:u w:val="single"/>
              </w:rPr>
            </w:pPr>
          </w:p>
        </w:tc>
        <w:tc>
          <w:tcPr>
            <w:tcW w:w="3686" w:type="dxa"/>
            <w:tcBorders>
              <w:top w:val="nil"/>
              <w:left w:val="nil"/>
              <w:bottom w:val="nil"/>
              <w:right w:val="nil"/>
            </w:tcBorders>
            <w:shd w:val="clear" w:color="auto" w:fill="auto"/>
            <w:noWrap/>
            <w:vAlign w:val="bottom"/>
            <w:hideMark/>
          </w:tcPr>
          <w:p w14:paraId="78D0ACDA" w14:textId="77777777" w:rsidR="00146FD5" w:rsidRPr="00CE2155" w:rsidRDefault="00146FD5" w:rsidP="00B97332">
            <w:pPr>
              <w:rPr>
                <w:rFonts w:eastAsia="Times New Roman" w:cs="Arial"/>
                <w:b/>
                <w:bCs/>
                <w:color w:val="000000"/>
                <w:u w:val="single"/>
              </w:rPr>
            </w:pPr>
          </w:p>
        </w:tc>
      </w:tr>
      <w:tr w:rsidR="00C92CD8" w14:paraId="4678BCCA" w14:textId="77777777" w:rsidTr="00B97332">
        <w:trPr>
          <w:trHeight w:val="600"/>
        </w:trPr>
        <w:tc>
          <w:tcPr>
            <w:tcW w:w="5245" w:type="dxa"/>
            <w:tcBorders>
              <w:top w:val="single" w:sz="4" w:space="0" w:color="auto"/>
              <w:left w:val="single" w:sz="4" w:space="0" w:color="auto"/>
              <w:bottom w:val="single" w:sz="4" w:space="0" w:color="auto"/>
              <w:right w:val="nil"/>
            </w:tcBorders>
            <w:shd w:val="clear" w:color="auto" w:fill="auto"/>
            <w:noWrap/>
            <w:vAlign w:val="bottom"/>
            <w:hideMark/>
          </w:tcPr>
          <w:p w14:paraId="010AC441"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7A099"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43F5CB7D" w14:textId="77777777" w:rsidTr="00B97332">
        <w:trPr>
          <w:trHeight w:val="300"/>
        </w:trPr>
        <w:tc>
          <w:tcPr>
            <w:tcW w:w="5245" w:type="dxa"/>
            <w:tcBorders>
              <w:top w:val="nil"/>
              <w:left w:val="single" w:sz="4" w:space="0" w:color="auto"/>
              <w:bottom w:val="nil"/>
              <w:right w:val="nil"/>
            </w:tcBorders>
            <w:shd w:val="clear" w:color="auto" w:fill="auto"/>
            <w:noWrap/>
            <w:vAlign w:val="bottom"/>
            <w:hideMark/>
          </w:tcPr>
          <w:p w14:paraId="20EF60FF"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center"/>
            <w:hideMark/>
          </w:tcPr>
          <w:p w14:paraId="1A68DD12"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7047D3BA"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78C4CFB"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686" w:type="dxa"/>
            <w:tcBorders>
              <w:top w:val="nil"/>
              <w:left w:val="single" w:sz="4" w:space="0" w:color="auto"/>
              <w:bottom w:val="nil"/>
              <w:right w:val="single" w:sz="4" w:space="0" w:color="auto"/>
            </w:tcBorders>
            <w:shd w:val="clear" w:color="auto" w:fill="auto"/>
            <w:noWrap/>
            <w:vAlign w:val="bottom"/>
            <w:hideMark/>
          </w:tcPr>
          <w:p w14:paraId="6C721977"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3CE87A33"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0E927D2F"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686" w:type="dxa"/>
            <w:tcBorders>
              <w:top w:val="nil"/>
              <w:left w:val="single" w:sz="4" w:space="0" w:color="auto"/>
              <w:bottom w:val="nil"/>
              <w:right w:val="single" w:sz="4" w:space="0" w:color="auto"/>
            </w:tcBorders>
            <w:shd w:val="clear" w:color="auto" w:fill="auto"/>
            <w:noWrap/>
            <w:vAlign w:val="bottom"/>
            <w:hideMark/>
          </w:tcPr>
          <w:p w14:paraId="24D93C3B" w14:textId="4009DE59" w:rsidR="00146FD5" w:rsidRPr="00CE2155" w:rsidRDefault="004A7A82" w:rsidP="00B97332">
            <w:pPr>
              <w:jc w:val="right"/>
              <w:rPr>
                <w:rFonts w:eastAsia="Times New Roman" w:cs="Arial"/>
                <w:color w:val="000000"/>
              </w:rPr>
            </w:pPr>
            <w:r w:rsidRPr="00CE2155">
              <w:rPr>
                <w:rFonts w:eastAsia="Times New Roman" w:cs="Arial"/>
                <w:color w:val="000000"/>
              </w:rPr>
              <w:t xml:space="preserve">                                       4.9</w:t>
            </w:r>
            <w:r w:rsidR="00730BFC">
              <w:rPr>
                <w:rFonts w:eastAsia="Times New Roman" w:cs="Arial"/>
                <w:color w:val="000000"/>
              </w:rPr>
              <w:t>60</w:t>
            </w:r>
            <w:r w:rsidRPr="00CE2155">
              <w:rPr>
                <w:rFonts w:eastAsia="Times New Roman" w:cs="Arial"/>
                <w:color w:val="000000"/>
              </w:rPr>
              <w:t xml:space="preserve"> </w:t>
            </w:r>
          </w:p>
        </w:tc>
      </w:tr>
      <w:tr w:rsidR="00C92CD8" w14:paraId="2A0F85A8"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3DA4DD68"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686" w:type="dxa"/>
            <w:tcBorders>
              <w:top w:val="nil"/>
              <w:left w:val="single" w:sz="4" w:space="0" w:color="auto"/>
              <w:bottom w:val="nil"/>
              <w:right w:val="single" w:sz="4" w:space="0" w:color="auto"/>
            </w:tcBorders>
            <w:shd w:val="clear" w:color="auto" w:fill="auto"/>
            <w:noWrap/>
            <w:vAlign w:val="bottom"/>
            <w:hideMark/>
          </w:tcPr>
          <w:p w14:paraId="78CEA150"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0.125 </w:t>
            </w:r>
          </w:p>
        </w:tc>
      </w:tr>
      <w:tr w:rsidR="00C92CD8" w14:paraId="19A1C7A4"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308740CB"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686" w:type="dxa"/>
            <w:tcBorders>
              <w:top w:val="nil"/>
              <w:left w:val="single" w:sz="4" w:space="0" w:color="auto"/>
              <w:bottom w:val="nil"/>
              <w:right w:val="single" w:sz="4" w:space="0" w:color="auto"/>
            </w:tcBorders>
            <w:shd w:val="clear" w:color="auto" w:fill="auto"/>
            <w:noWrap/>
            <w:vAlign w:val="bottom"/>
            <w:hideMark/>
          </w:tcPr>
          <w:p w14:paraId="4FCD7F84"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0.027 </w:t>
            </w:r>
          </w:p>
        </w:tc>
      </w:tr>
      <w:tr w:rsidR="00C92CD8" w14:paraId="6CB99358"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6E74AC80"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686" w:type="dxa"/>
            <w:tcBorders>
              <w:top w:val="nil"/>
              <w:left w:val="single" w:sz="4" w:space="0" w:color="auto"/>
              <w:bottom w:val="nil"/>
              <w:right w:val="single" w:sz="4" w:space="0" w:color="auto"/>
            </w:tcBorders>
            <w:shd w:val="clear" w:color="auto" w:fill="auto"/>
            <w:noWrap/>
            <w:vAlign w:val="bottom"/>
            <w:hideMark/>
          </w:tcPr>
          <w:p w14:paraId="0D0AA71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1.292 </w:t>
            </w:r>
          </w:p>
        </w:tc>
      </w:tr>
      <w:tr w:rsidR="00C92CD8" w14:paraId="6661C5E2"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26567D53"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686" w:type="dxa"/>
            <w:tcBorders>
              <w:top w:val="nil"/>
              <w:left w:val="single" w:sz="4" w:space="0" w:color="auto"/>
              <w:bottom w:val="nil"/>
              <w:right w:val="single" w:sz="4" w:space="0" w:color="auto"/>
            </w:tcBorders>
            <w:shd w:val="clear" w:color="auto" w:fill="auto"/>
            <w:noWrap/>
            <w:vAlign w:val="bottom"/>
            <w:hideMark/>
          </w:tcPr>
          <w:p w14:paraId="5F12916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0.866 </w:t>
            </w:r>
          </w:p>
        </w:tc>
      </w:tr>
      <w:tr w:rsidR="00C92CD8" w14:paraId="59E3BCC1"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FF14D49"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686" w:type="dxa"/>
            <w:tcBorders>
              <w:top w:val="nil"/>
              <w:left w:val="single" w:sz="4" w:space="0" w:color="auto"/>
              <w:bottom w:val="nil"/>
              <w:right w:val="single" w:sz="4" w:space="0" w:color="auto"/>
            </w:tcBorders>
            <w:shd w:val="clear" w:color="auto" w:fill="auto"/>
            <w:noWrap/>
            <w:vAlign w:val="bottom"/>
            <w:hideMark/>
          </w:tcPr>
          <w:p w14:paraId="772ECFB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2B8D0A95"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10CD1C25"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686" w:type="dxa"/>
            <w:tcBorders>
              <w:top w:val="nil"/>
              <w:left w:val="single" w:sz="4" w:space="0" w:color="auto"/>
              <w:bottom w:val="nil"/>
              <w:right w:val="single" w:sz="4" w:space="0" w:color="auto"/>
            </w:tcBorders>
            <w:shd w:val="clear" w:color="auto" w:fill="auto"/>
            <w:noWrap/>
            <w:vAlign w:val="bottom"/>
            <w:hideMark/>
          </w:tcPr>
          <w:p w14:paraId="27BD7DBA"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22904F2C"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5CDBD0F1"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686" w:type="dxa"/>
            <w:tcBorders>
              <w:top w:val="nil"/>
              <w:left w:val="single" w:sz="4" w:space="0" w:color="auto"/>
              <w:bottom w:val="nil"/>
              <w:right w:val="single" w:sz="4" w:space="0" w:color="auto"/>
            </w:tcBorders>
            <w:shd w:val="clear" w:color="auto" w:fill="auto"/>
            <w:noWrap/>
            <w:vAlign w:val="bottom"/>
            <w:hideMark/>
          </w:tcPr>
          <w:p w14:paraId="77EB8D15"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1DE3D72A"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153A1E3C"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686" w:type="dxa"/>
            <w:tcBorders>
              <w:top w:val="nil"/>
              <w:left w:val="single" w:sz="4" w:space="0" w:color="auto"/>
              <w:bottom w:val="nil"/>
              <w:right w:val="single" w:sz="4" w:space="0" w:color="auto"/>
            </w:tcBorders>
            <w:shd w:val="clear" w:color="auto" w:fill="auto"/>
            <w:noWrap/>
            <w:vAlign w:val="bottom"/>
            <w:hideMark/>
          </w:tcPr>
          <w:p w14:paraId="71A68FB4" w14:textId="780E4F8B"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7.2</w:t>
            </w:r>
            <w:r w:rsidR="00730BFC">
              <w:rPr>
                <w:rFonts w:eastAsia="Times New Roman" w:cs="Arial"/>
                <w:b/>
                <w:bCs/>
                <w:color w:val="000000"/>
              </w:rPr>
              <w:t>70</w:t>
            </w:r>
            <w:r w:rsidRPr="00CE2155">
              <w:rPr>
                <w:rFonts w:eastAsia="Times New Roman" w:cs="Arial"/>
                <w:b/>
                <w:bCs/>
                <w:color w:val="000000"/>
              </w:rPr>
              <w:t xml:space="preserve"> </w:t>
            </w:r>
          </w:p>
        </w:tc>
      </w:tr>
      <w:tr w:rsidR="00C92CD8" w14:paraId="5CC46A78"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8C239F4"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bottom"/>
            <w:hideMark/>
          </w:tcPr>
          <w:p w14:paraId="5E361B5B"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198039E6"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76355375"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686" w:type="dxa"/>
            <w:tcBorders>
              <w:top w:val="nil"/>
              <w:left w:val="single" w:sz="4" w:space="0" w:color="auto"/>
              <w:bottom w:val="nil"/>
              <w:right w:val="single" w:sz="4" w:space="0" w:color="auto"/>
            </w:tcBorders>
            <w:shd w:val="clear" w:color="auto" w:fill="auto"/>
            <w:noWrap/>
            <w:vAlign w:val="bottom"/>
            <w:hideMark/>
          </w:tcPr>
          <w:p w14:paraId="76CFB5D9"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09CC4AD2"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6739EDF7"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686" w:type="dxa"/>
            <w:tcBorders>
              <w:top w:val="nil"/>
              <w:left w:val="single" w:sz="4" w:space="0" w:color="auto"/>
              <w:bottom w:val="nil"/>
              <w:right w:val="single" w:sz="4" w:space="0" w:color="auto"/>
            </w:tcBorders>
            <w:shd w:val="clear" w:color="auto" w:fill="auto"/>
            <w:noWrap/>
            <w:vAlign w:val="bottom"/>
            <w:hideMark/>
          </w:tcPr>
          <w:p w14:paraId="346B0C86"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0.364 </w:t>
            </w:r>
          </w:p>
        </w:tc>
      </w:tr>
      <w:tr w:rsidR="00C92CD8" w14:paraId="5632D915"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7D5F2178"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686" w:type="dxa"/>
            <w:tcBorders>
              <w:top w:val="nil"/>
              <w:left w:val="single" w:sz="4" w:space="0" w:color="auto"/>
              <w:bottom w:val="nil"/>
              <w:right w:val="single" w:sz="4" w:space="0" w:color="auto"/>
            </w:tcBorders>
            <w:shd w:val="clear" w:color="auto" w:fill="auto"/>
            <w:noWrap/>
            <w:vAlign w:val="bottom"/>
            <w:hideMark/>
          </w:tcPr>
          <w:p w14:paraId="4593E7DD"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0.957 </w:t>
            </w:r>
          </w:p>
        </w:tc>
      </w:tr>
      <w:tr w:rsidR="00C92CD8" w14:paraId="400AB021"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77BEE5A0"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686" w:type="dxa"/>
            <w:tcBorders>
              <w:top w:val="nil"/>
              <w:left w:val="single" w:sz="4" w:space="0" w:color="auto"/>
              <w:bottom w:val="nil"/>
              <w:right w:val="single" w:sz="4" w:space="0" w:color="auto"/>
            </w:tcBorders>
            <w:shd w:val="clear" w:color="auto" w:fill="auto"/>
            <w:noWrap/>
            <w:vAlign w:val="bottom"/>
            <w:hideMark/>
          </w:tcPr>
          <w:p w14:paraId="717C13A6"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73AB5BEA"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7513C052"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686" w:type="dxa"/>
            <w:tcBorders>
              <w:top w:val="nil"/>
              <w:left w:val="single" w:sz="4" w:space="0" w:color="auto"/>
              <w:bottom w:val="nil"/>
              <w:right w:val="single" w:sz="4" w:space="0" w:color="auto"/>
            </w:tcBorders>
            <w:shd w:val="clear" w:color="auto" w:fill="auto"/>
            <w:noWrap/>
            <w:vAlign w:val="bottom"/>
            <w:hideMark/>
          </w:tcPr>
          <w:p w14:paraId="11C5FDEE"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2.472 </w:t>
            </w:r>
          </w:p>
        </w:tc>
      </w:tr>
      <w:tr w:rsidR="00C92CD8" w14:paraId="3B3E96CE"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0FF212A7"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686" w:type="dxa"/>
            <w:tcBorders>
              <w:top w:val="nil"/>
              <w:left w:val="single" w:sz="4" w:space="0" w:color="auto"/>
              <w:bottom w:val="nil"/>
              <w:right w:val="single" w:sz="4" w:space="0" w:color="auto"/>
            </w:tcBorders>
            <w:shd w:val="clear" w:color="auto" w:fill="auto"/>
            <w:noWrap/>
            <w:vAlign w:val="bottom"/>
            <w:hideMark/>
          </w:tcPr>
          <w:p w14:paraId="54C240D9"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67D3CFAB"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6B2C2BBC"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686" w:type="dxa"/>
            <w:tcBorders>
              <w:top w:val="nil"/>
              <w:left w:val="single" w:sz="4" w:space="0" w:color="auto"/>
              <w:bottom w:val="nil"/>
              <w:right w:val="single" w:sz="4" w:space="0" w:color="auto"/>
            </w:tcBorders>
            <w:shd w:val="clear" w:color="auto" w:fill="auto"/>
            <w:noWrap/>
            <w:vAlign w:val="bottom"/>
            <w:hideMark/>
          </w:tcPr>
          <w:p w14:paraId="1896AF67"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3.793 </w:t>
            </w:r>
          </w:p>
        </w:tc>
      </w:tr>
      <w:tr w:rsidR="00C92CD8" w14:paraId="59B576D3" w14:textId="77777777" w:rsidTr="00B97332">
        <w:trPr>
          <w:trHeight w:val="300"/>
        </w:trPr>
        <w:tc>
          <w:tcPr>
            <w:tcW w:w="5245" w:type="dxa"/>
            <w:tcBorders>
              <w:top w:val="nil"/>
              <w:left w:val="single" w:sz="4" w:space="0" w:color="auto"/>
              <w:bottom w:val="nil"/>
              <w:right w:val="nil"/>
            </w:tcBorders>
            <w:shd w:val="clear" w:color="auto" w:fill="auto"/>
            <w:noWrap/>
            <w:vAlign w:val="center"/>
            <w:hideMark/>
          </w:tcPr>
          <w:p w14:paraId="43D2B760"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bottom"/>
            <w:hideMark/>
          </w:tcPr>
          <w:p w14:paraId="05D1B911"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332510BE" w14:textId="77777777" w:rsidTr="00B97332">
        <w:trPr>
          <w:trHeight w:val="300"/>
        </w:trPr>
        <w:tc>
          <w:tcPr>
            <w:tcW w:w="5245" w:type="dxa"/>
            <w:tcBorders>
              <w:top w:val="single" w:sz="4" w:space="0" w:color="auto"/>
              <w:left w:val="single" w:sz="4" w:space="0" w:color="auto"/>
              <w:bottom w:val="single" w:sz="4" w:space="0" w:color="auto"/>
              <w:right w:val="nil"/>
            </w:tcBorders>
            <w:shd w:val="clear" w:color="auto" w:fill="auto"/>
            <w:noWrap/>
            <w:vAlign w:val="center"/>
            <w:hideMark/>
          </w:tcPr>
          <w:p w14:paraId="219C5897"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F6DD4"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3.476 </w:t>
            </w:r>
          </w:p>
        </w:tc>
      </w:tr>
    </w:tbl>
    <w:p w14:paraId="300021BD" w14:textId="77777777" w:rsidR="00146FD5" w:rsidRDefault="00146FD5" w:rsidP="00146FD5">
      <w:pPr>
        <w:rPr>
          <w:rFonts w:cs="Arial"/>
        </w:rPr>
      </w:pPr>
    </w:p>
    <w:p w14:paraId="101B2BE6" w14:textId="77777777" w:rsidR="00146FD5" w:rsidRDefault="00146FD5" w:rsidP="00146FD5">
      <w:pPr>
        <w:rPr>
          <w:rFonts w:cs="Arial"/>
        </w:rPr>
      </w:pPr>
    </w:p>
    <w:p w14:paraId="7D6FE108" w14:textId="77777777" w:rsidR="00146FD5" w:rsidRDefault="00146FD5" w:rsidP="00146FD5">
      <w:pPr>
        <w:rPr>
          <w:rFonts w:cs="Arial"/>
        </w:rPr>
      </w:pPr>
    </w:p>
    <w:p w14:paraId="4818DEE0" w14:textId="77777777" w:rsidR="00146FD5" w:rsidRDefault="00146FD5" w:rsidP="00146FD5">
      <w:pPr>
        <w:rPr>
          <w:rFonts w:cs="Arial"/>
        </w:rPr>
      </w:pPr>
    </w:p>
    <w:p w14:paraId="7D2B11A9" w14:textId="77777777" w:rsidR="00146FD5" w:rsidRDefault="00146FD5" w:rsidP="00146FD5">
      <w:pPr>
        <w:rPr>
          <w:rFonts w:cs="Arial"/>
        </w:rPr>
      </w:pPr>
    </w:p>
    <w:p w14:paraId="78517BE0" w14:textId="77777777" w:rsidR="00146FD5" w:rsidRDefault="00146FD5" w:rsidP="00146FD5">
      <w:pPr>
        <w:rPr>
          <w:rFonts w:cs="Arial"/>
        </w:rPr>
      </w:pPr>
    </w:p>
    <w:p w14:paraId="690A2766" w14:textId="77777777" w:rsidR="00146FD5" w:rsidRDefault="00146FD5" w:rsidP="00146FD5">
      <w:pPr>
        <w:rPr>
          <w:rFonts w:cs="Arial"/>
        </w:rPr>
      </w:pPr>
    </w:p>
    <w:p w14:paraId="45966AF7" w14:textId="77777777" w:rsidR="00146FD5" w:rsidRDefault="00146FD5" w:rsidP="00146FD5">
      <w:pPr>
        <w:rPr>
          <w:rFonts w:cs="Arial"/>
        </w:rPr>
      </w:pPr>
    </w:p>
    <w:p w14:paraId="369269B0" w14:textId="77777777" w:rsidR="00146FD5" w:rsidRDefault="00146FD5" w:rsidP="00146FD5">
      <w:pPr>
        <w:rPr>
          <w:rFonts w:cs="Arial"/>
        </w:rPr>
      </w:pPr>
    </w:p>
    <w:p w14:paraId="29ED4441" w14:textId="77777777" w:rsidR="00146FD5" w:rsidRDefault="00146FD5" w:rsidP="00146FD5">
      <w:pPr>
        <w:rPr>
          <w:rFonts w:cs="Arial"/>
        </w:rPr>
      </w:pPr>
    </w:p>
    <w:p w14:paraId="0E6037C0" w14:textId="77777777" w:rsidR="00146FD5" w:rsidRDefault="00146FD5" w:rsidP="00146FD5">
      <w:pPr>
        <w:rPr>
          <w:rFonts w:cs="Arial"/>
        </w:rPr>
      </w:pPr>
    </w:p>
    <w:p w14:paraId="1C4774D4" w14:textId="77777777" w:rsidR="00146FD5" w:rsidRDefault="00146FD5" w:rsidP="00146FD5">
      <w:pPr>
        <w:rPr>
          <w:rFonts w:cs="Arial"/>
        </w:rPr>
      </w:pPr>
    </w:p>
    <w:p w14:paraId="7C59A5B4" w14:textId="77777777" w:rsidR="00146FD5" w:rsidRDefault="00146FD5" w:rsidP="00146FD5">
      <w:pPr>
        <w:rPr>
          <w:rFonts w:cs="Arial"/>
        </w:rPr>
      </w:pPr>
    </w:p>
    <w:p w14:paraId="1636EF8B" w14:textId="77777777" w:rsidR="00146FD5" w:rsidRDefault="00146FD5" w:rsidP="00146FD5">
      <w:pPr>
        <w:rPr>
          <w:rFonts w:cs="Arial"/>
        </w:rPr>
      </w:pPr>
    </w:p>
    <w:p w14:paraId="5490526E" w14:textId="77777777" w:rsidR="00146FD5" w:rsidRDefault="00146FD5" w:rsidP="00146FD5">
      <w:pPr>
        <w:rPr>
          <w:rFonts w:cs="Arial"/>
        </w:rPr>
      </w:pPr>
    </w:p>
    <w:p w14:paraId="3FB722DF" w14:textId="77777777" w:rsidR="00146FD5" w:rsidRDefault="00146FD5" w:rsidP="00146FD5">
      <w:pPr>
        <w:rPr>
          <w:rFonts w:cs="Arial"/>
        </w:rPr>
      </w:pPr>
    </w:p>
    <w:p w14:paraId="6FC1A7D7" w14:textId="77777777" w:rsidR="00146FD5" w:rsidRDefault="00146FD5" w:rsidP="00146FD5">
      <w:pPr>
        <w:rPr>
          <w:rFonts w:cs="Arial"/>
        </w:rPr>
      </w:pPr>
    </w:p>
    <w:p w14:paraId="7350D358" w14:textId="77777777" w:rsidR="00146FD5" w:rsidRDefault="00146FD5" w:rsidP="00146FD5">
      <w:pPr>
        <w:rPr>
          <w:rFonts w:cs="Arial"/>
        </w:rPr>
      </w:pPr>
    </w:p>
    <w:p w14:paraId="7EC8DB10" w14:textId="77777777" w:rsidR="00146FD5" w:rsidRDefault="00146FD5" w:rsidP="00146FD5">
      <w:pPr>
        <w:rPr>
          <w:rFonts w:cs="Arial"/>
        </w:rPr>
      </w:pPr>
    </w:p>
    <w:p w14:paraId="7A88FE01" w14:textId="77777777" w:rsidR="00146FD5" w:rsidRDefault="00146FD5" w:rsidP="00146FD5">
      <w:pPr>
        <w:rPr>
          <w:rFonts w:cs="Arial"/>
        </w:rPr>
      </w:pPr>
    </w:p>
    <w:p w14:paraId="74855CAE" w14:textId="77777777" w:rsidR="00146FD5" w:rsidRDefault="00146FD5" w:rsidP="00146FD5">
      <w:pPr>
        <w:rPr>
          <w:rFonts w:cs="Arial"/>
        </w:rPr>
      </w:pPr>
    </w:p>
    <w:p w14:paraId="3B4163D7" w14:textId="77777777" w:rsidR="00146FD5" w:rsidRDefault="00146FD5" w:rsidP="00146FD5">
      <w:pPr>
        <w:rPr>
          <w:rFonts w:cs="Arial"/>
        </w:rPr>
      </w:pPr>
    </w:p>
    <w:p w14:paraId="54338135" w14:textId="77777777" w:rsidR="00146FD5" w:rsidRDefault="00146FD5" w:rsidP="00146FD5">
      <w:pPr>
        <w:rPr>
          <w:rFonts w:cs="Arial"/>
        </w:rPr>
      </w:pPr>
    </w:p>
    <w:p w14:paraId="56F0A7F1" w14:textId="77777777" w:rsidR="00146FD5" w:rsidRPr="00E8291D" w:rsidRDefault="004A7A82" w:rsidP="00146FD5">
      <w:pPr>
        <w:rPr>
          <w:rFonts w:cs="Arial"/>
          <w:b/>
          <w:bCs/>
          <w:u w:val="single"/>
        </w:rPr>
      </w:pPr>
      <w:r w:rsidRPr="00E8291D">
        <w:rPr>
          <w:rFonts w:cs="Arial"/>
          <w:b/>
          <w:bCs/>
          <w:u w:val="single"/>
        </w:rPr>
        <w:lastRenderedPageBreak/>
        <w:t>4.0 Resources and Chief Executive Services</w:t>
      </w:r>
    </w:p>
    <w:tbl>
      <w:tblPr>
        <w:tblW w:w="8931" w:type="dxa"/>
        <w:tblLook w:val="04A0" w:firstRow="1" w:lastRow="0" w:firstColumn="1" w:lastColumn="0" w:noHBand="0" w:noVBand="1"/>
      </w:tblPr>
      <w:tblGrid>
        <w:gridCol w:w="5103"/>
        <w:gridCol w:w="142"/>
        <w:gridCol w:w="3686"/>
      </w:tblGrid>
      <w:tr w:rsidR="00C92CD8" w14:paraId="3162A3AA" w14:textId="77777777" w:rsidTr="00B97332">
        <w:trPr>
          <w:trHeight w:val="300"/>
        </w:trPr>
        <w:tc>
          <w:tcPr>
            <w:tcW w:w="5103" w:type="dxa"/>
            <w:tcBorders>
              <w:top w:val="nil"/>
              <w:left w:val="nil"/>
              <w:bottom w:val="nil"/>
              <w:right w:val="nil"/>
            </w:tcBorders>
            <w:shd w:val="clear" w:color="auto" w:fill="auto"/>
            <w:noWrap/>
            <w:vAlign w:val="bottom"/>
            <w:hideMark/>
          </w:tcPr>
          <w:p w14:paraId="6967B2A6" w14:textId="77777777" w:rsidR="00146FD5" w:rsidRPr="00CE2155" w:rsidRDefault="00146FD5" w:rsidP="00B97332">
            <w:pPr>
              <w:rPr>
                <w:rFonts w:eastAsia="Times New Roman" w:cs="Arial"/>
                <w:b/>
                <w:bCs/>
                <w:color w:val="000000"/>
                <w:u w:val="single"/>
              </w:rPr>
            </w:pPr>
          </w:p>
        </w:tc>
        <w:tc>
          <w:tcPr>
            <w:tcW w:w="3828" w:type="dxa"/>
            <w:gridSpan w:val="2"/>
            <w:tcBorders>
              <w:top w:val="nil"/>
              <w:left w:val="nil"/>
              <w:bottom w:val="nil"/>
              <w:right w:val="nil"/>
            </w:tcBorders>
            <w:shd w:val="clear" w:color="auto" w:fill="auto"/>
            <w:noWrap/>
            <w:vAlign w:val="bottom"/>
            <w:hideMark/>
          </w:tcPr>
          <w:p w14:paraId="4A3D6BF0" w14:textId="77777777" w:rsidR="00146FD5" w:rsidRPr="00CE2155" w:rsidRDefault="00146FD5" w:rsidP="00B97332">
            <w:pPr>
              <w:rPr>
                <w:rFonts w:eastAsia="Times New Roman" w:cs="Arial"/>
                <w:b/>
                <w:bCs/>
                <w:color w:val="000000"/>
                <w:u w:val="single"/>
              </w:rPr>
            </w:pPr>
          </w:p>
        </w:tc>
      </w:tr>
      <w:tr w:rsidR="00C92CD8" w14:paraId="30357248" w14:textId="77777777" w:rsidTr="00B97332">
        <w:trPr>
          <w:trHeight w:val="300"/>
        </w:trPr>
        <w:tc>
          <w:tcPr>
            <w:tcW w:w="5245" w:type="dxa"/>
            <w:gridSpan w:val="2"/>
            <w:tcBorders>
              <w:top w:val="single" w:sz="4" w:space="0" w:color="auto"/>
              <w:left w:val="single" w:sz="4" w:space="0" w:color="auto"/>
              <w:bottom w:val="single" w:sz="4" w:space="0" w:color="auto"/>
              <w:right w:val="nil"/>
            </w:tcBorders>
            <w:shd w:val="clear" w:color="auto" w:fill="auto"/>
            <w:noWrap/>
            <w:vAlign w:val="bottom"/>
            <w:hideMark/>
          </w:tcPr>
          <w:p w14:paraId="302D838E"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CAD69"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60BF0F71" w14:textId="77777777" w:rsidTr="00B97332">
        <w:trPr>
          <w:trHeight w:val="300"/>
        </w:trPr>
        <w:tc>
          <w:tcPr>
            <w:tcW w:w="5245" w:type="dxa"/>
            <w:gridSpan w:val="2"/>
            <w:tcBorders>
              <w:top w:val="nil"/>
              <w:left w:val="single" w:sz="4" w:space="0" w:color="auto"/>
              <w:bottom w:val="nil"/>
              <w:right w:val="nil"/>
            </w:tcBorders>
            <w:shd w:val="clear" w:color="auto" w:fill="auto"/>
            <w:noWrap/>
            <w:vAlign w:val="bottom"/>
            <w:hideMark/>
          </w:tcPr>
          <w:p w14:paraId="0D6E0588"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center"/>
            <w:hideMark/>
          </w:tcPr>
          <w:p w14:paraId="50D6EFEC"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6BB4A5A6"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1CC052AC"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686" w:type="dxa"/>
            <w:tcBorders>
              <w:top w:val="nil"/>
              <w:left w:val="single" w:sz="4" w:space="0" w:color="auto"/>
              <w:bottom w:val="nil"/>
              <w:right w:val="single" w:sz="4" w:space="0" w:color="auto"/>
            </w:tcBorders>
            <w:shd w:val="clear" w:color="auto" w:fill="auto"/>
            <w:noWrap/>
            <w:vAlign w:val="bottom"/>
            <w:hideMark/>
          </w:tcPr>
          <w:p w14:paraId="19304430"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39B64AA4"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0C43C4B3"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686" w:type="dxa"/>
            <w:tcBorders>
              <w:top w:val="nil"/>
              <w:left w:val="single" w:sz="4" w:space="0" w:color="auto"/>
              <w:bottom w:val="nil"/>
              <w:right w:val="single" w:sz="4" w:space="0" w:color="auto"/>
            </w:tcBorders>
            <w:shd w:val="clear" w:color="auto" w:fill="auto"/>
            <w:noWrap/>
            <w:vAlign w:val="bottom"/>
            <w:hideMark/>
          </w:tcPr>
          <w:p w14:paraId="1EDDB004"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132.897 </w:t>
            </w:r>
          </w:p>
        </w:tc>
      </w:tr>
      <w:tr w:rsidR="00C92CD8" w14:paraId="120DB15C"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215A5078"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686" w:type="dxa"/>
            <w:tcBorders>
              <w:top w:val="nil"/>
              <w:left w:val="single" w:sz="4" w:space="0" w:color="auto"/>
              <w:bottom w:val="nil"/>
              <w:right w:val="single" w:sz="4" w:space="0" w:color="auto"/>
            </w:tcBorders>
            <w:shd w:val="clear" w:color="auto" w:fill="auto"/>
            <w:noWrap/>
            <w:vAlign w:val="bottom"/>
            <w:hideMark/>
          </w:tcPr>
          <w:p w14:paraId="20CDCBB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41.240 </w:t>
            </w:r>
          </w:p>
        </w:tc>
      </w:tr>
      <w:tr w:rsidR="00C92CD8" w14:paraId="2B9BB7C1"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3259C388"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686" w:type="dxa"/>
            <w:tcBorders>
              <w:top w:val="nil"/>
              <w:left w:val="single" w:sz="4" w:space="0" w:color="auto"/>
              <w:bottom w:val="nil"/>
              <w:right w:val="single" w:sz="4" w:space="0" w:color="auto"/>
            </w:tcBorders>
            <w:shd w:val="clear" w:color="auto" w:fill="auto"/>
            <w:noWrap/>
            <w:vAlign w:val="bottom"/>
            <w:hideMark/>
          </w:tcPr>
          <w:p w14:paraId="38AEF93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1.481 </w:t>
            </w:r>
          </w:p>
        </w:tc>
      </w:tr>
      <w:tr w:rsidR="00C92CD8" w14:paraId="01208FE4"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0FE53BDC"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686" w:type="dxa"/>
            <w:tcBorders>
              <w:top w:val="nil"/>
              <w:left w:val="single" w:sz="4" w:space="0" w:color="auto"/>
              <w:bottom w:val="nil"/>
              <w:right w:val="single" w:sz="4" w:space="0" w:color="auto"/>
            </w:tcBorders>
            <w:shd w:val="clear" w:color="auto" w:fill="auto"/>
            <w:noWrap/>
            <w:vAlign w:val="bottom"/>
            <w:hideMark/>
          </w:tcPr>
          <w:p w14:paraId="68362B1B"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8</w:t>
            </w:r>
            <w:r>
              <w:rPr>
                <w:rFonts w:eastAsia="Times New Roman" w:cs="Arial"/>
                <w:color w:val="000000"/>
              </w:rPr>
              <w:t>5.600</w:t>
            </w:r>
            <w:r w:rsidRPr="00CE2155">
              <w:rPr>
                <w:rFonts w:eastAsia="Times New Roman" w:cs="Arial"/>
                <w:color w:val="000000"/>
              </w:rPr>
              <w:t xml:space="preserve"> </w:t>
            </w:r>
          </w:p>
        </w:tc>
      </w:tr>
      <w:tr w:rsidR="00C92CD8" w14:paraId="4EFA8CB9"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593CD294"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686" w:type="dxa"/>
            <w:tcBorders>
              <w:top w:val="nil"/>
              <w:left w:val="single" w:sz="4" w:space="0" w:color="auto"/>
              <w:bottom w:val="nil"/>
              <w:right w:val="single" w:sz="4" w:space="0" w:color="auto"/>
            </w:tcBorders>
            <w:shd w:val="clear" w:color="auto" w:fill="auto"/>
            <w:noWrap/>
            <w:vAlign w:val="bottom"/>
            <w:hideMark/>
          </w:tcPr>
          <w:p w14:paraId="0D674CD0"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3.425 </w:t>
            </w:r>
          </w:p>
        </w:tc>
      </w:tr>
      <w:tr w:rsidR="00C92CD8" w14:paraId="7CC962B8"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7CF561C8"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686" w:type="dxa"/>
            <w:tcBorders>
              <w:top w:val="nil"/>
              <w:left w:val="single" w:sz="4" w:space="0" w:color="auto"/>
              <w:bottom w:val="nil"/>
              <w:right w:val="single" w:sz="4" w:space="0" w:color="auto"/>
            </w:tcBorders>
            <w:shd w:val="clear" w:color="auto" w:fill="auto"/>
            <w:noWrap/>
            <w:vAlign w:val="bottom"/>
            <w:hideMark/>
          </w:tcPr>
          <w:p w14:paraId="6CB527EB"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3329EAA4"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54DD32E4"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686" w:type="dxa"/>
            <w:tcBorders>
              <w:top w:val="nil"/>
              <w:left w:val="single" w:sz="4" w:space="0" w:color="auto"/>
              <w:bottom w:val="nil"/>
              <w:right w:val="single" w:sz="4" w:space="0" w:color="auto"/>
            </w:tcBorders>
            <w:shd w:val="clear" w:color="auto" w:fill="auto"/>
            <w:noWrap/>
            <w:vAlign w:val="bottom"/>
            <w:hideMark/>
          </w:tcPr>
          <w:p w14:paraId="44F62D05"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w:t>
            </w:r>
            <w:r>
              <w:rPr>
                <w:rFonts w:eastAsia="Times New Roman" w:cs="Arial"/>
                <w:color w:val="000000"/>
              </w:rPr>
              <w:t>22.114</w:t>
            </w:r>
            <w:r w:rsidRPr="00CE2155">
              <w:rPr>
                <w:rFonts w:eastAsia="Times New Roman" w:cs="Arial"/>
                <w:color w:val="000000"/>
              </w:rPr>
              <w:t xml:space="preserve"> </w:t>
            </w:r>
          </w:p>
        </w:tc>
      </w:tr>
      <w:tr w:rsidR="00C92CD8" w14:paraId="1B24B330"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6A1B568A"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686" w:type="dxa"/>
            <w:tcBorders>
              <w:top w:val="nil"/>
              <w:left w:val="single" w:sz="4" w:space="0" w:color="auto"/>
              <w:bottom w:val="nil"/>
              <w:right w:val="single" w:sz="4" w:space="0" w:color="auto"/>
            </w:tcBorders>
            <w:shd w:val="clear" w:color="auto" w:fill="auto"/>
            <w:noWrap/>
            <w:vAlign w:val="bottom"/>
            <w:hideMark/>
          </w:tcPr>
          <w:p w14:paraId="35D3D87B"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0.425 </w:t>
            </w:r>
          </w:p>
        </w:tc>
      </w:tr>
      <w:tr w:rsidR="00C92CD8" w14:paraId="3FAFEA20"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69FAFD5F"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686" w:type="dxa"/>
            <w:tcBorders>
              <w:top w:val="nil"/>
              <w:left w:val="single" w:sz="4" w:space="0" w:color="auto"/>
              <w:bottom w:val="nil"/>
              <w:right w:val="single" w:sz="4" w:space="0" w:color="auto"/>
            </w:tcBorders>
            <w:shd w:val="clear" w:color="auto" w:fill="auto"/>
            <w:noWrap/>
            <w:vAlign w:val="bottom"/>
            <w:hideMark/>
          </w:tcPr>
          <w:p w14:paraId="5CD7038C" w14:textId="04EE79FE"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w:t>
            </w:r>
            <w:r>
              <w:rPr>
                <w:rFonts w:eastAsia="Times New Roman" w:cs="Arial"/>
                <w:b/>
                <w:bCs/>
                <w:color w:val="000000"/>
              </w:rPr>
              <w:t>287.182</w:t>
            </w:r>
            <w:r w:rsidRPr="00CE2155">
              <w:rPr>
                <w:rFonts w:eastAsia="Times New Roman" w:cs="Arial"/>
                <w:b/>
                <w:bCs/>
                <w:color w:val="000000"/>
              </w:rPr>
              <w:t xml:space="preserve"> </w:t>
            </w:r>
          </w:p>
        </w:tc>
      </w:tr>
      <w:tr w:rsidR="00C92CD8" w14:paraId="680719D6"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5AB5A66A"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bottom"/>
            <w:hideMark/>
          </w:tcPr>
          <w:p w14:paraId="05BE13B7"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52CDB98E"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73771615"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686" w:type="dxa"/>
            <w:tcBorders>
              <w:top w:val="nil"/>
              <w:left w:val="single" w:sz="4" w:space="0" w:color="auto"/>
              <w:bottom w:val="nil"/>
              <w:right w:val="single" w:sz="4" w:space="0" w:color="auto"/>
            </w:tcBorders>
            <w:shd w:val="clear" w:color="auto" w:fill="auto"/>
            <w:noWrap/>
            <w:vAlign w:val="bottom"/>
            <w:hideMark/>
          </w:tcPr>
          <w:p w14:paraId="3A9720AF"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0F2C3D4D"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39547093"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686" w:type="dxa"/>
            <w:tcBorders>
              <w:top w:val="nil"/>
              <w:left w:val="single" w:sz="4" w:space="0" w:color="auto"/>
              <w:bottom w:val="nil"/>
              <w:right w:val="single" w:sz="4" w:space="0" w:color="auto"/>
            </w:tcBorders>
            <w:shd w:val="clear" w:color="auto" w:fill="auto"/>
            <w:noWrap/>
            <w:vAlign w:val="bottom"/>
            <w:hideMark/>
          </w:tcPr>
          <w:p w14:paraId="776F9822"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14.186 </w:t>
            </w:r>
          </w:p>
        </w:tc>
      </w:tr>
      <w:tr w:rsidR="00C92CD8" w14:paraId="5AF40E0B"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2F386AA5"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686" w:type="dxa"/>
            <w:tcBorders>
              <w:top w:val="nil"/>
              <w:left w:val="single" w:sz="4" w:space="0" w:color="auto"/>
              <w:bottom w:val="nil"/>
              <w:right w:val="single" w:sz="4" w:space="0" w:color="auto"/>
            </w:tcBorders>
            <w:shd w:val="clear" w:color="auto" w:fill="auto"/>
            <w:noWrap/>
            <w:vAlign w:val="bottom"/>
            <w:hideMark/>
          </w:tcPr>
          <w:p w14:paraId="22601436"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22.1</w:t>
            </w:r>
            <w:r>
              <w:rPr>
                <w:rFonts w:eastAsia="Times New Roman" w:cs="Arial"/>
                <w:color w:val="000000"/>
              </w:rPr>
              <w:t>0</w:t>
            </w:r>
            <w:r w:rsidRPr="00CE2155">
              <w:rPr>
                <w:rFonts w:eastAsia="Times New Roman" w:cs="Arial"/>
                <w:color w:val="000000"/>
              </w:rPr>
              <w:t xml:space="preserve">4 </w:t>
            </w:r>
          </w:p>
        </w:tc>
      </w:tr>
      <w:tr w:rsidR="00C92CD8" w14:paraId="2B57E43B"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5FCB9F33"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686" w:type="dxa"/>
            <w:tcBorders>
              <w:top w:val="nil"/>
              <w:left w:val="single" w:sz="4" w:space="0" w:color="auto"/>
              <w:bottom w:val="nil"/>
              <w:right w:val="single" w:sz="4" w:space="0" w:color="auto"/>
            </w:tcBorders>
            <w:shd w:val="clear" w:color="auto" w:fill="auto"/>
            <w:noWrap/>
            <w:vAlign w:val="bottom"/>
            <w:hideMark/>
          </w:tcPr>
          <w:p w14:paraId="21A75440"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16417F6E"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65DB8220"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686" w:type="dxa"/>
            <w:tcBorders>
              <w:top w:val="nil"/>
              <w:left w:val="single" w:sz="4" w:space="0" w:color="auto"/>
              <w:bottom w:val="nil"/>
              <w:right w:val="single" w:sz="4" w:space="0" w:color="auto"/>
            </w:tcBorders>
            <w:shd w:val="clear" w:color="auto" w:fill="auto"/>
            <w:noWrap/>
            <w:vAlign w:val="bottom"/>
            <w:hideMark/>
          </w:tcPr>
          <w:p w14:paraId="311BE589"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10</w:t>
            </w:r>
            <w:r>
              <w:rPr>
                <w:rFonts w:eastAsia="Times New Roman" w:cs="Arial"/>
                <w:color w:val="000000"/>
              </w:rPr>
              <w:t>0.866</w:t>
            </w:r>
            <w:r w:rsidRPr="00CE2155">
              <w:rPr>
                <w:rFonts w:eastAsia="Times New Roman" w:cs="Arial"/>
                <w:color w:val="000000"/>
              </w:rPr>
              <w:t xml:space="preserve"> </w:t>
            </w:r>
          </w:p>
        </w:tc>
      </w:tr>
      <w:tr w:rsidR="00C92CD8" w14:paraId="5A42C4BD"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69C25D73"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686" w:type="dxa"/>
            <w:tcBorders>
              <w:top w:val="nil"/>
              <w:left w:val="single" w:sz="4" w:space="0" w:color="auto"/>
              <w:bottom w:val="nil"/>
              <w:right w:val="single" w:sz="4" w:space="0" w:color="auto"/>
            </w:tcBorders>
            <w:shd w:val="clear" w:color="auto" w:fill="auto"/>
            <w:noWrap/>
            <w:vAlign w:val="bottom"/>
            <w:hideMark/>
          </w:tcPr>
          <w:p w14:paraId="6087F159"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w:t>
            </w:r>
            <w:r>
              <w:rPr>
                <w:rFonts w:eastAsia="Times New Roman" w:cs="Arial"/>
                <w:color w:val="000000"/>
              </w:rPr>
              <w:t>5.873</w:t>
            </w:r>
            <w:r w:rsidRPr="00CE2155">
              <w:rPr>
                <w:rFonts w:eastAsia="Times New Roman" w:cs="Arial"/>
                <w:color w:val="000000"/>
              </w:rPr>
              <w:t xml:space="preserve"> </w:t>
            </w:r>
          </w:p>
        </w:tc>
      </w:tr>
      <w:tr w:rsidR="00C92CD8" w14:paraId="05A4F1F1"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4E826598"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686" w:type="dxa"/>
            <w:tcBorders>
              <w:top w:val="nil"/>
              <w:left w:val="single" w:sz="4" w:space="0" w:color="auto"/>
              <w:bottom w:val="nil"/>
              <w:right w:val="single" w:sz="4" w:space="0" w:color="auto"/>
            </w:tcBorders>
            <w:shd w:val="clear" w:color="auto" w:fill="auto"/>
            <w:noWrap/>
            <w:vAlign w:val="bottom"/>
            <w:hideMark/>
          </w:tcPr>
          <w:p w14:paraId="7B805760"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14</w:t>
            </w:r>
            <w:r>
              <w:rPr>
                <w:rFonts w:eastAsia="Times New Roman" w:cs="Arial"/>
                <w:b/>
                <w:bCs/>
                <w:color w:val="000000"/>
              </w:rPr>
              <w:t>3.029</w:t>
            </w:r>
            <w:r w:rsidRPr="00CE2155">
              <w:rPr>
                <w:rFonts w:eastAsia="Times New Roman" w:cs="Arial"/>
                <w:b/>
                <w:bCs/>
                <w:color w:val="000000"/>
              </w:rPr>
              <w:t xml:space="preserve"> </w:t>
            </w:r>
          </w:p>
        </w:tc>
      </w:tr>
      <w:tr w:rsidR="00C92CD8" w14:paraId="0B5D7B09" w14:textId="77777777" w:rsidTr="00B97332">
        <w:trPr>
          <w:trHeight w:val="300"/>
        </w:trPr>
        <w:tc>
          <w:tcPr>
            <w:tcW w:w="5245" w:type="dxa"/>
            <w:gridSpan w:val="2"/>
            <w:tcBorders>
              <w:top w:val="nil"/>
              <w:left w:val="single" w:sz="4" w:space="0" w:color="auto"/>
              <w:bottom w:val="nil"/>
              <w:right w:val="nil"/>
            </w:tcBorders>
            <w:shd w:val="clear" w:color="auto" w:fill="auto"/>
            <w:noWrap/>
            <w:vAlign w:val="center"/>
            <w:hideMark/>
          </w:tcPr>
          <w:p w14:paraId="23E26BF7"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686" w:type="dxa"/>
            <w:tcBorders>
              <w:top w:val="nil"/>
              <w:left w:val="single" w:sz="4" w:space="0" w:color="auto"/>
              <w:bottom w:val="nil"/>
              <w:right w:val="single" w:sz="4" w:space="0" w:color="auto"/>
            </w:tcBorders>
            <w:shd w:val="clear" w:color="auto" w:fill="auto"/>
            <w:noWrap/>
            <w:vAlign w:val="bottom"/>
            <w:hideMark/>
          </w:tcPr>
          <w:p w14:paraId="4054AC29"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1D08C216" w14:textId="77777777" w:rsidTr="00B97332">
        <w:trPr>
          <w:trHeight w:val="300"/>
        </w:trPr>
        <w:tc>
          <w:tcPr>
            <w:tcW w:w="5245" w:type="dxa"/>
            <w:gridSpan w:val="2"/>
            <w:tcBorders>
              <w:top w:val="single" w:sz="4" w:space="0" w:color="auto"/>
              <w:left w:val="single" w:sz="4" w:space="0" w:color="auto"/>
              <w:bottom w:val="single" w:sz="4" w:space="0" w:color="auto"/>
              <w:right w:val="nil"/>
            </w:tcBorders>
            <w:shd w:val="clear" w:color="auto" w:fill="auto"/>
            <w:noWrap/>
            <w:vAlign w:val="center"/>
            <w:hideMark/>
          </w:tcPr>
          <w:p w14:paraId="1C45CF74"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45E0C"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1</w:t>
            </w:r>
            <w:r>
              <w:rPr>
                <w:rFonts w:eastAsia="Times New Roman" w:cs="Arial"/>
                <w:b/>
                <w:bCs/>
                <w:color w:val="000000"/>
              </w:rPr>
              <w:t>44.154</w:t>
            </w:r>
            <w:r w:rsidRPr="00CE2155">
              <w:rPr>
                <w:rFonts w:eastAsia="Times New Roman" w:cs="Arial"/>
                <w:b/>
                <w:bCs/>
                <w:color w:val="000000"/>
              </w:rPr>
              <w:t xml:space="preserve"> </w:t>
            </w:r>
          </w:p>
        </w:tc>
      </w:tr>
    </w:tbl>
    <w:p w14:paraId="740A83A8" w14:textId="77777777" w:rsidR="00146FD5" w:rsidRDefault="00146FD5" w:rsidP="00146FD5">
      <w:pPr>
        <w:rPr>
          <w:rFonts w:cs="Arial"/>
        </w:rPr>
      </w:pPr>
    </w:p>
    <w:p w14:paraId="5269B0AD" w14:textId="77777777" w:rsidR="00146FD5" w:rsidRDefault="00146FD5" w:rsidP="00146FD5">
      <w:pPr>
        <w:rPr>
          <w:rFonts w:cs="Arial"/>
        </w:rPr>
      </w:pPr>
    </w:p>
    <w:p w14:paraId="3BABC560" w14:textId="77777777" w:rsidR="00146FD5" w:rsidRDefault="00146FD5" w:rsidP="00146FD5">
      <w:pPr>
        <w:rPr>
          <w:rFonts w:cs="Arial"/>
        </w:rPr>
      </w:pPr>
    </w:p>
    <w:p w14:paraId="47BFB643" w14:textId="77777777" w:rsidR="00146FD5" w:rsidRDefault="00146FD5" w:rsidP="00146FD5">
      <w:pPr>
        <w:rPr>
          <w:rFonts w:cs="Arial"/>
        </w:rPr>
      </w:pPr>
    </w:p>
    <w:p w14:paraId="20BFFFA2" w14:textId="77777777" w:rsidR="00146FD5" w:rsidRDefault="00146FD5" w:rsidP="00146FD5">
      <w:pPr>
        <w:rPr>
          <w:rFonts w:cs="Arial"/>
        </w:rPr>
      </w:pPr>
    </w:p>
    <w:p w14:paraId="00BEB4C9" w14:textId="77777777" w:rsidR="00146FD5" w:rsidRDefault="00146FD5" w:rsidP="00146FD5">
      <w:pPr>
        <w:rPr>
          <w:rFonts w:cs="Arial"/>
        </w:rPr>
      </w:pPr>
    </w:p>
    <w:p w14:paraId="2F2A28B6" w14:textId="77777777" w:rsidR="00146FD5" w:rsidRDefault="00146FD5" w:rsidP="00146FD5">
      <w:pPr>
        <w:rPr>
          <w:rFonts w:cs="Arial"/>
        </w:rPr>
      </w:pPr>
    </w:p>
    <w:p w14:paraId="7F688F9A" w14:textId="77777777" w:rsidR="00146FD5" w:rsidRDefault="00146FD5" w:rsidP="00146FD5">
      <w:pPr>
        <w:rPr>
          <w:rFonts w:cs="Arial"/>
        </w:rPr>
      </w:pPr>
    </w:p>
    <w:p w14:paraId="695A0935" w14:textId="77777777" w:rsidR="00146FD5" w:rsidRDefault="00146FD5" w:rsidP="00146FD5">
      <w:pPr>
        <w:rPr>
          <w:rFonts w:cs="Arial"/>
        </w:rPr>
      </w:pPr>
    </w:p>
    <w:p w14:paraId="3E201B08" w14:textId="77777777" w:rsidR="00146FD5" w:rsidRDefault="00146FD5" w:rsidP="00146FD5">
      <w:pPr>
        <w:rPr>
          <w:rFonts w:cs="Arial"/>
        </w:rPr>
      </w:pPr>
    </w:p>
    <w:p w14:paraId="70B9E782" w14:textId="77777777" w:rsidR="00146FD5" w:rsidRDefault="00146FD5" w:rsidP="00146FD5">
      <w:pPr>
        <w:rPr>
          <w:rFonts w:cs="Arial"/>
        </w:rPr>
      </w:pPr>
    </w:p>
    <w:p w14:paraId="26F34BC2" w14:textId="77777777" w:rsidR="00146FD5" w:rsidRDefault="00146FD5" w:rsidP="00146FD5">
      <w:pPr>
        <w:rPr>
          <w:rFonts w:cs="Arial"/>
        </w:rPr>
      </w:pPr>
    </w:p>
    <w:p w14:paraId="5EAE09BF" w14:textId="77777777" w:rsidR="00146FD5" w:rsidRDefault="00146FD5" w:rsidP="00146FD5">
      <w:pPr>
        <w:rPr>
          <w:rFonts w:cs="Arial"/>
        </w:rPr>
      </w:pPr>
    </w:p>
    <w:p w14:paraId="55B8CE09" w14:textId="77777777" w:rsidR="00146FD5" w:rsidRDefault="00146FD5" w:rsidP="00146FD5">
      <w:pPr>
        <w:rPr>
          <w:rFonts w:cs="Arial"/>
        </w:rPr>
      </w:pPr>
    </w:p>
    <w:p w14:paraId="2DC50D75" w14:textId="77777777" w:rsidR="00146FD5" w:rsidRDefault="00146FD5" w:rsidP="00146FD5">
      <w:pPr>
        <w:rPr>
          <w:rFonts w:cs="Arial"/>
        </w:rPr>
      </w:pPr>
    </w:p>
    <w:p w14:paraId="7BA20157" w14:textId="77777777" w:rsidR="00146FD5" w:rsidRDefault="00146FD5" w:rsidP="00146FD5">
      <w:pPr>
        <w:rPr>
          <w:rFonts w:cs="Arial"/>
        </w:rPr>
      </w:pPr>
    </w:p>
    <w:p w14:paraId="111A5D85" w14:textId="77777777" w:rsidR="00146FD5" w:rsidRDefault="00146FD5" w:rsidP="00146FD5">
      <w:pPr>
        <w:rPr>
          <w:rFonts w:cs="Arial"/>
        </w:rPr>
      </w:pPr>
    </w:p>
    <w:p w14:paraId="3B8274FC" w14:textId="77777777" w:rsidR="00146FD5" w:rsidRDefault="00146FD5" w:rsidP="00146FD5">
      <w:pPr>
        <w:rPr>
          <w:rFonts w:cs="Arial"/>
        </w:rPr>
      </w:pPr>
    </w:p>
    <w:p w14:paraId="16CEADD5" w14:textId="77777777" w:rsidR="00146FD5" w:rsidRDefault="00146FD5" w:rsidP="00146FD5">
      <w:pPr>
        <w:rPr>
          <w:rFonts w:cs="Arial"/>
        </w:rPr>
      </w:pPr>
    </w:p>
    <w:p w14:paraId="11EF8665" w14:textId="77777777" w:rsidR="00146FD5" w:rsidRDefault="00146FD5" w:rsidP="00146FD5">
      <w:pPr>
        <w:rPr>
          <w:rFonts w:cs="Arial"/>
        </w:rPr>
      </w:pPr>
    </w:p>
    <w:p w14:paraId="2D038525" w14:textId="77777777" w:rsidR="00146FD5" w:rsidRDefault="00146FD5" w:rsidP="00146FD5">
      <w:pPr>
        <w:rPr>
          <w:rFonts w:cs="Arial"/>
        </w:rPr>
      </w:pPr>
    </w:p>
    <w:p w14:paraId="7B17959C" w14:textId="77777777" w:rsidR="00146FD5" w:rsidRDefault="00146FD5" w:rsidP="00146FD5">
      <w:pPr>
        <w:rPr>
          <w:rFonts w:cs="Arial"/>
        </w:rPr>
      </w:pPr>
    </w:p>
    <w:p w14:paraId="52D37237" w14:textId="77777777" w:rsidR="00146FD5" w:rsidRDefault="00146FD5" w:rsidP="00146FD5">
      <w:pPr>
        <w:rPr>
          <w:rFonts w:cs="Arial"/>
        </w:rPr>
      </w:pPr>
    </w:p>
    <w:p w14:paraId="14D17B3B" w14:textId="77777777" w:rsidR="00146FD5" w:rsidRDefault="00146FD5" w:rsidP="00146FD5">
      <w:pPr>
        <w:rPr>
          <w:rFonts w:cs="Arial"/>
        </w:rPr>
      </w:pPr>
    </w:p>
    <w:p w14:paraId="43713257" w14:textId="087E4349" w:rsidR="00146FD5" w:rsidRPr="00280D9B" w:rsidRDefault="004A7A82" w:rsidP="00146FD5">
      <w:pPr>
        <w:rPr>
          <w:rFonts w:cs="Arial"/>
          <w:b/>
          <w:bCs/>
          <w:u w:val="single"/>
        </w:rPr>
      </w:pPr>
      <w:r w:rsidRPr="00280D9B">
        <w:rPr>
          <w:rFonts w:cs="Arial"/>
          <w:b/>
          <w:bCs/>
          <w:u w:val="single"/>
        </w:rPr>
        <w:lastRenderedPageBreak/>
        <w:t xml:space="preserve">4.1 </w:t>
      </w:r>
      <w:r w:rsidR="00897065">
        <w:rPr>
          <w:rFonts w:cs="Arial"/>
          <w:b/>
          <w:bCs/>
          <w:u w:val="single"/>
        </w:rPr>
        <w:t xml:space="preserve">Executive </w:t>
      </w:r>
      <w:r w:rsidRPr="00280D9B">
        <w:rPr>
          <w:rFonts w:cs="Arial"/>
          <w:b/>
          <w:bCs/>
          <w:u w:val="single"/>
        </w:rPr>
        <w:t>Director of Resources</w:t>
      </w:r>
      <w:r w:rsidR="00897065">
        <w:rPr>
          <w:rFonts w:cs="Arial"/>
          <w:b/>
          <w:bCs/>
          <w:u w:val="single"/>
        </w:rPr>
        <w:t xml:space="preserve"> &amp; Chief Executive Services</w:t>
      </w:r>
    </w:p>
    <w:tbl>
      <w:tblPr>
        <w:tblW w:w="8931" w:type="dxa"/>
        <w:tblLook w:val="04A0" w:firstRow="1" w:lastRow="0" w:firstColumn="1" w:lastColumn="0" w:noHBand="0" w:noVBand="1"/>
      </w:tblPr>
      <w:tblGrid>
        <w:gridCol w:w="4678"/>
        <w:gridCol w:w="709"/>
        <w:gridCol w:w="3544"/>
      </w:tblGrid>
      <w:tr w:rsidR="00C92CD8" w14:paraId="7690C0AB" w14:textId="77777777" w:rsidTr="00B97332">
        <w:trPr>
          <w:trHeight w:val="300"/>
        </w:trPr>
        <w:tc>
          <w:tcPr>
            <w:tcW w:w="4678" w:type="dxa"/>
            <w:tcBorders>
              <w:top w:val="nil"/>
              <w:left w:val="nil"/>
              <w:bottom w:val="nil"/>
              <w:right w:val="nil"/>
            </w:tcBorders>
            <w:shd w:val="clear" w:color="auto" w:fill="auto"/>
            <w:noWrap/>
            <w:vAlign w:val="bottom"/>
            <w:hideMark/>
          </w:tcPr>
          <w:p w14:paraId="68A51E60" w14:textId="77777777" w:rsidR="00146FD5" w:rsidRPr="00CE2155" w:rsidRDefault="00146FD5" w:rsidP="00B97332">
            <w:pPr>
              <w:rPr>
                <w:rFonts w:eastAsia="Times New Roman" w:cs="Arial"/>
                <w:b/>
                <w:bCs/>
                <w:color w:val="000000"/>
                <w:u w:val="single"/>
              </w:rPr>
            </w:pPr>
          </w:p>
        </w:tc>
        <w:tc>
          <w:tcPr>
            <w:tcW w:w="4253" w:type="dxa"/>
            <w:gridSpan w:val="2"/>
            <w:tcBorders>
              <w:top w:val="nil"/>
              <w:left w:val="nil"/>
              <w:bottom w:val="nil"/>
              <w:right w:val="nil"/>
            </w:tcBorders>
            <w:shd w:val="clear" w:color="auto" w:fill="auto"/>
            <w:noWrap/>
            <w:vAlign w:val="bottom"/>
            <w:hideMark/>
          </w:tcPr>
          <w:p w14:paraId="218B42DC" w14:textId="77777777" w:rsidR="00146FD5" w:rsidRPr="00CE2155" w:rsidRDefault="00146FD5" w:rsidP="00B97332">
            <w:pPr>
              <w:rPr>
                <w:rFonts w:eastAsia="Times New Roman" w:cs="Arial"/>
                <w:b/>
                <w:bCs/>
                <w:color w:val="000000"/>
                <w:u w:val="single"/>
              </w:rPr>
            </w:pPr>
          </w:p>
        </w:tc>
      </w:tr>
      <w:tr w:rsidR="00C92CD8" w14:paraId="73D1F023" w14:textId="77777777" w:rsidTr="00B97332">
        <w:trPr>
          <w:trHeight w:val="300"/>
        </w:trPr>
        <w:tc>
          <w:tcPr>
            <w:tcW w:w="5387" w:type="dxa"/>
            <w:gridSpan w:val="2"/>
            <w:tcBorders>
              <w:top w:val="single" w:sz="4" w:space="0" w:color="auto"/>
              <w:left w:val="single" w:sz="4" w:space="0" w:color="auto"/>
              <w:bottom w:val="single" w:sz="4" w:space="0" w:color="auto"/>
              <w:right w:val="nil"/>
            </w:tcBorders>
            <w:shd w:val="clear" w:color="auto" w:fill="auto"/>
            <w:noWrap/>
            <w:vAlign w:val="bottom"/>
            <w:hideMark/>
          </w:tcPr>
          <w:p w14:paraId="2A3C5CA7"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B484F"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0B19D60B" w14:textId="77777777" w:rsidTr="00B97332">
        <w:trPr>
          <w:trHeight w:val="300"/>
        </w:trPr>
        <w:tc>
          <w:tcPr>
            <w:tcW w:w="5387" w:type="dxa"/>
            <w:gridSpan w:val="2"/>
            <w:tcBorders>
              <w:top w:val="nil"/>
              <w:left w:val="single" w:sz="4" w:space="0" w:color="auto"/>
              <w:bottom w:val="nil"/>
              <w:right w:val="nil"/>
            </w:tcBorders>
            <w:shd w:val="clear" w:color="auto" w:fill="auto"/>
            <w:noWrap/>
            <w:vAlign w:val="bottom"/>
            <w:hideMark/>
          </w:tcPr>
          <w:p w14:paraId="57F66F11"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nil"/>
              <w:left w:val="single" w:sz="4" w:space="0" w:color="auto"/>
              <w:bottom w:val="nil"/>
              <w:right w:val="single" w:sz="4" w:space="0" w:color="auto"/>
            </w:tcBorders>
            <w:shd w:val="clear" w:color="auto" w:fill="auto"/>
            <w:noWrap/>
            <w:vAlign w:val="center"/>
            <w:hideMark/>
          </w:tcPr>
          <w:p w14:paraId="240FBEDC"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6C1C95E5" w14:textId="77777777" w:rsidTr="00B97332">
        <w:trPr>
          <w:trHeight w:val="300"/>
        </w:trPr>
        <w:tc>
          <w:tcPr>
            <w:tcW w:w="5387" w:type="dxa"/>
            <w:gridSpan w:val="2"/>
            <w:tcBorders>
              <w:top w:val="nil"/>
              <w:left w:val="single" w:sz="4" w:space="0" w:color="auto"/>
              <w:bottom w:val="nil"/>
              <w:right w:val="nil"/>
            </w:tcBorders>
            <w:shd w:val="clear" w:color="auto" w:fill="auto"/>
            <w:noWrap/>
            <w:vAlign w:val="center"/>
            <w:hideMark/>
          </w:tcPr>
          <w:p w14:paraId="7935087C"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544" w:type="dxa"/>
            <w:tcBorders>
              <w:top w:val="nil"/>
              <w:left w:val="single" w:sz="4" w:space="0" w:color="auto"/>
              <w:bottom w:val="nil"/>
              <w:right w:val="single" w:sz="4" w:space="0" w:color="auto"/>
            </w:tcBorders>
            <w:shd w:val="clear" w:color="auto" w:fill="auto"/>
            <w:noWrap/>
            <w:vAlign w:val="bottom"/>
            <w:hideMark/>
          </w:tcPr>
          <w:p w14:paraId="02936880"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38273F4F" w14:textId="77777777" w:rsidTr="00B97332">
        <w:trPr>
          <w:trHeight w:val="300"/>
        </w:trPr>
        <w:tc>
          <w:tcPr>
            <w:tcW w:w="5387" w:type="dxa"/>
            <w:gridSpan w:val="2"/>
            <w:tcBorders>
              <w:top w:val="nil"/>
              <w:left w:val="single" w:sz="4" w:space="0" w:color="auto"/>
              <w:bottom w:val="nil"/>
              <w:right w:val="nil"/>
            </w:tcBorders>
            <w:shd w:val="clear" w:color="auto" w:fill="auto"/>
            <w:noWrap/>
            <w:vAlign w:val="center"/>
            <w:hideMark/>
          </w:tcPr>
          <w:p w14:paraId="1FAF5028"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544" w:type="dxa"/>
            <w:tcBorders>
              <w:top w:val="nil"/>
              <w:left w:val="single" w:sz="4" w:space="0" w:color="auto"/>
              <w:bottom w:val="nil"/>
              <w:right w:val="single" w:sz="4" w:space="0" w:color="auto"/>
            </w:tcBorders>
            <w:shd w:val="clear" w:color="auto" w:fill="auto"/>
            <w:noWrap/>
            <w:vAlign w:val="bottom"/>
            <w:hideMark/>
          </w:tcPr>
          <w:p w14:paraId="23A2D08C" w14:textId="7555D18B" w:rsidR="00146FD5" w:rsidRPr="00CE2155" w:rsidRDefault="004A7A82" w:rsidP="00B97332">
            <w:pPr>
              <w:jc w:val="right"/>
              <w:rPr>
                <w:rFonts w:eastAsia="Times New Roman" w:cs="Arial"/>
                <w:color w:val="000000"/>
              </w:rPr>
            </w:pPr>
            <w:r w:rsidRPr="00CE2155">
              <w:rPr>
                <w:rFonts w:eastAsia="Times New Roman" w:cs="Arial"/>
                <w:color w:val="000000"/>
              </w:rPr>
              <w:t xml:space="preserve">                                       7.</w:t>
            </w:r>
            <w:r w:rsidR="00E86342">
              <w:rPr>
                <w:rFonts w:eastAsia="Times New Roman" w:cs="Arial"/>
                <w:color w:val="000000"/>
              </w:rPr>
              <w:t>9</w:t>
            </w:r>
            <w:r w:rsidRPr="00CE2155">
              <w:rPr>
                <w:rFonts w:eastAsia="Times New Roman" w:cs="Arial"/>
                <w:color w:val="000000"/>
              </w:rPr>
              <w:t xml:space="preserve">93 </w:t>
            </w:r>
          </w:p>
        </w:tc>
      </w:tr>
      <w:tr w:rsidR="00C92CD8" w14:paraId="2B66B5EB" w14:textId="77777777" w:rsidTr="00B97332">
        <w:trPr>
          <w:trHeight w:val="300"/>
        </w:trPr>
        <w:tc>
          <w:tcPr>
            <w:tcW w:w="5387" w:type="dxa"/>
            <w:gridSpan w:val="2"/>
            <w:tcBorders>
              <w:top w:val="nil"/>
              <w:left w:val="single" w:sz="4" w:space="0" w:color="auto"/>
              <w:bottom w:val="nil"/>
              <w:right w:val="nil"/>
            </w:tcBorders>
            <w:shd w:val="clear" w:color="auto" w:fill="auto"/>
            <w:noWrap/>
            <w:vAlign w:val="center"/>
            <w:hideMark/>
          </w:tcPr>
          <w:p w14:paraId="54B4993B"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544" w:type="dxa"/>
            <w:tcBorders>
              <w:top w:val="nil"/>
              <w:left w:val="single" w:sz="4" w:space="0" w:color="auto"/>
              <w:bottom w:val="nil"/>
              <w:right w:val="single" w:sz="4" w:space="0" w:color="auto"/>
            </w:tcBorders>
            <w:shd w:val="clear" w:color="auto" w:fill="auto"/>
            <w:noWrap/>
            <w:vAlign w:val="bottom"/>
            <w:hideMark/>
          </w:tcPr>
          <w:p w14:paraId="2F675CFA"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3509C0A7" w14:textId="77777777" w:rsidTr="00B97332">
        <w:trPr>
          <w:trHeight w:val="300"/>
        </w:trPr>
        <w:tc>
          <w:tcPr>
            <w:tcW w:w="5387" w:type="dxa"/>
            <w:gridSpan w:val="2"/>
            <w:tcBorders>
              <w:top w:val="nil"/>
              <w:left w:val="single" w:sz="4" w:space="0" w:color="auto"/>
              <w:bottom w:val="nil"/>
              <w:right w:val="nil"/>
            </w:tcBorders>
            <w:shd w:val="clear" w:color="auto" w:fill="auto"/>
            <w:noWrap/>
            <w:vAlign w:val="center"/>
            <w:hideMark/>
          </w:tcPr>
          <w:p w14:paraId="1E5DBCB5"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544" w:type="dxa"/>
            <w:tcBorders>
              <w:top w:val="nil"/>
              <w:left w:val="single" w:sz="4" w:space="0" w:color="auto"/>
              <w:bottom w:val="nil"/>
              <w:right w:val="single" w:sz="4" w:space="0" w:color="auto"/>
            </w:tcBorders>
            <w:shd w:val="clear" w:color="auto" w:fill="auto"/>
            <w:noWrap/>
            <w:vAlign w:val="bottom"/>
            <w:hideMark/>
          </w:tcPr>
          <w:p w14:paraId="0D1D3869"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4CA636D9" w14:textId="77777777" w:rsidTr="00B97332">
        <w:trPr>
          <w:trHeight w:val="300"/>
        </w:trPr>
        <w:tc>
          <w:tcPr>
            <w:tcW w:w="5387" w:type="dxa"/>
            <w:gridSpan w:val="2"/>
            <w:tcBorders>
              <w:top w:val="nil"/>
              <w:left w:val="single" w:sz="4" w:space="0" w:color="auto"/>
              <w:bottom w:val="nil"/>
              <w:right w:val="nil"/>
            </w:tcBorders>
            <w:shd w:val="clear" w:color="auto" w:fill="auto"/>
            <w:noWrap/>
            <w:vAlign w:val="center"/>
            <w:hideMark/>
          </w:tcPr>
          <w:p w14:paraId="52309C76"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544" w:type="dxa"/>
            <w:tcBorders>
              <w:top w:val="nil"/>
              <w:left w:val="single" w:sz="4" w:space="0" w:color="auto"/>
              <w:bottom w:val="nil"/>
              <w:right w:val="single" w:sz="4" w:space="0" w:color="auto"/>
            </w:tcBorders>
            <w:shd w:val="clear" w:color="auto" w:fill="auto"/>
            <w:noWrap/>
            <w:vAlign w:val="bottom"/>
            <w:hideMark/>
          </w:tcPr>
          <w:p w14:paraId="2DEF33E2" w14:textId="197331FD" w:rsidR="00146FD5" w:rsidRPr="00CE2155" w:rsidRDefault="004A7A82" w:rsidP="00B97332">
            <w:pPr>
              <w:jc w:val="right"/>
              <w:rPr>
                <w:rFonts w:eastAsia="Times New Roman" w:cs="Arial"/>
                <w:color w:val="000000"/>
              </w:rPr>
            </w:pPr>
            <w:r w:rsidRPr="00CE2155">
              <w:rPr>
                <w:rFonts w:eastAsia="Times New Roman" w:cs="Arial"/>
                <w:color w:val="000000"/>
              </w:rPr>
              <w:t xml:space="preserve">                                       </w:t>
            </w:r>
            <w:r w:rsidR="00BE77AD">
              <w:rPr>
                <w:rFonts w:eastAsia="Times New Roman" w:cs="Arial"/>
                <w:color w:val="000000"/>
              </w:rPr>
              <w:t>6.883</w:t>
            </w:r>
            <w:r w:rsidRPr="00CE2155">
              <w:rPr>
                <w:rFonts w:eastAsia="Times New Roman" w:cs="Arial"/>
                <w:color w:val="000000"/>
              </w:rPr>
              <w:t xml:space="preserve"> </w:t>
            </w:r>
          </w:p>
        </w:tc>
      </w:tr>
      <w:tr w:rsidR="00C92CD8" w14:paraId="7F09E868" w14:textId="77777777" w:rsidTr="00B97332">
        <w:trPr>
          <w:trHeight w:val="300"/>
        </w:trPr>
        <w:tc>
          <w:tcPr>
            <w:tcW w:w="5387" w:type="dxa"/>
            <w:gridSpan w:val="2"/>
            <w:tcBorders>
              <w:top w:val="nil"/>
              <w:left w:val="single" w:sz="4" w:space="0" w:color="auto"/>
              <w:bottom w:val="nil"/>
              <w:right w:val="nil"/>
            </w:tcBorders>
            <w:shd w:val="clear" w:color="auto" w:fill="auto"/>
            <w:noWrap/>
            <w:vAlign w:val="center"/>
            <w:hideMark/>
          </w:tcPr>
          <w:p w14:paraId="1F930331"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544" w:type="dxa"/>
            <w:tcBorders>
              <w:top w:val="nil"/>
              <w:left w:val="single" w:sz="4" w:space="0" w:color="auto"/>
              <w:bottom w:val="nil"/>
              <w:right w:val="single" w:sz="4" w:space="0" w:color="auto"/>
            </w:tcBorders>
            <w:shd w:val="clear" w:color="auto" w:fill="auto"/>
            <w:noWrap/>
            <w:vAlign w:val="bottom"/>
            <w:hideMark/>
          </w:tcPr>
          <w:p w14:paraId="65EE38E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0DA9CCF9" w14:textId="77777777" w:rsidTr="00B97332">
        <w:trPr>
          <w:trHeight w:val="300"/>
        </w:trPr>
        <w:tc>
          <w:tcPr>
            <w:tcW w:w="5387" w:type="dxa"/>
            <w:gridSpan w:val="2"/>
            <w:tcBorders>
              <w:top w:val="nil"/>
              <w:left w:val="single" w:sz="4" w:space="0" w:color="auto"/>
              <w:bottom w:val="nil"/>
              <w:right w:val="nil"/>
            </w:tcBorders>
            <w:shd w:val="clear" w:color="auto" w:fill="auto"/>
            <w:noWrap/>
            <w:vAlign w:val="center"/>
            <w:hideMark/>
          </w:tcPr>
          <w:p w14:paraId="3A25CC9A"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544" w:type="dxa"/>
            <w:tcBorders>
              <w:top w:val="nil"/>
              <w:left w:val="single" w:sz="4" w:space="0" w:color="auto"/>
              <w:bottom w:val="nil"/>
              <w:right w:val="single" w:sz="4" w:space="0" w:color="auto"/>
            </w:tcBorders>
            <w:shd w:val="clear" w:color="auto" w:fill="auto"/>
            <w:noWrap/>
            <w:vAlign w:val="bottom"/>
            <w:hideMark/>
          </w:tcPr>
          <w:p w14:paraId="5726FC4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48ABBC60" w14:textId="77777777" w:rsidTr="00B97332">
        <w:trPr>
          <w:trHeight w:val="300"/>
        </w:trPr>
        <w:tc>
          <w:tcPr>
            <w:tcW w:w="5387" w:type="dxa"/>
            <w:gridSpan w:val="2"/>
            <w:tcBorders>
              <w:top w:val="nil"/>
              <w:left w:val="single" w:sz="4" w:space="0" w:color="auto"/>
              <w:bottom w:val="nil"/>
              <w:right w:val="nil"/>
            </w:tcBorders>
            <w:shd w:val="clear" w:color="auto" w:fill="auto"/>
            <w:noWrap/>
            <w:vAlign w:val="center"/>
            <w:hideMark/>
          </w:tcPr>
          <w:p w14:paraId="46292C5F"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544" w:type="dxa"/>
            <w:tcBorders>
              <w:top w:val="nil"/>
              <w:left w:val="single" w:sz="4" w:space="0" w:color="auto"/>
              <w:bottom w:val="nil"/>
              <w:right w:val="single" w:sz="4" w:space="0" w:color="auto"/>
            </w:tcBorders>
            <w:shd w:val="clear" w:color="auto" w:fill="auto"/>
            <w:noWrap/>
            <w:vAlign w:val="bottom"/>
            <w:hideMark/>
          </w:tcPr>
          <w:p w14:paraId="3498100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w:t>
            </w:r>
            <w:r>
              <w:rPr>
                <w:rFonts w:eastAsia="Times New Roman" w:cs="Arial"/>
                <w:color w:val="000000"/>
              </w:rPr>
              <w:t>-</w:t>
            </w:r>
            <w:r w:rsidRPr="00CE2155">
              <w:rPr>
                <w:rFonts w:eastAsia="Times New Roman" w:cs="Arial"/>
                <w:color w:val="000000"/>
              </w:rPr>
              <w:t xml:space="preserve"> </w:t>
            </w:r>
          </w:p>
        </w:tc>
      </w:tr>
      <w:tr w:rsidR="00C92CD8" w14:paraId="5AA36BCF" w14:textId="77777777" w:rsidTr="00B97332">
        <w:trPr>
          <w:trHeight w:val="300"/>
        </w:trPr>
        <w:tc>
          <w:tcPr>
            <w:tcW w:w="5387" w:type="dxa"/>
            <w:gridSpan w:val="2"/>
            <w:tcBorders>
              <w:top w:val="nil"/>
              <w:left w:val="single" w:sz="4" w:space="0" w:color="auto"/>
              <w:bottom w:val="nil"/>
              <w:right w:val="nil"/>
            </w:tcBorders>
            <w:shd w:val="clear" w:color="auto" w:fill="auto"/>
            <w:noWrap/>
            <w:vAlign w:val="center"/>
            <w:hideMark/>
          </w:tcPr>
          <w:p w14:paraId="7F6694EC"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544" w:type="dxa"/>
            <w:tcBorders>
              <w:top w:val="nil"/>
              <w:left w:val="single" w:sz="4" w:space="0" w:color="auto"/>
              <w:bottom w:val="nil"/>
              <w:right w:val="single" w:sz="4" w:space="0" w:color="auto"/>
            </w:tcBorders>
            <w:shd w:val="clear" w:color="auto" w:fill="auto"/>
            <w:noWrap/>
            <w:vAlign w:val="bottom"/>
            <w:hideMark/>
          </w:tcPr>
          <w:p w14:paraId="1D6C3113"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1B79D461" w14:textId="77777777" w:rsidTr="00B97332">
        <w:trPr>
          <w:trHeight w:val="300"/>
        </w:trPr>
        <w:tc>
          <w:tcPr>
            <w:tcW w:w="5387" w:type="dxa"/>
            <w:gridSpan w:val="2"/>
            <w:tcBorders>
              <w:top w:val="nil"/>
              <w:left w:val="single" w:sz="4" w:space="0" w:color="auto"/>
              <w:bottom w:val="nil"/>
              <w:right w:val="nil"/>
            </w:tcBorders>
            <w:shd w:val="clear" w:color="auto" w:fill="auto"/>
            <w:noWrap/>
            <w:vAlign w:val="center"/>
            <w:hideMark/>
          </w:tcPr>
          <w:p w14:paraId="4A6BD018"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544" w:type="dxa"/>
            <w:tcBorders>
              <w:top w:val="nil"/>
              <w:left w:val="single" w:sz="4" w:space="0" w:color="auto"/>
              <w:bottom w:val="nil"/>
              <w:right w:val="single" w:sz="4" w:space="0" w:color="auto"/>
            </w:tcBorders>
            <w:shd w:val="clear" w:color="auto" w:fill="auto"/>
            <w:noWrap/>
            <w:vAlign w:val="bottom"/>
            <w:hideMark/>
          </w:tcPr>
          <w:p w14:paraId="251B1824" w14:textId="1F2CDEDF"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w:t>
            </w:r>
            <w:r w:rsidR="00BE77AD">
              <w:rPr>
                <w:rFonts w:eastAsia="Times New Roman" w:cs="Arial"/>
                <w:b/>
                <w:bCs/>
                <w:color w:val="000000"/>
              </w:rPr>
              <w:t>14.876</w:t>
            </w:r>
            <w:r w:rsidRPr="00CE2155">
              <w:rPr>
                <w:rFonts w:eastAsia="Times New Roman" w:cs="Arial"/>
                <w:b/>
                <w:bCs/>
                <w:color w:val="000000"/>
              </w:rPr>
              <w:t xml:space="preserve"> </w:t>
            </w:r>
          </w:p>
        </w:tc>
      </w:tr>
      <w:tr w:rsidR="00C92CD8" w14:paraId="3FBB38B7" w14:textId="77777777" w:rsidTr="00B97332">
        <w:trPr>
          <w:trHeight w:val="300"/>
        </w:trPr>
        <w:tc>
          <w:tcPr>
            <w:tcW w:w="5387" w:type="dxa"/>
            <w:gridSpan w:val="2"/>
            <w:tcBorders>
              <w:top w:val="nil"/>
              <w:left w:val="single" w:sz="4" w:space="0" w:color="auto"/>
              <w:bottom w:val="nil"/>
              <w:right w:val="nil"/>
            </w:tcBorders>
            <w:shd w:val="clear" w:color="auto" w:fill="auto"/>
            <w:noWrap/>
            <w:vAlign w:val="center"/>
            <w:hideMark/>
          </w:tcPr>
          <w:p w14:paraId="2BD542AA"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nil"/>
              <w:left w:val="single" w:sz="4" w:space="0" w:color="auto"/>
              <w:bottom w:val="nil"/>
              <w:right w:val="single" w:sz="4" w:space="0" w:color="auto"/>
            </w:tcBorders>
            <w:shd w:val="clear" w:color="auto" w:fill="auto"/>
            <w:noWrap/>
            <w:vAlign w:val="bottom"/>
            <w:hideMark/>
          </w:tcPr>
          <w:p w14:paraId="2F6B3ACB"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5B140DFD" w14:textId="77777777" w:rsidTr="00B97332">
        <w:trPr>
          <w:trHeight w:val="300"/>
        </w:trPr>
        <w:tc>
          <w:tcPr>
            <w:tcW w:w="5387" w:type="dxa"/>
            <w:gridSpan w:val="2"/>
            <w:tcBorders>
              <w:top w:val="nil"/>
              <w:left w:val="single" w:sz="4" w:space="0" w:color="auto"/>
              <w:bottom w:val="nil"/>
              <w:right w:val="nil"/>
            </w:tcBorders>
            <w:shd w:val="clear" w:color="auto" w:fill="auto"/>
            <w:noWrap/>
            <w:vAlign w:val="center"/>
            <w:hideMark/>
          </w:tcPr>
          <w:p w14:paraId="0C7B9C73"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544" w:type="dxa"/>
            <w:tcBorders>
              <w:top w:val="nil"/>
              <w:left w:val="single" w:sz="4" w:space="0" w:color="auto"/>
              <w:bottom w:val="nil"/>
              <w:right w:val="single" w:sz="4" w:space="0" w:color="auto"/>
            </w:tcBorders>
            <w:shd w:val="clear" w:color="auto" w:fill="auto"/>
            <w:noWrap/>
            <w:vAlign w:val="bottom"/>
            <w:hideMark/>
          </w:tcPr>
          <w:p w14:paraId="7D2DA4B1"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0FD13643" w14:textId="77777777" w:rsidTr="00B97332">
        <w:trPr>
          <w:trHeight w:val="300"/>
        </w:trPr>
        <w:tc>
          <w:tcPr>
            <w:tcW w:w="5387" w:type="dxa"/>
            <w:gridSpan w:val="2"/>
            <w:tcBorders>
              <w:top w:val="nil"/>
              <w:left w:val="single" w:sz="4" w:space="0" w:color="auto"/>
              <w:bottom w:val="nil"/>
              <w:right w:val="nil"/>
            </w:tcBorders>
            <w:shd w:val="clear" w:color="auto" w:fill="auto"/>
            <w:noWrap/>
            <w:vAlign w:val="center"/>
            <w:hideMark/>
          </w:tcPr>
          <w:p w14:paraId="2B698E22"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544" w:type="dxa"/>
            <w:tcBorders>
              <w:top w:val="nil"/>
              <w:left w:val="single" w:sz="4" w:space="0" w:color="auto"/>
              <w:bottom w:val="nil"/>
              <w:right w:val="single" w:sz="4" w:space="0" w:color="auto"/>
            </w:tcBorders>
            <w:shd w:val="clear" w:color="auto" w:fill="auto"/>
            <w:noWrap/>
            <w:vAlign w:val="bottom"/>
            <w:hideMark/>
          </w:tcPr>
          <w:p w14:paraId="0B7E856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0.594 </w:t>
            </w:r>
          </w:p>
        </w:tc>
      </w:tr>
      <w:tr w:rsidR="00C92CD8" w14:paraId="2CCE150D" w14:textId="77777777" w:rsidTr="00B97332">
        <w:trPr>
          <w:trHeight w:val="300"/>
        </w:trPr>
        <w:tc>
          <w:tcPr>
            <w:tcW w:w="5387" w:type="dxa"/>
            <w:gridSpan w:val="2"/>
            <w:tcBorders>
              <w:top w:val="nil"/>
              <w:left w:val="single" w:sz="4" w:space="0" w:color="auto"/>
              <w:bottom w:val="nil"/>
              <w:right w:val="nil"/>
            </w:tcBorders>
            <w:shd w:val="clear" w:color="auto" w:fill="auto"/>
            <w:noWrap/>
            <w:vAlign w:val="center"/>
            <w:hideMark/>
          </w:tcPr>
          <w:p w14:paraId="681B5A64"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544" w:type="dxa"/>
            <w:tcBorders>
              <w:top w:val="nil"/>
              <w:left w:val="single" w:sz="4" w:space="0" w:color="auto"/>
              <w:bottom w:val="nil"/>
              <w:right w:val="single" w:sz="4" w:space="0" w:color="auto"/>
            </w:tcBorders>
            <w:shd w:val="clear" w:color="auto" w:fill="auto"/>
            <w:noWrap/>
            <w:vAlign w:val="bottom"/>
            <w:hideMark/>
          </w:tcPr>
          <w:p w14:paraId="7C67950D"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w:t>
            </w:r>
            <w:r>
              <w:rPr>
                <w:rFonts w:eastAsia="Times New Roman" w:cs="Arial"/>
                <w:color w:val="000000"/>
              </w:rPr>
              <w:t>-</w:t>
            </w:r>
            <w:r w:rsidRPr="00CE2155">
              <w:rPr>
                <w:rFonts w:eastAsia="Times New Roman" w:cs="Arial"/>
                <w:color w:val="000000"/>
              </w:rPr>
              <w:t xml:space="preserve"> </w:t>
            </w:r>
          </w:p>
        </w:tc>
      </w:tr>
      <w:tr w:rsidR="00C92CD8" w14:paraId="4C214E34" w14:textId="77777777" w:rsidTr="00B97332">
        <w:trPr>
          <w:trHeight w:val="300"/>
        </w:trPr>
        <w:tc>
          <w:tcPr>
            <w:tcW w:w="5387" w:type="dxa"/>
            <w:gridSpan w:val="2"/>
            <w:tcBorders>
              <w:top w:val="nil"/>
              <w:left w:val="single" w:sz="4" w:space="0" w:color="auto"/>
              <w:bottom w:val="nil"/>
              <w:right w:val="nil"/>
            </w:tcBorders>
            <w:shd w:val="clear" w:color="auto" w:fill="auto"/>
            <w:noWrap/>
            <w:vAlign w:val="center"/>
            <w:hideMark/>
          </w:tcPr>
          <w:p w14:paraId="790A5AFA"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544" w:type="dxa"/>
            <w:tcBorders>
              <w:top w:val="nil"/>
              <w:left w:val="single" w:sz="4" w:space="0" w:color="auto"/>
              <w:bottom w:val="nil"/>
              <w:right w:val="single" w:sz="4" w:space="0" w:color="auto"/>
            </w:tcBorders>
            <w:shd w:val="clear" w:color="auto" w:fill="auto"/>
            <w:noWrap/>
            <w:vAlign w:val="bottom"/>
            <w:hideMark/>
          </w:tcPr>
          <w:p w14:paraId="1D511F0F"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7FE0F2EC" w14:textId="77777777" w:rsidTr="00B97332">
        <w:trPr>
          <w:trHeight w:val="300"/>
        </w:trPr>
        <w:tc>
          <w:tcPr>
            <w:tcW w:w="5387" w:type="dxa"/>
            <w:gridSpan w:val="2"/>
            <w:tcBorders>
              <w:top w:val="nil"/>
              <w:left w:val="single" w:sz="4" w:space="0" w:color="auto"/>
              <w:bottom w:val="nil"/>
              <w:right w:val="nil"/>
            </w:tcBorders>
            <w:shd w:val="clear" w:color="auto" w:fill="auto"/>
            <w:noWrap/>
            <w:vAlign w:val="center"/>
            <w:hideMark/>
          </w:tcPr>
          <w:p w14:paraId="34C1ECDE"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544" w:type="dxa"/>
            <w:tcBorders>
              <w:top w:val="nil"/>
              <w:left w:val="single" w:sz="4" w:space="0" w:color="auto"/>
              <w:bottom w:val="nil"/>
              <w:right w:val="single" w:sz="4" w:space="0" w:color="auto"/>
            </w:tcBorders>
            <w:shd w:val="clear" w:color="auto" w:fill="auto"/>
            <w:noWrap/>
            <w:vAlign w:val="bottom"/>
            <w:hideMark/>
          </w:tcPr>
          <w:p w14:paraId="0EA8E189"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w:t>
            </w:r>
            <w:r>
              <w:rPr>
                <w:rFonts w:eastAsia="Times New Roman" w:cs="Arial"/>
                <w:color w:val="000000"/>
              </w:rPr>
              <w:t>0.746</w:t>
            </w:r>
            <w:r w:rsidRPr="00CE2155">
              <w:rPr>
                <w:rFonts w:eastAsia="Times New Roman" w:cs="Arial"/>
                <w:color w:val="000000"/>
              </w:rPr>
              <w:t xml:space="preserve"> </w:t>
            </w:r>
          </w:p>
        </w:tc>
      </w:tr>
      <w:tr w:rsidR="00C92CD8" w14:paraId="3D48EE61" w14:textId="77777777" w:rsidTr="00B97332">
        <w:trPr>
          <w:trHeight w:val="300"/>
        </w:trPr>
        <w:tc>
          <w:tcPr>
            <w:tcW w:w="5387" w:type="dxa"/>
            <w:gridSpan w:val="2"/>
            <w:tcBorders>
              <w:top w:val="nil"/>
              <w:left w:val="single" w:sz="4" w:space="0" w:color="auto"/>
              <w:bottom w:val="nil"/>
              <w:right w:val="nil"/>
            </w:tcBorders>
            <w:shd w:val="clear" w:color="auto" w:fill="auto"/>
            <w:noWrap/>
            <w:vAlign w:val="center"/>
            <w:hideMark/>
          </w:tcPr>
          <w:p w14:paraId="73D443BD"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544" w:type="dxa"/>
            <w:tcBorders>
              <w:top w:val="nil"/>
              <w:left w:val="single" w:sz="4" w:space="0" w:color="auto"/>
              <w:bottom w:val="nil"/>
              <w:right w:val="single" w:sz="4" w:space="0" w:color="auto"/>
            </w:tcBorders>
            <w:shd w:val="clear" w:color="auto" w:fill="auto"/>
            <w:noWrap/>
            <w:vAlign w:val="bottom"/>
            <w:hideMark/>
          </w:tcPr>
          <w:p w14:paraId="31379B2E"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06655302" w14:textId="77777777" w:rsidTr="00B97332">
        <w:trPr>
          <w:trHeight w:val="300"/>
        </w:trPr>
        <w:tc>
          <w:tcPr>
            <w:tcW w:w="5387" w:type="dxa"/>
            <w:gridSpan w:val="2"/>
            <w:tcBorders>
              <w:top w:val="nil"/>
              <w:left w:val="single" w:sz="4" w:space="0" w:color="auto"/>
              <w:bottom w:val="nil"/>
              <w:right w:val="nil"/>
            </w:tcBorders>
            <w:shd w:val="clear" w:color="auto" w:fill="auto"/>
            <w:noWrap/>
            <w:vAlign w:val="center"/>
            <w:hideMark/>
          </w:tcPr>
          <w:p w14:paraId="31EDE1B2"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544" w:type="dxa"/>
            <w:tcBorders>
              <w:top w:val="nil"/>
              <w:left w:val="single" w:sz="4" w:space="0" w:color="auto"/>
              <w:bottom w:val="nil"/>
              <w:right w:val="single" w:sz="4" w:space="0" w:color="auto"/>
            </w:tcBorders>
            <w:shd w:val="clear" w:color="auto" w:fill="auto"/>
            <w:noWrap/>
            <w:vAlign w:val="bottom"/>
            <w:hideMark/>
          </w:tcPr>
          <w:p w14:paraId="0DF83712" w14:textId="654D6B06"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1.</w:t>
            </w:r>
            <w:r w:rsidR="00050157">
              <w:rPr>
                <w:rFonts w:eastAsia="Times New Roman" w:cs="Arial"/>
                <w:b/>
                <w:bCs/>
                <w:color w:val="000000"/>
              </w:rPr>
              <w:t>340</w:t>
            </w:r>
            <w:r w:rsidRPr="00CE2155">
              <w:rPr>
                <w:rFonts w:eastAsia="Times New Roman" w:cs="Arial"/>
                <w:b/>
                <w:bCs/>
                <w:color w:val="000000"/>
              </w:rPr>
              <w:t xml:space="preserve"> </w:t>
            </w:r>
          </w:p>
        </w:tc>
      </w:tr>
      <w:tr w:rsidR="00C92CD8" w14:paraId="6780AAE9" w14:textId="77777777" w:rsidTr="00B97332">
        <w:trPr>
          <w:trHeight w:val="300"/>
        </w:trPr>
        <w:tc>
          <w:tcPr>
            <w:tcW w:w="5387" w:type="dxa"/>
            <w:gridSpan w:val="2"/>
            <w:tcBorders>
              <w:top w:val="nil"/>
              <w:left w:val="single" w:sz="4" w:space="0" w:color="auto"/>
              <w:bottom w:val="nil"/>
              <w:right w:val="nil"/>
            </w:tcBorders>
            <w:shd w:val="clear" w:color="auto" w:fill="auto"/>
            <w:noWrap/>
            <w:vAlign w:val="center"/>
            <w:hideMark/>
          </w:tcPr>
          <w:p w14:paraId="782E204E"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nil"/>
              <w:left w:val="single" w:sz="4" w:space="0" w:color="auto"/>
              <w:bottom w:val="nil"/>
              <w:right w:val="single" w:sz="4" w:space="0" w:color="auto"/>
            </w:tcBorders>
            <w:shd w:val="clear" w:color="auto" w:fill="auto"/>
            <w:noWrap/>
            <w:vAlign w:val="bottom"/>
            <w:hideMark/>
          </w:tcPr>
          <w:p w14:paraId="1C9A5377"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60110528" w14:textId="77777777" w:rsidTr="00B97332">
        <w:trPr>
          <w:trHeight w:val="300"/>
        </w:trPr>
        <w:tc>
          <w:tcPr>
            <w:tcW w:w="5387" w:type="dxa"/>
            <w:gridSpan w:val="2"/>
            <w:tcBorders>
              <w:top w:val="single" w:sz="4" w:space="0" w:color="auto"/>
              <w:left w:val="single" w:sz="4" w:space="0" w:color="auto"/>
              <w:bottom w:val="single" w:sz="4" w:space="0" w:color="auto"/>
              <w:right w:val="nil"/>
            </w:tcBorders>
            <w:shd w:val="clear" w:color="auto" w:fill="auto"/>
            <w:noWrap/>
            <w:vAlign w:val="center"/>
            <w:hideMark/>
          </w:tcPr>
          <w:p w14:paraId="4E298CB4"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7A9FC" w14:textId="2A07552D"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w:t>
            </w:r>
            <w:r>
              <w:rPr>
                <w:rFonts w:eastAsia="Times New Roman" w:cs="Arial"/>
                <w:b/>
                <w:bCs/>
                <w:color w:val="000000"/>
              </w:rPr>
              <w:t>1</w:t>
            </w:r>
            <w:r w:rsidR="00050157">
              <w:rPr>
                <w:rFonts w:eastAsia="Times New Roman" w:cs="Arial"/>
                <w:b/>
                <w:bCs/>
                <w:color w:val="000000"/>
              </w:rPr>
              <w:t>3.536</w:t>
            </w:r>
            <w:r w:rsidRPr="00CE2155">
              <w:rPr>
                <w:rFonts w:eastAsia="Times New Roman" w:cs="Arial"/>
                <w:b/>
                <w:bCs/>
                <w:color w:val="000000"/>
              </w:rPr>
              <w:t xml:space="preserve"> </w:t>
            </w:r>
          </w:p>
        </w:tc>
      </w:tr>
    </w:tbl>
    <w:p w14:paraId="07FFBCDB" w14:textId="77777777" w:rsidR="00146FD5" w:rsidRPr="00CE2155" w:rsidRDefault="004A7A82" w:rsidP="00146FD5">
      <w:pPr>
        <w:rPr>
          <w:rFonts w:cs="Arial"/>
        </w:rPr>
      </w:pPr>
      <w:r w:rsidRPr="00CE2155">
        <w:rPr>
          <w:rFonts w:cs="Arial"/>
        </w:rPr>
        <w:br w:type="page"/>
      </w:r>
    </w:p>
    <w:tbl>
      <w:tblPr>
        <w:tblW w:w="8931" w:type="dxa"/>
        <w:tblLook w:val="04A0" w:firstRow="1" w:lastRow="0" w:firstColumn="1" w:lastColumn="0" w:noHBand="0" w:noVBand="1"/>
      </w:tblPr>
      <w:tblGrid>
        <w:gridCol w:w="5387"/>
        <w:gridCol w:w="3544"/>
      </w:tblGrid>
      <w:tr w:rsidR="00C92CD8" w14:paraId="03F06A12" w14:textId="77777777" w:rsidTr="00B97332">
        <w:trPr>
          <w:trHeight w:val="300"/>
        </w:trPr>
        <w:tc>
          <w:tcPr>
            <w:tcW w:w="5387" w:type="dxa"/>
            <w:tcBorders>
              <w:top w:val="nil"/>
              <w:left w:val="nil"/>
              <w:bottom w:val="nil"/>
              <w:right w:val="nil"/>
            </w:tcBorders>
            <w:shd w:val="clear" w:color="auto" w:fill="auto"/>
            <w:noWrap/>
            <w:vAlign w:val="bottom"/>
            <w:hideMark/>
          </w:tcPr>
          <w:p w14:paraId="78FCD18E" w14:textId="77777777" w:rsidR="00146FD5" w:rsidRDefault="004A7A82" w:rsidP="00B97332">
            <w:pPr>
              <w:rPr>
                <w:rFonts w:eastAsia="Times New Roman" w:cs="Arial"/>
                <w:b/>
                <w:bCs/>
                <w:color w:val="000000"/>
                <w:u w:val="single"/>
              </w:rPr>
            </w:pPr>
            <w:r>
              <w:rPr>
                <w:rFonts w:eastAsia="Times New Roman" w:cs="Arial"/>
                <w:b/>
                <w:bCs/>
                <w:color w:val="000000"/>
                <w:u w:val="single"/>
              </w:rPr>
              <w:lastRenderedPageBreak/>
              <w:t xml:space="preserve">4.2 </w:t>
            </w:r>
            <w:r w:rsidRPr="00CE2155">
              <w:rPr>
                <w:rFonts w:eastAsia="Times New Roman" w:cs="Arial"/>
                <w:b/>
                <w:bCs/>
                <w:color w:val="000000"/>
                <w:u w:val="single"/>
              </w:rPr>
              <w:t>Director of Finance Services</w:t>
            </w:r>
          </w:p>
          <w:p w14:paraId="31FC81B2" w14:textId="77777777" w:rsidR="000A5B26" w:rsidRDefault="000A5B26" w:rsidP="00B97332">
            <w:pPr>
              <w:rPr>
                <w:rFonts w:eastAsia="Times New Roman" w:cs="Arial"/>
                <w:b/>
                <w:bCs/>
                <w:color w:val="000000"/>
                <w:u w:val="single"/>
              </w:rPr>
            </w:pPr>
          </w:p>
          <w:p w14:paraId="1600370A" w14:textId="77777777" w:rsidR="00146FD5" w:rsidRPr="00CE2155" w:rsidRDefault="00146FD5" w:rsidP="00B97332">
            <w:pPr>
              <w:rPr>
                <w:rFonts w:eastAsia="Times New Roman" w:cs="Arial"/>
                <w:b/>
                <w:bCs/>
                <w:color w:val="000000"/>
                <w:u w:val="single"/>
              </w:rPr>
            </w:pPr>
          </w:p>
        </w:tc>
        <w:tc>
          <w:tcPr>
            <w:tcW w:w="3544" w:type="dxa"/>
            <w:tcBorders>
              <w:top w:val="nil"/>
              <w:left w:val="nil"/>
              <w:bottom w:val="nil"/>
              <w:right w:val="nil"/>
            </w:tcBorders>
            <w:shd w:val="clear" w:color="auto" w:fill="auto"/>
            <w:noWrap/>
            <w:vAlign w:val="bottom"/>
            <w:hideMark/>
          </w:tcPr>
          <w:p w14:paraId="214C3741" w14:textId="77777777" w:rsidR="00146FD5" w:rsidRPr="00CE2155" w:rsidRDefault="00146FD5" w:rsidP="00B97332">
            <w:pPr>
              <w:rPr>
                <w:rFonts w:eastAsia="Times New Roman" w:cs="Arial"/>
                <w:b/>
                <w:bCs/>
                <w:color w:val="000000"/>
                <w:u w:val="single"/>
              </w:rPr>
            </w:pPr>
          </w:p>
        </w:tc>
      </w:tr>
      <w:tr w:rsidR="00C92CD8" w14:paraId="1039DA94" w14:textId="77777777" w:rsidTr="00B97332">
        <w:trPr>
          <w:trHeight w:val="600"/>
        </w:trPr>
        <w:tc>
          <w:tcPr>
            <w:tcW w:w="5387" w:type="dxa"/>
            <w:tcBorders>
              <w:top w:val="single" w:sz="4" w:space="0" w:color="auto"/>
              <w:left w:val="single" w:sz="4" w:space="0" w:color="auto"/>
              <w:bottom w:val="single" w:sz="4" w:space="0" w:color="auto"/>
              <w:right w:val="nil"/>
            </w:tcBorders>
            <w:shd w:val="clear" w:color="auto" w:fill="auto"/>
            <w:noWrap/>
            <w:vAlign w:val="bottom"/>
            <w:hideMark/>
          </w:tcPr>
          <w:p w14:paraId="3921E385"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23AE2"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66E30252" w14:textId="77777777" w:rsidTr="00B97332">
        <w:trPr>
          <w:trHeight w:val="300"/>
        </w:trPr>
        <w:tc>
          <w:tcPr>
            <w:tcW w:w="5387" w:type="dxa"/>
            <w:tcBorders>
              <w:top w:val="nil"/>
              <w:left w:val="single" w:sz="4" w:space="0" w:color="auto"/>
              <w:bottom w:val="nil"/>
              <w:right w:val="nil"/>
            </w:tcBorders>
            <w:shd w:val="clear" w:color="auto" w:fill="auto"/>
            <w:noWrap/>
            <w:vAlign w:val="bottom"/>
            <w:hideMark/>
          </w:tcPr>
          <w:p w14:paraId="16831784"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nil"/>
              <w:left w:val="single" w:sz="4" w:space="0" w:color="auto"/>
              <w:bottom w:val="nil"/>
              <w:right w:val="single" w:sz="4" w:space="0" w:color="auto"/>
            </w:tcBorders>
            <w:shd w:val="clear" w:color="auto" w:fill="auto"/>
            <w:noWrap/>
            <w:vAlign w:val="center"/>
            <w:hideMark/>
          </w:tcPr>
          <w:p w14:paraId="3E29DBD3"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67BF3311"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2DDCE75F"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544" w:type="dxa"/>
            <w:tcBorders>
              <w:top w:val="nil"/>
              <w:left w:val="single" w:sz="4" w:space="0" w:color="auto"/>
              <w:bottom w:val="nil"/>
              <w:right w:val="single" w:sz="4" w:space="0" w:color="auto"/>
            </w:tcBorders>
            <w:shd w:val="clear" w:color="auto" w:fill="auto"/>
            <w:noWrap/>
            <w:vAlign w:val="bottom"/>
            <w:hideMark/>
          </w:tcPr>
          <w:p w14:paraId="0EA4EA5A"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4DF358E4"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2D17121B"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544" w:type="dxa"/>
            <w:tcBorders>
              <w:top w:val="nil"/>
              <w:left w:val="single" w:sz="4" w:space="0" w:color="auto"/>
              <w:bottom w:val="nil"/>
              <w:right w:val="single" w:sz="4" w:space="0" w:color="auto"/>
            </w:tcBorders>
            <w:shd w:val="clear" w:color="auto" w:fill="auto"/>
            <w:noWrap/>
            <w:vAlign w:val="bottom"/>
            <w:hideMark/>
          </w:tcPr>
          <w:p w14:paraId="691E641B"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28.386 </w:t>
            </w:r>
          </w:p>
        </w:tc>
      </w:tr>
      <w:tr w:rsidR="00C92CD8" w14:paraId="0C17B066"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0BA6110D"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544" w:type="dxa"/>
            <w:tcBorders>
              <w:top w:val="nil"/>
              <w:left w:val="single" w:sz="4" w:space="0" w:color="auto"/>
              <w:bottom w:val="nil"/>
              <w:right w:val="single" w:sz="4" w:space="0" w:color="auto"/>
            </w:tcBorders>
            <w:shd w:val="clear" w:color="auto" w:fill="auto"/>
            <w:noWrap/>
            <w:vAlign w:val="bottom"/>
            <w:hideMark/>
          </w:tcPr>
          <w:p w14:paraId="7CE8DA9D"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1.125 </w:t>
            </w:r>
          </w:p>
        </w:tc>
      </w:tr>
      <w:tr w:rsidR="00C92CD8" w14:paraId="0DBBF3C2"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03D6FA2C"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544" w:type="dxa"/>
            <w:tcBorders>
              <w:top w:val="nil"/>
              <w:left w:val="single" w:sz="4" w:space="0" w:color="auto"/>
              <w:bottom w:val="nil"/>
              <w:right w:val="single" w:sz="4" w:space="0" w:color="auto"/>
            </w:tcBorders>
            <w:shd w:val="clear" w:color="auto" w:fill="auto"/>
            <w:noWrap/>
            <w:vAlign w:val="bottom"/>
            <w:hideMark/>
          </w:tcPr>
          <w:p w14:paraId="6948178A"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0.690 </w:t>
            </w:r>
          </w:p>
        </w:tc>
      </w:tr>
      <w:tr w:rsidR="00C92CD8" w14:paraId="062C5FF6"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7E831F28"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544" w:type="dxa"/>
            <w:tcBorders>
              <w:top w:val="nil"/>
              <w:left w:val="single" w:sz="4" w:space="0" w:color="auto"/>
              <w:bottom w:val="nil"/>
              <w:right w:val="single" w:sz="4" w:space="0" w:color="auto"/>
            </w:tcBorders>
            <w:shd w:val="clear" w:color="auto" w:fill="auto"/>
            <w:noWrap/>
            <w:vAlign w:val="bottom"/>
            <w:hideMark/>
          </w:tcPr>
          <w:p w14:paraId="074F3EE4"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6.422 </w:t>
            </w:r>
          </w:p>
        </w:tc>
      </w:tr>
      <w:tr w:rsidR="00C92CD8" w14:paraId="3867F570"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6F6A1D82"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544" w:type="dxa"/>
            <w:tcBorders>
              <w:top w:val="nil"/>
              <w:left w:val="single" w:sz="4" w:space="0" w:color="auto"/>
              <w:bottom w:val="nil"/>
              <w:right w:val="single" w:sz="4" w:space="0" w:color="auto"/>
            </w:tcBorders>
            <w:shd w:val="clear" w:color="auto" w:fill="auto"/>
            <w:noWrap/>
            <w:vAlign w:val="bottom"/>
            <w:hideMark/>
          </w:tcPr>
          <w:p w14:paraId="54FAE675"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3CC6FB1C"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073FA8DA"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544" w:type="dxa"/>
            <w:tcBorders>
              <w:top w:val="nil"/>
              <w:left w:val="single" w:sz="4" w:space="0" w:color="auto"/>
              <w:bottom w:val="nil"/>
              <w:right w:val="single" w:sz="4" w:space="0" w:color="auto"/>
            </w:tcBorders>
            <w:shd w:val="clear" w:color="auto" w:fill="auto"/>
            <w:noWrap/>
            <w:vAlign w:val="bottom"/>
            <w:hideMark/>
          </w:tcPr>
          <w:p w14:paraId="303D5A89"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507C0B57"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389C23A2"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544" w:type="dxa"/>
            <w:tcBorders>
              <w:top w:val="nil"/>
              <w:left w:val="single" w:sz="4" w:space="0" w:color="auto"/>
              <w:bottom w:val="nil"/>
              <w:right w:val="single" w:sz="4" w:space="0" w:color="auto"/>
            </w:tcBorders>
            <w:shd w:val="clear" w:color="auto" w:fill="auto"/>
            <w:noWrap/>
            <w:vAlign w:val="bottom"/>
            <w:hideMark/>
          </w:tcPr>
          <w:p w14:paraId="590FDC1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23BD3FF9"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41CBFB65"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544" w:type="dxa"/>
            <w:tcBorders>
              <w:top w:val="nil"/>
              <w:left w:val="single" w:sz="4" w:space="0" w:color="auto"/>
              <w:bottom w:val="nil"/>
              <w:right w:val="single" w:sz="4" w:space="0" w:color="auto"/>
            </w:tcBorders>
            <w:shd w:val="clear" w:color="auto" w:fill="auto"/>
            <w:noWrap/>
            <w:vAlign w:val="bottom"/>
            <w:hideMark/>
          </w:tcPr>
          <w:p w14:paraId="49783605"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09E95864"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2E4C0B59"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544" w:type="dxa"/>
            <w:tcBorders>
              <w:top w:val="nil"/>
              <w:left w:val="single" w:sz="4" w:space="0" w:color="auto"/>
              <w:bottom w:val="nil"/>
              <w:right w:val="single" w:sz="4" w:space="0" w:color="auto"/>
            </w:tcBorders>
            <w:shd w:val="clear" w:color="auto" w:fill="auto"/>
            <w:noWrap/>
            <w:vAlign w:val="bottom"/>
            <w:hideMark/>
          </w:tcPr>
          <w:p w14:paraId="365C31A5"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36.623 </w:t>
            </w:r>
          </w:p>
        </w:tc>
      </w:tr>
      <w:tr w:rsidR="00C92CD8" w14:paraId="0ECD48CD"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57F0B8D0"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nil"/>
              <w:left w:val="single" w:sz="4" w:space="0" w:color="auto"/>
              <w:bottom w:val="nil"/>
              <w:right w:val="single" w:sz="4" w:space="0" w:color="auto"/>
            </w:tcBorders>
            <w:shd w:val="clear" w:color="auto" w:fill="auto"/>
            <w:noWrap/>
            <w:vAlign w:val="bottom"/>
            <w:hideMark/>
          </w:tcPr>
          <w:p w14:paraId="48EEDE27"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1113EAA1"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746E90A6"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544" w:type="dxa"/>
            <w:tcBorders>
              <w:top w:val="nil"/>
              <w:left w:val="single" w:sz="4" w:space="0" w:color="auto"/>
              <w:bottom w:val="nil"/>
              <w:right w:val="single" w:sz="4" w:space="0" w:color="auto"/>
            </w:tcBorders>
            <w:shd w:val="clear" w:color="auto" w:fill="auto"/>
            <w:noWrap/>
            <w:vAlign w:val="bottom"/>
            <w:hideMark/>
          </w:tcPr>
          <w:p w14:paraId="50B028A4"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3390817E"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441CEE2A"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544" w:type="dxa"/>
            <w:tcBorders>
              <w:top w:val="nil"/>
              <w:left w:val="single" w:sz="4" w:space="0" w:color="auto"/>
              <w:bottom w:val="nil"/>
              <w:right w:val="single" w:sz="4" w:space="0" w:color="auto"/>
            </w:tcBorders>
            <w:shd w:val="clear" w:color="auto" w:fill="auto"/>
            <w:noWrap/>
            <w:vAlign w:val="bottom"/>
            <w:hideMark/>
          </w:tcPr>
          <w:p w14:paraId="24E9ACA2"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1.181 </w:t>
            </w:r>
          </w:p>
        </w:tc>
      </w:tr>
      <w:tr w:rsidR="00C92CD8" w14:paraId="1717D975"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49C492EB"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544" w:type="dxa"/>
            <w:tcBorders>
              <w:top w:val="nil"/>
              <w:left w:val="single" w:sz="4" w:space="0" w:color="auto"/>
              <w:bottom w:val="nil"/>
              <w:right w:val="single" w:sz="4" w:space="0" w:color="auto"/>
            </w:tcBorders>
            <w:shd w:val="clear" w:color="auto" w:fill="auto"/>
            <w:noWrap/>
            <w:vAlign w:val="bottom"/>
            <w:hideMark/>
          </w:tcPr>
          <w:p w14:paraId="15451A8A"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0.189 </w:t>
            </w:r>
          </w:p>
        </w:tc>
      </w:tr>
      <w:tr w:rsidR="00C92CD8" w14:paraId="21CAAD77"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08FE0F43"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544" w:type="dxa"/>
            <w:tcBorders>
              <w:top w:val="nil"/>
              <w:left w:val="single" w:sz="4" w:space="0" w:color="auto"/>
              <w:bottom w:val="nil"/>
              <w:right w:val="single" w:sz="4" w:space="0" w:color="auto"/>
            </w:tcBorders>
            <w:shd w:val="clear" w:color="auto" w:fill="auto"/>
            <w:noWrap/>
            <w:vAlign w:val="bottom"/>
            <w:hideMark/>
          </w:tcPr>
          <w:p w14:paraId="159C21D5"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0973FE88"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776D73D6"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544" w:type="dxa"/>
            <w:tcBorders>
              <w:top w:val="nil"/>
              <w:left w:val="single" w:sz="4" w:space="0" w:color="auto"/>
              <w:bottom w:val="nil"/>
              <w:right w:val="single" w:sz="4" w:space="0" w:color="auto"/>
            </w:tcBorders>
            <w:shd w:val="clear" w:color="auto" w:fill="auto"/>
            <w:noWrap/>
            <w:vAlign w:val="bottom"/>
            <w:hideMark/>
          </w:tcPr>
          <w:p w14:paraId="3D01CF21"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15.098 </w:t>
            </w:r>
          </w:p>
        </w:tc>
      </w:tr>
      <w:tr w:rsidR="00C92CD8" w14:paraId="101194EF"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41F85D34"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544" w:type="dxa"/>
            <w:tcBorders>
              <w:top w:val="nil"/>
              <w:left w:val="single" w:sz="4" w:space="0" w:color="auto"/>
              <w:bottom w:val="nil"/>
              <w:right w:val="single" w:sz="4" w:space="0" w:color="auto"/>
            </w:tcBorders>
            <w:shd w:val="clear" w:color="auto" w:fill="auto"/>
            <w:noWrap/>
            <w:vAlign w:val="bottom"/>
            <w:hideMark/>
          </w:tcPr>
          <w:p w14:paraId="701C7DC3"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0.058 </w:t>
            </w:r>
          </w:p>
        </w:tc>
      </w:tr>
      <w:tr w:rsidR="00C92CD8" w14:paraId="3F042A55"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0D8B484E"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544" w:type="dxa"/>
            <w:tcBorders>
              <w:top w:val="nil"/>
              <w:left w:val="single" w:sz="4" w:space="0" w:color="auto"/>
              <w:bottom w:val="nil"/>
              <w:right w:val="single" w:sz="4" w:space="0" w:color="auto"/>
            </w:tcBorders>
            <w:shd w:val="clear" w:color="auto" w:fill="auto"/>
            <w:noWrap/>
            <w:vAlign w:val="bottom"/>
            <w:hideMark/>
          </w:tcPr>
          <w:p w14:paraId="336183A5"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16.526 </w:t>
            </w:r>
          </w:p>
        </w:tc>
      </w:tr>
      <w:tr w:rsidR="00C92CD8" w14:paraId="61BC704A"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1DD8CD1B"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nil"/>
              <w:left w:val="single" w:sz="4" w:space="0" w:color="auto"/>
              <w:bottom w:val="nil"/>
              <w:right w:val="single" w:sz="4" w:space="0" w:color="auto"/>
            </w:tcBorders>
            <w:shd w:val="clear" w:color="auto" w:fill="auto"/>
            <w:noWrap/>
            <w:vAlign w:val="bottom"/>
            <w:hideMark/>
          </w:tcPr>
          <w:p w14:paraId="21415090"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6D6934D9" w14:textId="77777777" w:rsidTr="00B97332">
        <w:trPr>
          <w:trHeight w:val="300"/>
        </w:trPr>
        <w:tc>
          <w:tcPr>
            <w:tcW w:w="5387" w:type="dxa"/>
            <w:tcBorders>
              <w:top w:val="single" w:sz="4" w:space="0" w:color="auto"/>
              <w:left w:val="single" w:sz="4" w:space="0" w:color="auto"/>
              <w:bottom w:val="single" w:sz="4" w:space="0" w:color="auto"/>
              <w:right w:val="nil"/>
            </w:tcBorders>
            <w:shd w:val="clear" w:color="auto" w:fill="auto"/>
            <w:noWrap/>
            <w:vAlign w:val="center"/>
            <w:hideMark/>
          </w:tcPr>
          <w:p w14:paraId="152CA7C5"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CDEB8"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20.097 </w:t>
            </w:r>
          </w:p>
        </w:tc>
      </w:tr>
    </w:tbl>
    <w:p w14:paraId="781D5A58" w14:textId="77777777" w:rsidR="00146FD5" w:rsidRPr="00CE2155" w:rsidRDefault="004A7A82" w:rsidP="00146FD5">
      <w:pPr>
        <w:rPr>
          <w:rFonts w:cs="Arial"/>
        </w:rPr>
      </w:pPr>
      <w:r w:rsidRPr="00CE2155">
        <w:rPr>
          <w:rFonts w:cs="Arial"/>
        </w:rPr>
        <w:br w:type="page"/>
      </w:r>
    </w:p>
    <w:tbl>
      <w:tblPr>
        <w:tblW w:w="8931" w:type="dxa"/>
        <w:tblLook w:val="04A0" w:firstRow="1" w:lastRow="0" w:firstColumn="1" w:lastColumn="0" w:noHBand="0" w:noVBand="1"/>
      </w:tblPr>
      <w:tblGrid>
        <w:gridCol w:w="5387"/>
        <w:gridCol w:w="3544"/>
      </w:tblGrid>
      <w:tr w:rsidR="00C92CD8" w14:paraId="61A783F7" w14:textId="77777777" w:rsidTr="00B97332">
        <w:trPr>
          <w:trHeight w:val="300"/>
        </w:trPr>
        <w:tc>
          <w:tcPr>
            <w:tcW w:w="5387" w:type="dxa"/>
            <w:tcBorders>
              <w:top w:val="nil"/>
              <w:left w:val="nil"/>
              <w:bottom w:val="nil"/>
              <w:right w:val="nil"/>
            </w:tcBorders>
            <w:shd w:val="clear" w:color="auto" w:fill="auto"/>
            <w:noWrap/>
            <w:vAlign w:val="bottom"/>
            <w:hideMark/>
          </w:tcPr>
          <w:p w14:paraId="191FE95E" w14:textId="77777777" w:rsidR="00146FD5" w:rsidRDefault="004A7A82" w:rsidP="00B97332">
            <w:pPr>
              <w:rPr>
                <w:rFonts w:eastAsia="Times New Roman" w:cs="Arial"/>
                <w:b/>
                <w:bCs/>
                <w:color w:val="000000"/>
                <w:u w:val="single"/>
              </w:rPr>
            </w:pPr>
            <w:r>
              <w:rPr>
                <w:rFonts w:eastAsia="Times New Roman" w:cs="Arial"/>
                <w:b/>
                <w:bCs/>
                <w:color w:val="000000"/>
                <w:u w:val="single"/>
              </w:rPr>
              <w:lastRenderedPageBreak/>
              <w:t xml:space="preserve">4.3 </w:t>
            </w:r>
            <w:r w:rsidRPr="00CE2155">
              <w:rPr>
                <w:rFonts w:eastAsia="Times New Roman" w:cs="Arial"/>
                <w:b/>
                <w:bCs/>
                <w:color w:val="000000"/>
                <w:u w:val="single"/>
              </w:rPr>
              <w:t>Director of Strategy and Performance</w:t>
            </w:r>
          </w:p>
          <w:p w14:paraId="3FAD56BD" w14:textId="77777777" w:rsidR="000A5B26" w:rsidRDefault="000A5B26" w:rsidP="00B97332">
            <w:pPr>
              <w:rPr>
                <w:rFonts w:eastAsia="Times New Roman" w:cs="Arial"/>
                <w:b/>
                <w:bCs/>
                <w:color w:val="000000"/>
                <w:u w:val="single"/>
              </w:rPr>
            </w:pPr>
          </w:p>
          <w:p w14:paraId="78487750" w14:textId="77777777" w:rsidR="00146FD5" w:rsidRPr="00CE2155" w:rsidRDefault="00146FD5" w:rsidP="00B97332">
            <w:pPr>
              <w:rPr>
                <w:rFonts w:eastAsia="Times New Roman" w:cs="Arial"/>
                <w:b/>
                <w:bCs/>
                <w:color w:val="000000"/>
                <w:u w:val="single"/>
              </w:rPr>
            </w:pPr>
          </w:p>
        </w:tc>
        <w:tc>
          <w:tcPr>
            <w:tcW w:w="3544" w:type="dxa"/>
            <w:tcBorders>
              <w:top w:val="nil"/>
              <w:left w:val="nil"/>
              <w:bottom w:val="nil"/>
              <w:right w:val="nil"/>
            </w:tcBorders>
            <w:shd w:val="clear" w:color="auto" w:fill="auto"/>
            <w:noWrap/>
            <w:vAlign w:val="bottom"/>
            <w:hideMark/>
          </w:tcPr>
          <w:p w14:paraId="0F1632CC" w14:textId="77777777" w:rsidR="00146FD5" w:rsidRPr="00CE2155" w:rsidRDefault="00146FD5" w:rsidP="00B97332">
            <w:pPr>
              <w:rPr>
                <w:rFonts w:eastAsia="Times New Roman" w:cs="Arial"/>
                <w:b/>
                <w:bCs/>
                <w:color w:val="000000"/>
                <w:u w:val="single"/>
              </w:rPr>
            </w:pPr>
          </w:p>
        </w:tc>
      </w:tr>
      <w:tr w:rsidR="00C92CD8" w14:paraId="0F56D0C3" w14:textId="77777777" w:rsidTr="00B97332">
        <w:trPr>
          <w:trHeight w:val="600"/>
        </w:trPr>
        <w:tc>
          <w:tcPr>
            <w:tcW w:w="5387" w:type="dxa"/>
            <w:tcBorders>
              <w:top w:val="single" w:sz="4" w:space="0" w:color="auto"/>
              <w:left w:val="single" w:sz="4" w:space="0" w:color="auto"/>
              <w:bottom w:val="single" w:sz="4" w:space="0" w:color="auto"/>
              <w:right w:val="nil"/>
            </w:tcBorders>
            <w:shd w:val="clear" w:color="auto" w:fill="auto"/>
            <w:noWrap/>
            <w:vAlign w:val="bottom"/>
            <w:hideMark/>
          </w:tcPr>
          <w:p w14:paraId="727E7BFC"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769E8"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7863B1FF" w14:textId="77777777" w:rsidTr="00B97332">
        <w:trPr>
          <w:trHeight w:val="300"/>
        </w:trPr>
        <w:tc>
          <w:tcPr>
            <w:tcW w:w="5387" w:type="dxa"/>
            <w:tcBorders>
              <w:top w:val="nil"/>
              <w:left w:val="single" w:sz="4" w:space="0" w:color="auto"/>
              <w:bottom w:val="nil"/>
              <w:right w:val="nil"/>
            </w:tcBorders>
            <w:shd w:val="clear" w:color="auto" w:fill="auto"/>
            <w:noWrap/>
            <w:vAlign w:val="bottom"/>
            <w:hideMark/>
          </w:tcPr>
          <w:p w14:paraId="10937679"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nil"/>
              <w:left w:val="single" w:sz="4" w:space="0" w:color="auto"/>
              <w:bottom w:val="nil"/>
              <w:right w:val="single" w:sz="4" w:space="0" w:color="auto"/>
            </w:tcBorders>
            <w:shd w:val="clear" w:color="auto" w:fill="auto"/>
            <w:noWrap/>
            <w:vAlign w:val="center"/>
            <w:hideMark/>
          </w:tcPr>
          <w:p w14:paraId="0434CB30"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061CE509"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23B0815E"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544" w:type="dxa"/>
            <w:tcBorders>
              <w:top w:val="nil"/>
              <w:left w:val="single" w:sz="4" w:space="0" w:color="auto"/>
              <w:bottom w:val="nil"/>
              <w:right w:val="single" w:sz="4" w:space="0" w:color="auto"/>
            </w:tcBorders>
            <w:shd w:val="clear" w:color="auto" w:fill="auto"/>
            <w:noWrap/>
            <w:vAlign w:val="bottom"/>
            <w:hideMark/>
          </w:tcPr>
          <w:p w14:paraId="455FC532"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73CCF5DF"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1D8B43E4"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544" w:type="dxa"/>
            <w:tcBorders>
              <w:top w:val="nil"/>
              <w:left w:val="single" w:sz="4" w:space="0" w:color="auto"/>
              <w:bottom w:val="nil"/>
              <w:right w:val="single" w:sz="4" w:space="0" w:color="auto"/>
            </w:tcBorders>
            <w:shd w:val="clear" w:color="auto" w:fill="auto"/>
            <w:noWrap/>
            <w:vAlign w:val="bottom"/>
            <w:hideMark/>
          </w:tcPr>
          <w:p w14:paraId="02B84F75"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48.122 </w:t>
            </w:r>
          </w:p>
        </w:tc>
      </w:tr>
      <w:tr w:rsidR="00C92CD8" w14:paraId="23A52954"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190158F6"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544" w:type="dxa"/>
            <w:tcBorders>
              <w:top w:val="nil"/>
              <w:left w:val="single" w:sz="4" w:space="0" w:color="auto"/>
              <w:bottom w:val="nil"/>
              <w:right w:val="single" w:sz="4" w:space="0" w:color="auto"/>
            </w:tcBorders>
            <w:shd w:val="clear" w:color="auto" w:fill="auto"/>
            <w:noWrap/>
            <w:vAlign w:val="bottom"/>
            <w:hideMark/>
          </w:tcPr>
          <w:p w14:paraId="63BEA3F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40.114 </w:t>
            </w:r>
          </w:p>
        </w:tc>
      </w:tr>
      <w:tr w:rsidR="00C92CD8" w14:paraId="5E617A9E"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122F32E4"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544" w:type="dxa"/>
            <w:tcBorders>
              <w:top w:val="nil"/>
              <w:left w:val="single" w:sz="4" w:space="0" w:color="auto"/>
              <w:bottom w:val="nil"/>
              <w:right w:val="single" w:sz="4" w:space="0" w:color="auto"/>
            </w:tcBorders>
            <w:shd w:val="clear" w:color="auto" w:fill="auto"/>
            <w:noWrap/>
            <w:vAlign w:val="bottom"/>
            <w:hideMark/>
          </w:tcPr>
          <w:p w14:paraId="37C01139"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0.374 </w:t>
            </w:r>
          </w:p>
        </w:tc>
      </w:tr>
      <w:tr w:rsidR="00C92CD8" w14:paraId="7CF69549"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5CA9E11A"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544" w:type="dxa"/>
            <w:tcBorders>
              <w:top w:val="nil"/>
              <w:left w:val="single" w:sz="4" w:space="0" w:color="auto"/>
              <w:bottom w:val="nil"/>
              <w:right w:val="single" w:sz="4" w:space="0" w:color="auto"/>
            </w:tcBorders>
            <w:shd w:val="clear" w:color="auto" w:fill="auto"/>
            <w:noWrap/>
            <w:vAlign w:val="bottom"/>
            <w:hideMark/>
          </w:tcPr>
          <w:p w14:paraId="7C2D9D40"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23.467 </w:t>
            </w:r>
          </w:p>
        </w:tc>
      </w:tr>
      <w:tr w:rsidR="00C92CD8" w14:paraId="151A034F"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1ACA073C"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544" w:type="dxa"/>
            <w:tcBorders>
              <w:top w:val="nil"/>
              <w:left w:val="single" w:sz="4" w:space="0" w:color="auto"/>
              <w:bottom w:val="nil"/>
              <w:right w:val="single" w:sz="4" w:space="0" w:color="auto"/>
            </w:tcBorders>
            <w:shd w:val="clear" w:color="auto" w:fill="auto"/>
            <w:noWrap/>
            <w:vAlign w:val="bottom"/>
            <w:hideMark/>
          </w:tcPr>
          <w:p w14:paraId="53844A0F"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1.850 </w:t>
            </w:r>
          </w:p>
        </w:tc>
      </w:tr>
      <w:tr w:rsidR="00C92CD8" w14:paraId="02E479BF"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21FDA9B8"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544" w:type="dxa"/>
            <w:tcBorders>
              <w:top w:val="nil"/>
              <w:left w:val="single" w:sz="4" w:space="0" w:color="auto"/>
              <w:bottom w:val="nil"/>
              <w:right w:val="single" w:sz="4" w:space="0" w:color="auto"/>
            </w:tcBorders>
            <w:shd w:val="clear" w:color="auto" w:fill="auto"/>
            <w:noWrap/>
            <w:vAlign w:val="bottom"/>
            <w:hideMark/>
          </w:tcPr>
          <w:p w14:paraId="1B64BE4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4EA71A00"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121F4099"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544" w:type="dxa"/>
            <w:tcBorders>
              <w:top w:val="nil"/>
              <w:left w:val="single" w:sz="4" w:space="0" w:color="auto"/>
              <w:bottom w:val="nil"/>
              <w:right w:val="single" w:sz="4" w:space="0" w:color="auto"/>
            </w:tcBorders>
            <w:shd w:val="clear" w:color="auto" w:fill="auto"/>
            <w:noWrap/>
            <w:vAlign w:val="bottom"/>
            <w:hideMark/>
          </w:tcPr>
          <w:p w14:paraId="53FDE781"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22.114 </w:t>
            </w:r>
          </w:p>
        </w:tc>
      </w:tr>
      <w:tr w:rsidR="00C92CD8" w14:paraId="18129D01"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7B9D5F8B"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544" w:type="dxa"/>
            <w:tcBorders>
              <w:top w:val="nil"/>
              <w:left w:val="single" w:sz="4" w:space="0" w:color="auto"/>
              <w:bottom w:val="nil"/>
              <w:right w:val="single" w:sz="4" w:space="0" w:color="auto"/>
            </w:tcBorders>
            <w:shd w:val="clear" w:color="auto" w:fill="auto"/>
            <w:noWrap/>
            <w:vAlign w:val="bottom"/>
            <w:hideMark/>
          </w:tcPr>
          <w:p w14:paraId="5F6746C3"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592A1BA5"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1D1DF400"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544" w:type="dxa"/>
            <w:tcBorders>
              <w:top w:val="nil"/>
              <w:left w:val="single" w:sz="4" w:space="0" w:color="auto"/>
              <w:bottom w:val="nil"/>
              <w:right w:val="single" w:sz="4" w:space="0" w:color="auto"/>
            </w:tcBorders>
            <w:shd w:val="clear" w:color="auto" w:fill="auto"/>
            <w:noWrap/>
            <w:vAlign w:val="bottom"/>
            <w:hideMark/>
          </w:tcPr>
          <w:p w14:paraId="2126662A"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136.041 </w:t>
            </w:r>
          </w:p>
        </w:tc>
      </w:tr>
      <w:tr w:rsidR="00C92CD8" w14:paraId="4D38B39F"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3F73603C"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nil"/>
              <w:left w:val="single" w:sz="4" w:space="0" w:color="auto"/>
              <w:bottom w:val="nil"/>
              <w:right w:val="single" w:sz="4" w:space="0" w:color="auto"/>
            </w:tcBorders>
            <w:shd w:val="clear" w:color="auto" w:fill="auto"/>
            <w:noWrap/>
            <w:vAlign w:val="bottom"/>
            <w:hideMark/>
          </w:tcPr>
          <w:p w14:paraId="483FA8BA"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26146558"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134FC29E"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544" w:type="dxa"/>
            <w:tcBorders>
              <w:top w:val="nil"/>
              <w:left w:val="single" w:sz="4" w:space="0" w:color="auto"/>
              <w:bottom w:val="nil"/>
              <w:right w:val="single" w:sz="4" w:space="0" w:color="auto"/>
            </w:tcBorders>
            <w:shd w:val="clear" w:color="auto" w:fill="auto"/>
            <w:noWrap/>
            <w:vAlign w:val="bottom"/>
            <w:hideMark/>
          </w:tcPr>
          <w:p w14:paraId="75E9D16E"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04261F3C"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7780A886"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544" w:type="dxa"/>
            <w:tcBorders>
              <w:top w:val="nil"/>
              <w:left w:val="single" w:sz="4" w:space="0" w:color="auto"/>
              <w:bottom w:val="nil"/>
              <w:right w:val="single" w:sz="4" w:space="0" w:color="auto"/>
            </w:tcBorders>
            <w:shd w:val="clear" w:color="auto" w:fill="auto"/>
            <w:noWrap/>
            <w:vAlign w:val="bottom"/>
            <w:hideMark/>
          </w:tcPr>
          <w:p w14:paraId="1DCE086E"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7.155 </w:t>
            </w:r>
          </w:p>
        </w:tc>
      </w:tr>
      <w:tr w:rsidR="00C92CD8" w14:paraId="158BC5E1"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4588E7E9"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544" w:type="dxa"/>
            <w:tcBorders>
              <w:top w:val="nil"/>
              <w:left w:val="single" w:sz="4" w:space="0" w:color="auto"/>
              <w:bottom w:val="nil"/>
              <w:right w:val="single" w:sz="4" w:space="0" w:color="auto"/>
            </w:tcBorders>
            <w:shd w:val="clear" w:color="auto" w:fill="auto"/>
            <w:noWrap/>
            <w:vAlign w:val="bottom"/>
            <w:hideMark/>
          </w:tcPr>
          <w:p w14:paraId="3035A871"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21.915 </w:t>
            </w:r>
          </w:p>
        </w:tc>
      </w:tr>
      <w:tr w:rsidR="00C92CD8" w14:paraId="7434623E"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2E32FF83"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544" w:type="dxa"/>
            <w:tcBorders>
              <w:top w:val="nil"/>
              <w:left w:val="single" w:sz="4" w:space="0" w:color="auto"/>
              <w:bottom w:val="nil"/>
              <w:right w:val="single" w:sz="4" w:space="0" w:color="auto"/>
            </w:tcBorders>
            <w:shd w:val="clear" w:color="auto" w:fill="auto"/>
            <w:noWrap/>
            <w:vAlign w:val="bottom"/>
            <w:hideMark/>
          </w:tcPr>
          <w:p w14:paraId="758115F6"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5806A191"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18A9E9AC"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544" w:type="dxa"/>
            <w:tcBorders>
              <w:top w:val="nil"/>
              <w:left w:val="single" w:sz="4" w:space="0" w:color="auto"/>
              <w:bottom w:val="nil"/>
              <w:right w:val="single" w:sz="4" w:space="0" w:color="auto"/>
            </w:tcBorders>
            <w:shd w:val="clear" w:color="auto" w:fill="auto"/>
            <w:noWrap/>
            <w:vAlign w:val="bottom"/>
            <w:hideMark/>
          </w:tcPr>
          <w:p w14:paraId="49763CC8" w14:textId="2FD86C74" w:rsidR="00146FD5" w:rsidRPr="00CE2155" w:rsidRDefault="004A7A82" w:rsidP="00B97332">
            <w:pPr>
              <w:jc w:val="right"/>
              <w:rPr>
                <w:rFonts w:eastAsia="Times New Roman" w:cs="Arial"/>
                <w:color w:val="000000"/>
              </w:rPr>
            </w:pPr>
            <w:r w:rsidRPr="00CE2155">
              <w:rPr>
                <w:rFonts w:eastAsia="Times New Roman" w:cs="Arial"/>
                <w:color w:val="000000"/>
              </w:rPr>
              <w:t xml:space="preserve">                                     65.60</w:t>
            </w:r>
            <w:r w:rsidR="00730BFC">
              <w:rPr>
                <w:rFonts w:eastAsia="Times New Roman" w:cs="Arial"/>
                <w:color w:val="000000"/>
              </w:rPr>
              <w:t>4</w:t>
            </w:r>
            <w:r w:rsidRPr="00CE2155">
              <w:rPr>
                <w:rFonts w:eastAsia="Times New Roman" w:cs="Arial"/>
                <w:color w:val="000000"/>
              </w:rPr>
              <w:t xml:space="preserve"> </w:t>
            </w:r>
          </w:p>
        </w:tc>
      </w:tr>
      <w:tr w:rsidR="00C92CD8" w14:paraId="58076465"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11711A82"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544" w:type="dxa"/>
            <w:tcBorders>
              <w:top w:val="nil"/>
              <w:left w:val="single" w:sz="4" w:space="0" w:color="auto"/>
              <w:bottom w:val="nil"/>
              <w:right w:val="single" w:sz="4" w:space="0" w:color="auto"/>
            </w:tcBorders>
            <w:shd w:val="clear" w:color="auto" w:fill="auto"/>
            <w:noWrap/>
            <w:vAlign w:val="bottom"/>
            <w:hideMark/>
          </w:tcPr>
          <w:p w14:paraId="3B12B71B"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2.397 </w:t>
            </w:r>
          </w:p>
        </w:tc>
      </w:tr>
      <w:tr w:rsidR="00C92CD8" w14:paraId="678D78FB"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2EA34B83"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544" w:type="dxa"/>
            <w:tcBorders>
              <w:top w:val="nil"/>
              <w:left w:val="single" w:sz="4" w:space="0" w:color="auto"/>
              <w:bottom w:val="nil"/>
              <w:right w:val="single" w:sz="4" w:space="0" w:color="auto"/>
            </w:tcBorders>
            <w:shd w:val="clear" w:color="auto" w:fill="auto"/>
            <w:noWrap/>
            <w:vAlign w:val="bottom"/>
            <w:hideMark/>
          </w:tcPr>
          <w:p w14:paraId="4994ABBE" w14:textId="07B2BACD"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97.07</w:t>
            </w:r>
            <w:r w:rsidR="00730BFC">
              <w:rPr>
                <w:rFonts w:eastAsia="Times New Roman" w:cs="Arial"/>
                <w:b/>
                <w:bCs/>
                <w:color w:val="000000"/>
              </w:rPr>
              <w:t>1</w:t>
            </w:r>
            <w:r w:rsidRPr="00CE2155">
              <w:rPr>
                <w:rFonts w:eastAsia="Times New Roman" w:cs="Arial"/>
                <w:b/>
                <w:bCs/>
                <w:color w:val="000000"/>
              </w:rPr>
              <w:t xml:space="preserve"> </w:t>
            </w:r>
          </w:p>
        </w:tc>
      </w:tr>
      <w:tr w:rsidR="00C92CD8" w14:paraId="4B5DE02E"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396710AC"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nil"/>
              <w:left w:val="single" w:sz="4" w:space="0" w:color="auto"/>
              <w:bottom w:val="nil"/>
              <w:right w:val="single" w:sz="4" w:space="0" w:color="auto"/>
            </w:tcBorders>
            <w:shd w:val="clear" w:color="auto" w:fill="auto"/>
            <w:noWrap/>
            <w:vAlign w:val="bottom"/>
            <w:hideMark/>
          </w:tcPr>
          <w:p w14:paraId="41F76802"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25AB0594" w14:textId="77777777" w:rsidTr="00B97332">
        <w:trPr>
          <w:trHeight w:val="300"/>
        </w:trPr>
        <w:tc>
          <w:tcPr>
            <w:tcW w:w="5387" w:type="dxa"/>
            <w:tcBorders>
              <w:top w:val="single" w:sz="4" w:space="0" w:color="auto"/>
              <w:left w:val="single" w:sz="4" w:space="0" w:color="auto"/>
              <w:bottom w:val="single" w:sz="4" w:space="0" w:color="auto"/>
              <w:right w:val="nil"/>
            </w:tcBorders>
            <w:shd w:val="clear" w:color="auto" w:fill="auto"/>
            <w:noWrap/>
            <w:vAlign w:val="center"/>
            <w:hideMark/>
          </w:tcPr>
          <w:p w14:paraId="6B6E1B2D"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57EB6"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38.971 </w:t>
            </w:r>
          </w:p>
        </w:tc>
      </w:tr>
    </w:tbl>
    <w:p w14:paraId="2D01C32D" w14:textId="77777777" w:rsidR="00146FD5" w:rsidRPr="00CE2155" w:rsidRDefault="004A7A82" w:rsidP="00146FD5">
      <w:pPr>
        <w:rPr>
          <w:rFonts w:cs="Arial"/>
        </w:rPr>
      </w:pPr>
      <w:r w:rsidRPr="00CE2155">
        <w:rPr>
          <w:rFonts w:cs="Arial"/>
        </w:rPr>
        <w:br w:type="page"/>
      </w:r>
    </w:p>
    <w:tbl>
      <w:tblPr>
        <w:tblW w:w="8931" w:type="dxa"/>
        <w:tblLook w:val="04A0" w:firstRow="1" w:lastRow="0" w:firstColumn="1" w:lastColumn="0" w:noHBand="0" w:noVBand="1"/>
      </w:tblPr>
      <w:tblGrid>
        <w:gridCol w:w="5387"/>
        <w:gridCol w:w="3544"/>
      </w:tblGrid>
      <w:tr w:rsidR="00C92CD8" w14:paraId="1E2BE6DC" w14:textId="77777777" w:rsidTr="00B97332">
        <w:trPr>
          <w:trHeight w:val="300"/>
        </w:trPr>
        <w:tc>
          <w:tcPr>
            <w:tcW w:w="5387" w:type="dxa"/>
            <w:tcBorders>
              <w:top w:val="nil"/>
              <w:left w:val="nil"/>
              <w:bottom w:val="nil"/>
              <w:right w:val="nil"/>
            </w:tcBorders>
            <w:shd w:val="clear" w:color="auto" w:fill="auto"/>
            <w:noWrap/>
            <w:vAlign w:val="bottom"/>
            <w:hideMark/>
          </w:tcPr>
          <w:p w14:paraId="37A968F8" w14:textId="77777777" w:rsidR="00146FD5" w:rsidRDefault="004A7A82" w:rsidP="00B97332">
            <w:pPr>
              <w:rPr>
                <w:rFonts w:eastAsia="Times New Roman" w:cs="Arial"/>
                <w:b/>
                <w:bCs/>
                <w:color w:val="000000"/>
                <w:u w:val="single"/>
              </w:rPr>
            </w:pPr>
            <w:r>
              <w:rPr>
                <w:rFonts w:eastAsia="Times New Roman" w:cs="Arial"/>
                <w:b/>
                <w:bCs/>
                <w:color w:val="000000"/>
                <w:u w:val="single"/>
              </w:rPr>
              <w:lastRenderedPageBreak/>
              <w:t xml:space="preserve">4.4 </w:t>
            </w:r>
            <w:r w:rsidRPr="00CE2155">
              <w:rPr>
                <w:rFonts w:eastAsia="Times New Roman" w:cs="Arial"/>
                <w:b/>
                <w:bCs/>
                <w:color w:val="000000"/>
                <w:u w:val="single"/>
              </w:rPr>
              <w:t>Director of Law and Governance</w:t>
            </w:r>
          </w:p>
          <w:p w14:paraId="34C69E1B" w14:textId="77777777" w:rsidR="000A5B26" w:rsidRDefault="000A5B26" w:rsidP="00B97332">
            <w:pPr>
              <w:rPr>
                <w:rFonts w:eastAsia="Times New Roman" w:cs="Arial"/>
                <w:b/>
                <w:bCs/>
                <w:color w:val="000000"/>
                <w:u w:val="single"/>
              </w:rPr>
            </w:pPr>
          </w:p>
          <w:p w14:paraId="792CC0D7" w14:textId="77777777" w:rsidR="00146FD5" w:rsidRPr="00CE2155" w:rsidRDefault="00146FD5" w:rsidP="00B97332">
            <w:pPr>
              <w:rPr>
                <w:rFonts w:eastAsia="Times New Roman" w:cs="Arial"/>
                <w:b/>
                <w:bCs/>
                <w:color w:val="000000"/>
                <w:u w:val="single"/>
              </w:rPr>
            </w:pPr>
          </w:p>
        </w:tc>
        <w:tc>
          <w:tcPr>
            <w:tcW w:w="3544" w:type="dxa"/>
            <w:tcBorders>
              <w:top w:val="nil"/>
              <w:left w:val="nil"/>
              <w:bottom w:val="nil"/>
              <w:right w:val="nil"/>
            </w:tcBorders>
            <w:shd w:val="clear" w:color="auto" w:fill="auto"/>
            <w:noWrap/>
            <w:vAlign w:val="bottom"/>
            <w:hideMark/>
          </w:tcPr>
          <w:p w14:paraId="44EEF4A3" w14:textId="77777777" w:rsidR="00146FD5" w:rsidRPr="00CE2155" w:rsidRDefault="00146FD5" w:rsidP="00B97332">
            <w:pPr>
              <w:rPr>
                <w:rFonts w:eastAsia="Times New Roman" w:cs="Arial"/>
                <w:b/>
                <w:bCs/>
                <w:color w:val="000000"/>
                <w:u w:val="single"/>
              </w:rPr>
            </w:pPr>
          </w:p>
        </w:tc>
      </w:tr>
      <w:tr w:rsidR="00C92CD8" w14:paraId="68843784" w14:textId="77777777" w:rsidTr="00B97332">
        <w:trPr>
          <w:trHeight w:val="600"/>
        </w:trPr>
        <w:tc>
          <w:tcPr>
            <w:tcW w:w="5387" w:type="dxa"/>
            <w:tcBorders>
              <w:top w:val="single" w:sz="4" w:space="0" w:color="auto"/>
              <w:left w:val="single" w:sz="4" w:space="0" w:color="auto"/>
              <w:bottom w:val="single" w:sz="4" w:space="0" w:color="auto"/>
              <w:right w:val="nil"/>
            </w:tcBorders>
            <w:shd w:val="clear" w:color="auto" w:fill="auto"/>
            <w:noWrap/>
            <w:vAlign w:val="bottom"/>
            <w:hideMark/>
          </w:tcPr>
          <w:p w14:paraId="15445101"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446FC"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26D453F7" w14:textId="77777777" w:rsidTr="00B97332">
        <w:trPr>
          <w:trHeight w:val="300"/>
        </w:trPr>
        <w:tc>
          <w:tcPr>
            <w:tcW w:w="5387" w:type="dxa"/>
            <w:tcBorders>
              <w:top w:val="nil"/>
              <w:left w:val="single" w:sz="4" w:space="0" w:color="auto"/>
              <w:bottom w:val="nil"/>
              <w:right w:val="nil"/>
            </w:tcBorders>
            <w:shd w:val="clear" w:color="auto" w:fill="auto"/>
            <w:noWrap/>
            <w:vAlign w:val="bottom"/>
            <w:hideMark/>
          </w:tcPr>
          <w:p w14:paraId="3352BA77"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nil"/>
              <w:left w:val="single" w:sz="4" w:space="0" w:color="auto"/>
              <w:bottom w:val="nil"/>
              <w:right w:val="single" w:sz="4" w:space="0" w:color="auto"/>
            </w:tcBorders>
            <w:shd w:val="clear" w:color="auto" w:fill="auto"/>
            <w:noWrap/>
            <w:vAlign w:val="center"/>
            <w:hideMark/>
          </w:tcPr>
          <w:p w14:paraId="07C83635"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2725AFE4"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3AA5F3DC"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544" w:type="dxa"/>
            <w:tcBorders>
              <w:top w:val="nil"/>
              <w:left w:val="single" w:sz="4" w:space="0" w:color="auto"/>
              <w:bottom w:val="nil"/>
              <w:right w:val="single" w:sz="4" w:space="0" w:color="auto"/>
            </w:tcBorders>
            <w:shd w:val="clear" w:color="auto" w:fill="auto"/>
            <w:noWrap/>
            <w:vAlign w:val="bottom"/>
            <w:hideMark/>
          </w:tcPr>
          <w:p w14:paraId="0B89238E"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30912009"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6BD9853C"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544" w:type="dxa"/>
            <w:tcBorders>
              <w:top w:val="nil"/>
              <w:left w:val="single" w:sz="4" w:space="0" w:color="auto"/>
              <w:bottom w:val="nil"/>
              <w:right w:val="single" w:sz="4" w:space="0" w:color="auto"/>
            </w:tcBorders>
            <w:shd w:val="clear" w:color="auto" w:fill="auto"/>
            <w:noWrap/>
            <w:vAlign w:val="bottom"/>
            <w:hideMark/>
          </w:tcPr>
          <w:p w14:paraId="12D92C9C" w14:textId="2C685A66" w:rsidR="00146FD5" w:rsidRPr="00CE2155" w:rsidRDefault="004A7A82" w:rsidP="00B97332">
            <w:pPr>
              <w:jc w:val="right"/>
              <w:rPr>
                <w:rFonts w:eastAsia="Times New Roman" w:cs="Arial"/>
                <w:color w:val="000000"/>
              </w:rPr>
            </w:pPr>
            <w:r w:rsidRPr="00CE2155">
              <w:rPr>
                <w:rFonts w:eastAsia="Times New Roman" w:cs="Arial"/>
                <w:color w:val="000000"/>
              </w:rPr>
              <w:t xml:space="preserve">                                     12.88</w:t>
            </w:r>
            <w:r w:rsidR="00730BFC">
              <w:rPr>
                <w:rFonts w:eastAsia="Times New Roman" w:cs="Arial"/>
                <w:color w:val="000000"/>
              </w:rPr>
              <w:t>3</w:t>
            </w:r>
            <w:r w:rsidRPr="00CE2155">
              <w:rPr>
                <w:rFonts w:eastAsia="Times New Roman" w:cs="Arial"/>
                <w:color w:val="000000"/>
              </w:rPr>
              <w:t xml:space="preserve"> </w:t>
            </w:r>
          </w:p>
        </w:tc>
      </w:tr>
      <w:tr w:rsidR="00C92CD8" w14:paraId="7024A754"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4A86B80F"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544" w:type="dxa"/>
            <w:tcBorders>
              <w:top w:val="nil"/>
              <w:left w:val="single" w:sz="4" w:space="0" w:color="auto"/>
              <w:bottom w:val="nil"/>
              <w:right w:val="single" w:sz="4" w:space="0" w:color="auto"/>
            </w:tcBorders>
            <w:shd w:val="clear" w:color="auto" w:fill="auto"/>
            <w:noWrap/>
            <w:vAlign w:val="bottom"/>
            <w:hideMark/>
          </w:tcPr>
          <w:p w14:paraId="2D4FF98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600C7C92"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493421F3"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544" w:type="dxa"/>
            <w:tcBorders>
              <w:top w:val="nil"/>
              <w:left w:val="single" w:sz="4" w:space="0" w:color="auto"/>
              <w:bottom w:val="nil"/>
              <w:right w:val="single" w:sz="4" w:space="0" w:color="auto"/>
            </w:tcBorders>
            <w:shd w:val="clear" w:color="auto" w:fill="auto"/>
            <w:noWrap/>
            <w:vAlign w:val="bottom"/>
            <w:hideMark/>
          </w:tcPr>
          <w:p w14:paraId="7007386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0.339 </w:t>
            </w:r>
          </w:p>
        </w:tc>
      </w:tr>
      <w:tr w:rsidR="00C92CD8" w14:paraId="5FDEC72B"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5A13D843"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544" w:type="dxa"/>
            <w:tcBorders>
              <w:top w:val="nil"/>
              <w:left w:val="single" w:sz="4" w:space="0" w:color="auto"/>
              <w:bottom w:val="nil"/>
              <w:right w:val="single" w:sz="4" w:space="0" w:color="auto"/>
            </w:tcBorders>
            <w:shd w:val="clear" w:color="auto" w:fill="auto"/>
            <w:noWrap/>
            <w:vAlign w:val="bottom"/>
            <w:hideMark/>
          </w:tcPr>
          <w:p w14:paraId="465C596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11.340 </w:t>
            </w:r>
          </w:p>
        </w:tc>
      </w:tr>
      <w:tr w:rsidR="00C92CD8" w14:paraId="3252F19A"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008B950A"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544" w:type="dxa"/>
            <w:tcBorders>
              <w:top w:val="nil"/>
              <w:left w:val="single" w:sz="4" w:space="0" w:color="auto"/>
              <w:bottom w:val="nil"/>
              <w:right w:val="single" w:sz="4" w:space="0" w:color="auto"/>
            </w:tcBorders>
            <w:shd w:val="clear" w:color="auto" w:fill="auto"/>
            <w:noWrap/>
            <w:vAlign w:val="bottom"/>
            <w:hideMark/>
          </w:tcPr>
          <w:p w14:paraId="05E16100"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1.575 </w:t>
            </w:r>
          </w:p>
        </w:tc>
      </w:tr>
      <w:tr w:rsidR="00C92CD8" w14:paraId="54057EA5"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330B738D"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544" w:type="dxa"/>
            <w:tcBorders>
              <w:top w:val="nil"/>
              <w:left w:val="single" w:sz="4" w:space="0" w:color="auto"/>
              <w:bottom w:val="nil"/>
              <w:right w:val="single" w:sz="4" w:space="0" w:color="auto"/>
            </w:tcBorders>
            <w:shd w:val="clear" w:color="auto" w:fill="auto"/>
            <w:noWrap/>
            <w:vAlign w:val="bottom"/>
            <w:hideMark/>
          </w:tcPr>
          <w:p w14:paraId="595CB12A"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1198AD13"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71D87520"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544" w:type="dxa"/>
            <w:tcBorders>
              <w:top w:val="nil"/>
              <w:left w:val="single" w:sz="4" w:space="0" w:color="auto"/>
              <w:bottom w:val="nil"/>
              <w:right w:val="single" w:sz="4" w:space="0" w:color="auto"/>
            </w:tcBorders>
            <w:shd w:val="clear" w:color="auto" w:fill="auto"/>
            <w:noWrap/>
            <w:vAlign w:val="bottom"/>
            <w:hideMark/>
          </w:tcPr>
          <w:p w14:paraId="18125020"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2F9FA837"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29347663"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544" w:type="dxa"/>
            <w:tcBorders>
              <w:top w:val="nil"/>
              <w:left w:val="single" w:sz="4" w:space="0" w:color="auto"/>
              <w:bottom w:val="nil"/>
              <w:right w:val="single" w:sz="4" w:space="0" w:color="auto"/>
            </w:tcBorders>
            <w:shd w:val="clear" w:color="auto" w:fill="auto"/>
            <w:noWrap/>
            <w:vAlign w:val="bottom"/>
            <w:hideMark/>
          </w:tcPr>
          <w:p w14:paraId="5CAE8E8D"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0.425 </w:t>
            </w:r>
          </w:p>
        </w:tc>
      </w:tr>
      <w:tr w:rsidR="00C92CD8" w14:paraId="38EC5F91"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1B051C86"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544" w:type="dxa"/>
            <w:tcBorders>
              <w:top w:val="nil"/>
              <w:left w:val="single" w:sz="4" w:space="0" w:color="auto"/>
              <w:bottom w:val="nil"/>
              <w:right w:val="single" w:sz="4" w:space="0" w:color="auto"/>
            </w:tcBorders>
            <w:shd w:val="clear" w:color="auto" w:fill="auto"/>
            <w:noWrap/>
            <w:vAlign w:val="bottom"/>
            <w:hideMark/>
          </w:tcPr>
          <w:p w14:paraId="2E2412A7" w14:textId="5A1ADD96"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26.56</w:t>
            </w:r>
            <w:r w:rsidR="00730BFC">
              <w:rPr>
                <w:rFonts w:eastAsia="Times New Roman" w:cs="Arial"/>
                <w:b/>
                <w:bCs/>
                <w:color w:val="000000"/>
              </w:rPr>
              <w:t>2</w:t>
            </w:r>
            <w:r w:rsidRPr="00CE2155">
              <w:rPr>
                <w:rFonts w:eastAsia="Times New Roman" w:cs="Arial"/>
                <w:b/>
                <w:bCs/>
                <w:color w:val="000000"/>
              </w:rPr>
              <w:t xml:space="preserve"> </w:t>
            </w:r>
          </w:p>
        </w:tc>
      </w:tr>
      <w:tr w:rsidR="00C92CD8" w14:paraId="25A1228A"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5F1B21C7"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nil"/>
              <w:left w:val="single" w:sz="4" w:space="0" w:color="auto"/>
              <w:bottom w:val="nil"/>
              <w:right w:val="single" w:sz="4" w:space="0" w:color="auto"/>
            </w:tcBorders>
            <w:shd w:val="clear" w:color="auto" w:fill="auto"/>
            <w:noWrap/>
            <w:vAlign w:val="bottom"/>
            <w:hideMark/>
          </w:tcPr>
          <w:p w14:paraId="2EEBC2E9"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0D277865"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31B6BCF5"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544" w:type="dxa"/>
            <w:tcBorders>
              <w:top w:val="nil"/>
              <w:left w:val="single" w:sz="4" w:space="0" w:color="auto"/>
              <w:bottom w:val="nil"/>
              <w:right w:val="single" w:sz="4" w:space="0" w:color="auto"/>
            </w:tcBorders>
            <w:shd w:val="clear" w:color="auto" w:fill="auto"/>
            <w:noWrap/>
            <w:vAlign w:val="bottom"/>
            <w:hideMark/>
          </w:tcPr>
          <w:p w14:paraId="4A7BDF04"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4C86E8BE"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3E42694C"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544" w:type="dxa"/>
            <w:tcBorders>
              <w:top w:val="nil"/>
              <w:left w:val="single" w:sz="4" w:space="0" w:color="auto"/>
              <w:bottom w:val="nil"/>
              <w:right w:val="single" w:sz="4" w:space="0" w:color="auto"/>
            </w:tcBorders>
            <w:shd w:val="clear" w:color="auto" w:fill="auto"/>
            <w:noWrap/>
            <w:vAlign w:val="bottom"/>
            <w:hideMark/>
          </w:tcPr>
          <w:p w14:paraId="14CE61B4" w14:textId="4CC00CCC" w:rsidR="00146FD5" w:rsidRPr="00CE2155" w:rsidRDefault="004A7A82" w:rsidP="00B97332">
            <w:pPr>
              <w:jc w:val="right"/>
              <w:rPr>
                <w:rFonts w:eastAsia="Times New Roman" w:cs="Arial"/>
                <w:color w:val="000000"/>
              </w:rPr>
            </w:pPr>
            <w:r w:rsidRPr="00CE2155">
              <w:rPr>
                <w:rFonts w:eastAsia="Times New Roman" w:cs="Arial"/>
                <w:color w:val="000000"/>
              </w:rPr>
              <w:t xml:space="preserve">                                       3.10</w:t>
            </w:r>
            <w:r w:rsidR="00730BFC">
              <w:rPr>
                <w:rFonts w:eastAsia="Times New Roman" w:cs="Arial"/>
                <w:color w:val="000000"/>
              </w:rPr>
              <w:t>7</w:t>
            </w:r>
            <w:r w:rsidRPr="00CE2155">
              <w:rPr>
                <w:rFonts w:eastAsia="Times New Roman" w:cs="Arial"/>
                <w:color w:val="000000"/>
              </w:rPr>
              <w:t xml:space="preserve"> </w:t>
            </w:r>
          </w:p>
        </w:tc>
      </w:tr>
      <w:tr w:rsidR="00C92CD8" w14:paraId="34068A0C"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6E9B9D42"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544" w:type="dxa"/>
            <w:tcBorders>
              <w:top w:val="nil"/>
              <w:left w:val="single" w:sz="4" w:space="0" w:color="auto"/>
              <w:bottom w:val="nil"/>
              <w:right w:val="single" w:sz="4" w:space="0" w:color="auto"/>
            </w:tcBorders>
            <w:shd w:val="clear" w:color="auto" w:fill="auto"/>
            <w:noWrap/>
            <w:vAlign w:val="bottom"/>
            <w:hideMark/>
          </w:tcPr>
          <w:p w14:paraId="62ECDDD1"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7BBB9D16"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79EAB025"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544" w:type="dxa"/>
            <w:tcBorders>
              <w:top w:val="nil"/>
              <w:left w:val="single" w:sz="4" w:space="0" w:color="auto"/>
              <w:bottom w:val="nil"/>
              <w:right w:val="single" w:sz="4" w:space="0" w:color="auto"/>
            </w:tcBorders>
            <w:shd w:val="clear" w:color="auto" w:fill="auto"/>
            <w:noWrap/>
            <w:vAlign w:val="bottom"/>
            <w:hideMark/>
          </w:tcPr>
          <w:p w14:paraId="3B7467B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67792B74"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67864B60"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544" w:type="dxa"/>
            <w:tcBorders>
              <w:top w:val="nil"/>
              <w:left w:val="single" w:sz="4" w:space="0" w:color="auto"/>
              <w:bottom w:val="nil"/>
              <w:right w:val="single" w:sz="4" w:space="0" w:color="auto"/>
            </w:tcBorders>
            <w:shd w:val="clear" w:color="auto" w:fill="auto"/>
            <w:noWrap/>
            <w:vAlign w:val="bottom"/>
            <w:hideMark/>
          </w:tcPr>
          <w:p w14:paraId="2606A1C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2.253 </w:t>
            </w:r>
          </w:p>
        </w:tc>
      </w:tr>
      <w:tr w:rsidR="00C92CD8" w14:paraId="68F14F8C"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2E84EB04"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544" w:type="dxa"/>
            <w:tcBorders>
              <w:top w:val="nil"/>
              <w:left w:val="single" w:sz="4" w:space="0" w:color="auto"/>
              <w:bottom w:val="nil"/>
              <w:right w:val="single" w:sz="4" w:space="0" w:color="auto"/>
            </w:tcBorders>
            <w:shd w:val="clear" w:color="auto" w:fill="auto"/>
            <w:noWrap/>
            <w:vAlign w:val="bottom"/>
            <w:hideMark/>
          </w:tcPr>
          <w:p w14:paraId="3C38C52E"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0.140 </w:t>
            </w:r>
          </w:p>
        </w:tc>
      </w:tr>
      <w:tr w:rsidR="00C92CD8" w14:paraId="1640F15B"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0C85A5E6"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544" w:type="dxa"/>
            <w:tcBorders>
              <w:top w:val="nil"/>
              <w:left w:val="single" w:sz="4" w:space="0" w:color="auto"/>
              <w:bottom w:val="nil"/>
              <w:right w:val="single" w:sz="4" w:space="0" w:color="auto"/>
            </w:tcBorders>
            <w:shd w:val="clear" w:color="auto" w:fill="auto"/>
            <w:noWrap/>
            <w:vAlign w:val="bottom"/>
            <w:hideMark/>
          </w:tcPr>
          <w:p w14:paraId="7E3A1B94" w14:textId="79607411"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5.</w:t>
            </w:r>
            <w:r w:rsidR="00730BFC">
              <w:rPr>
                <w:rFonts w:eastAsia="Times New Roman" w:cs="Arial"/>
                <w:b/>
                <w:bCs/>
                <w:color w:val="000000"/>
              </w:rPr>
              <w:t>500</w:t>
            </w:r>
            <w:r w:rsidRPr="00CE2155">
              <w:rPr>
                <w:rFonts w:eastAsia="Times New Roman" w:cs="Arial"/>
                <w:b/>
                <w:bCs/>
                <w:color w:val="000000"/>
              </w:rPr>
              <w:t xml:space="preserve"> </w:t>
            </w:r>
          </w:p>
        </w:tc>
      </w:tr>
      <w:tr w:rsidR="00C92CD8" w14:paraId="2C475D04"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5477FBCF"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nil"/>
              <w:left w:val="single" w:sz="4" w:space="0" w:color="auto"/>
              <w:bottom w:val="nil"/>
              <w:right w:val="single" w:sz="4" w:space="0" w:color="auto"/>
            </w:tcBorders>
            <w:shd w:val="clear" w:color="auto" w:fill="auto"/>
            <w:noWrap/>
            <w:vAlign w:val="bottom"/>
            <w:hideMark/>
          </w:tcPr>
          <w:p w14:paraId="1A04268B"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2CFCE486" w14:textId="77777777" w:rsidTr="00B97332">
        <w:trPr>
          <w:trHeight w:val="300"/>
        </w:trPr>
        <w:tc>
          <w:tcPr>
            <w:tcW w:w="5387" w:type="dxa"/>
            <w:tcBorders>
              <w:top w:val="single" w:sz="4" w:space="0" w:color="auto"/>
              <w:left w:val="single" w:sz="4" w:space="0" w:color="auto"/>
              <w:bottom w:val="single" w:sz="4" w:space="0" w:color="auto"/>
              <w:right w:val="nil"/>
            </w:tcBorders>
            <w:shd w:val="clear" w:color="auto" w:fill="auto"/>
            <w:noWrap/>
            <w:vAlign w:val="center"/>
            <w:hideMark/>
          </w:tcPr>
          <w:p w14:paraId="48C836F9"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1C41A" w14:textId="699E7C8B"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21.06</w:t>
            </w:r>
            <w:r w:rsidR="00730BFC">
              <w:rPr>
                <w:rFonts w:eastAsia="Times New Roman" w:cs="Arial"/>
                <w:b/>
                <w:bCs/>
                <w:color w:val="000000"/>
              </w:rPr>
              <w:t>2</w:t>
            </w:r>
            <w:r w:rsidRPr="00CE2155">
              <w:rPr>
                <w:rFonts w:eastAsia="Times New Roman" w:cs="Arial"/>
                <w:b/>
                <w:bCs/>
                <w:color w:val="000000"/>
              </w:rPr>
              <w:t xml:space="preserve"> </w:t>
            </w:r>
          </w:p>
        </w:tc>
      </w:tr>
    </w:tbl>
    <w:p w14:paraId="7CD7C2AA" w14:textId="77777777" w:rsidR="00146FD5" w:rsidRPr="00CE2155" w:rsidRDefault="004A7A82" w:rsidP="00146FD5">
      <w:pPr>
        <w:rPr>
          <w:rFonts w:cs="Arial"/>
        </w:rPr>
      </w:pPr>
      <w:r w:rsidRPr="00CE2155">
        <w:rPr>
          <w:rFonts w:cs="Arial"/>
        </w:rPr>
        <w:br w:type="page"/>
      </w:r>
    </w:p>
    <w:tbl>
      <w:tblPr>
        <w:tblW w:w="8931" w:type="dxa"/>
        <w:tblLook w:val="04A0" w:firstRow="1" w:lastRow="0" w:firstColumn="1" w:lastColumn="0" w:noHBand="0" w:noVBand="1"/>
      </w:tblPr>
      <w:tblGrid>
        <w:gridCol w:w="5387"/>
        <w:gridCol w:w="3544"/>
      </w:tblGrid>
      <w:tr w:rsidR="00C92CD8" w14:paraId="74222EE3" w14:textId="77777777" w:rsidTr="00B97332">
        <w:trPr>
          <w:trHeight w:val="300"/>
        </w:trPr>
        <w:tc>
          <w:tcPr>
            <w:tcW w:w="5387" w:type="dxa"/>
            <w:tcBorders>
              <w:top w:val="nil"/>
              <w:left w:val="nil"/>
              <w:bottom w:val="nil"/>
              <w:right w:val="nil"/>
            </w:tcBorders>
            <w:shd w:val="clear" w:color="auto" w:fill="auto"/>
            <w:noWrap/>
            <w:vAlign w:val="bottom"/>
            <w:hideMark/>
          </w:tcPr>
          <w:p w14:paraId="7C53F9BA" w14:textId="77777777" w:rsidR="00146FD5" w:rsidRDefault="004A7A82" w:rsidP="00B97332">
            <w:pPr>
              <w:rPr>
                <w:rFonts w:eastAsia="Times New Roman" w:cs="Arial"/>
                <w:b/>
                <w:bCs/>
                <w:color w:val="000000"/>
                <w:u w:val="single"/>
              </w:rPr>
            </w:pPr>
            <w:r>
              <w:rPr>
                <w:rFonts w:eastAsia="Times New Roman" w:cs="Arial"/>
                <w:b/>
                <w:bCs/>
                <w:color w:val="000000"/>
                <w:u w:val="single"/>
              </w:rPr>
              <w:lastRenderedPageBreak/>
              <w:t xml:space="preserve">4.5 </w:t>
            </w:r>
            <w:r w:rsidRPr="00CE2155">
              <w:rPr>
                <w:rFonts w:eastAsia="Times New Roman" w:cs="Arial"/>
                <w:b/>
                <w:bCs/>
                <w:color w:val="000000"/>
                <w:u w:val="single"/>
              </w:rPr>
              <w:t>Director of Digital Service</w:t>
            </w:r>
          </w:p>
          <w:p w14:paraId="67FE640B" w14:textId="77777777" w:rsidR="000A5B26" w:rsidRDefault="000A5B26" w:rsidP="00B97332">
            <w:pPr>
              <w:rPr>
                <w:rFonts w:eastAsia="Times New Roman" w:cs="Arial"/>
                <w:b/>
                <w:bCs/>
                <w:color w:val="000000"/>
                <w:u w:val="single"/>
              </w:rPr>
            </w:pPr>
          </w:p>
          <w:p w14:paraId="3CA04C15" w14:textId="77777777" w:rsidR="00146FD5" w:rsidRPr="00CE2155" w:rsidRDefault="00146FD5" w:rsidP="00B97332">
            <w:pPr>
              <w:rPr>
                <w:rFonts w:eastAsia="Times New Roman" w:cs="Arial"/>
                <w:b/>
                <w:bCs/>
                <w:color w:val="000000"/>
                <w:u w:val="single"/>
              </w:rPr>
            </w:pPr>
          </w:p>
        </w:tc>
        <w:tc>
          <w:tcPr>
            <w:tcW w:w="3544" w:type="dxa"/>
            <w:tcBorders>
              <w:top w:val="nil"/>
              <w:left w:val="nil"/>
              <w:bottom w:val="nil"/>
              <w:right w:val="nil"/>
            </w:tcBorders>
            <w:shd w:val="clear" w:color="auto" w:fill="auto"/>
            <w:noWrap/>
            <w:vAlign w:val="bottom"/>
            <w:hideMark/>
          </w:tcPr>
          <w:p w14:paraId="6C9390AD" w14:textId="77777777" w:rsidR="00146FD5" w:rsidRPr="00CE2155" w:rsidRDefault="00146FD5" w:rsidP="00B97332">
            <w:pPr>
              <w:rPr>
                <w:rFonts w:eastAsia="Times New Roman" w:cs="Arial"/>
                <w:b/>
                <w:bCs/>
                <w:color w:val="000000"/>
                <w:u w:val="single"/>
              </w:rPr>
            </w:pPr>
          </w:p>
        </w:tc>
      </w:tr>
      <w:tr w:rsidR="00C92CD8" w14:paraId="357A122F" w14:textId="77777777" w:rsidTr="00B97332">
        <w:trPr>
          <w:trHeight w:val="600"/>
        </w:trPr>
        <w:tc>
          <w:tcPr>
            <w:tcW w:w="5387" w:type="dxa"/>
            <w:tcBorders>
              <w:top w:val="single" w:sz="4" w:space="0" w:color="auto"/>
              <w:left w:val="single" w:sz="4" w:space="0" w:color="auto"/>
              <w:bottom w:val="single" w:sz="4" w:space="0" w:color="auto"/>
              <w:right w:val="nil"/>
            </w:tcBorders>
            <w:shd w:val="clear" w:color="auto" w:fill="auto"/>
            <w:noWrap/>
            <w:vAlign w:val="bottom"/>
            <w:hideMark/>
          </w:tcPr>
          <w:p w14:paraId="5E6DA5FC"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5A790"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21A20E82" w14:textId="77777777" w:rsidTr="00B97332">
        <w:trPr>
          <w:trHeight w:val="300"/>
        </w:trPr>
        <w:tc>
          <w:tcPr>
            <w:tcW w:w="5387" w:type="dxa"/>
            <w:tcBorders>
              <w:top w:val="nil"/>
              <w:left w:val="single" w:sz="4" w:space="0" w:color="auto"/>
              <w:bottom w:val="nil"/>
              <w:right w:val="nil"/>
            </w:tcBorders>
            <w:shd w:val="clear" w:color="auto" w:fill="auto"/>
            <w:noWrap/>
            <w:vAlign w:val="bottom"/>
            <w:hideMark/>
          </w:tcPr>
          <w:p w14:paraId="27186ADE"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nil"/>
              <w:left w:val="single" w:sz="4" w:space="0" w:color="auto"/>
              <w:bottom w:val="nil"/>
              <w:right w:val="single" w:sz="4" w:space="0" w:color="auto"/>
            </w:tcBorders>
            <w:shd w:val="clear" w:color="auto" w:fill="auto"/>
            <w:noWrap/>
            <w:vAlign w:val="center"/>
            <w:hideMark/>
          </w:tcPr>
          <w:p w14:paraId="6EC89FA9"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762EC894"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61134B4B"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544" w:type="dxa"/>
            <w:tcBorders>
              <w:top w:val="nil"/>
              <w:left w:val="single" w:sz="4" w:space="0" w:color="auto"/>
              <w:bottom w:val="nil"/>
              <w:right w:val="single" w:sz="4" w:space="0" w:color="auto"/>
            </w:tcBorders>
            <w:shd w:val="clear" w:color="auto" w:fill="auto"/>
            <w:noWrap/>
            <w:vAlign w:val="bottom"/>
            <w:hideMark/>
          </w:tcPr>
          <w:p w14:paraId="3C3C73AF"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2C25BF7D"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7BD1C4F5"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544" w:type="dxa"/>
            <w:tcBorders>
              <w:top w:val="nil"/>
              <w:left w:val="single" w:sz="4" w:space="0" w:color="auto"/>
              <w:bottom w:val="nil"/>
              <w:right w:val="single" w:sz="4" w:space="0" w:color="auto"/>
            </w:tcBorders>
            <w:shd w:val="clear" w:color="auto" w:fill="auto"/>
            <w:noWrap/>
            <w:vAlign w:val="bottom"/>
            <w:hideMark/>
          </w:tcPr>
          <w:p w14:paraId="397DDA20"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22.231 </w:t>
            </w:r>
          </w:p>
        </w:tc>
      </w:tr>
      <w:tr w:rsidR="00C92CD8" w14:paraId="4EF0280A"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3F2FEB49"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544" w:type="dxa"/>
            <w:tcBorders>
              <w:top w:val="nil"/>
              <w:left w:val="single" w:sz="4" w:space="0" w:color="auto"/>
              <w:bottom w:val="nil"/>
              <w:right w:val="single" w:sz="4" w:space="0" w:color="auto"/>
            </w:tcBorders>
            <w:shd w:val="clear" w:color="auto" w:fill="auto"/>
            <w:noWrap/>
            <w:vAlign w:val="bottom"/>
            <w:hideMark/>
          </w:tcPr>
          <w:p w14:paraId="2C62374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0.001 </w:t>
            </w:r>
          </w:p>
        </w:tc>
      </w:tr>
      <w:tr w:rsidR="00C92CD8" w14:paraId="25789198"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6E3CE1C5"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544" w:type="dxa"/>
            <w:tcBorders>
              <w:top w:val="nil"/>
              <w:left w:val="single" w:sz="4" w:space="0" w:color="auto"/>
              <w:bottom w:val="nil"/>
              <w:right w:val="single" w:sz="4" w:space="0" w:color="auto"/>
            </w:tcBorders>
            <w:shd w:val="clear" w:color="auto" w:fill="auto"/>
            <w:noWrap/>
            <w:vAlign w:val="bottom"/>
            <w:hideMark/>
          </w:tcPr>
          <w:p w14:paraId="30AE301D"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0.050 </w:t>
            </w:r>
          </w:p>
        </w:tc>
      </w:tr>
      <w:tr w:rsidR="00C92CD8" w14:paraId="42BD3A0E"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1D762B85"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544" w:type="dxa"/>
            <w:tcBorders>
              <w:top w:val="nil"/>
              <w:left w:val="single" w:sz="4" w:space="0" w:color="auto"/>
              <w:bottom w:val="nil"/>
              <w:right w:val="single" w:sz="4" w:space="0" w:color="auto"/>
            </w:tcBorders>
            <w:shd w:val="clear" w:color="auto" w:fill="auto"/>
            <w:noWrap/>
            <w:vAlign w:val="bottom"/>
            <w:hideMark/>
          </w:tcPr>
          <w:p w14:paraId="597042BD"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30.651 </w:t>
            </w:r>
          </w:p>
        </w:tc>
      </w:tr>
      <w:tr w:rsidR="00C92CD8" w14:paraId="0240C12D"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70690C6A"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544" w:type="dxa"/>
            <w:tcBorders>
              <w:top w:val="nil"/>
              <w:left w:val="single" w:sz="4" w:space="0" w:color="auto"/>
              <w:bottom w:val="nil"/>
              <w:right w:val="single" w:sz="4" w:space="0" w:color="auto"/>
            </w:tcBorders>
            <w:shd w:val="clear" w:color="auto" w:fill="auto"/>
            <w:noWrap/>
            <w:vAlign w:val="bottom"/>
            <w:hideMark/>
          </w:tcPr>
          <w:p w14:paraId="090E3CD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62D46A75"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093F9040"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544" w:type="dxa"/>
            <w:tcBorders>
              <w:top w:val="nil"/>
              <w:left w:val="single" w:sz="4" w:space="0" w:color="auto"/>
              <w:bottom w:val="nil"/>
              <w:right w:val="single" w:sz="4" w:space="0" w:color="auto"/>
            </w:tcBorders>
            <w:shd w:val="clear" w:color="auto" w:fill="auto"/>
            <w:noWrap/>
            <w:vAlign w:val="bottom"/>
            <w:hideMark/>
          </w:tcPr>
          <w:p w14:paraId="668DA3DE"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1AD75616"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0A04EDDD"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544" w:type="dxa"/>
            <w:tcBorders>
              <w:top w:val="nil"/>
              <w:left w:val="single" w:sz="4" w:space="0" w:color="auto"/>
              <w:bottom w:val="nil"/>
              <w:right w:val="single" w:sz="4" w:space="0" w:color="auto"/>
            </w:tcBorders>
            <w:shd w:val="clear" w:color="auto" w:fill="auto"/>
            <w:noWrap/>
            <w:vAlign w:val="bottom"/>
            <w:hideMark/>
          </w:tcPr>
          <w:p w14:paraId="7A25E53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321F2B98"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520E3B12"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544" w:type="dxa"/>
            <w:tcBorders>
              <w:top w:val="nil"/>
              <w:left w:val="single" w:sz="4" w:space="0" w:color="auto"/>
              <w:bottom w:val="nil"/>
              <w:right w:val="single" w:sz="4" w:space="0" w:color="auto"/>
            </w:tcBorders>
            <w:shd w:val="clear" w:color="auto" w:fill="auto"/>
            <w:noWrap/>
            <w:vAlign w:val="bottom"/>
            <w:hideMark/>
          </w:tcPr>
          <w:p w14:paraId="06FCFA6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7C76A02A"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70D82874"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544" w:type="dxa"/>
            <w:tcBorders>
              <w:top w:val="nil"/>
              <w:left w:val="single" w:sz="4" w:space="0" w:color="auto"/>
              <w:bottom w:val="nil"/>
              <w:right w:val="single" w:sz="4" w:space="0" w:color="auto"/>
            </w:tcBorders>
            <w:shd w:val="clear" w:color="auto" w:fill="auto"/>
            <w:noWrap/>
            <w:vAlign w:val="bottom"/>
            <w:hideMark/>
          </w:tcPr>
          <w:p w14:paraId="2F94D9DC"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52.933 </w:t>
            </w:r>
          </w:p>
        </w:tc>
      </w:tr>
      <w:tr w:rsidR="00C92CD8" w14:paraId="6B4A0361"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6DEB63E4"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nil"/>
              <w:left w:val="single" w:sz="4" w:space="0" w:color="auto"/>
              <w:bottom w:val="nil"/>
              <w:right w:val="single" w:sz="4" w:space="0" w:color="auto"/>
            </w:tcBorders>
            <w:shd w:val="clear" w:color="auto" w:fill="auto"/>
            <w:noWrap/>
            <w:vAlign w:val="bottom"/>
            <w:hideMark/>
          </w:tcPr>
          <w:p w14:paraId="7A640CBF"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71EBFC65"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11709428"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544" w:type="dxa"/>
            <w:tcBorders>
              <w:top w:val="nil"/>
              <w:left w:val="single" w:sz="4" w:space="0" w:color="auto"/>
              <w:bottom w:val="nil"/>
              <w:right w:val="single" w:sz="4" w:space="0" w:color="auto"/>
            </w:tcBorders>
            <w:shd w:val="clear" w:color="auto" w:fill="auto"/>
            <w:noWrap/>
            <w:vAlign w:val="bottom"/>
            <w:hideMark/>
          </w:tcPr>
          <w:p w14:paraId="26F07602"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1B625434"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053EAE73"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544" w:type="dxa"/>
            <w:tcBorders>
              <w:top w:val="nil"/>
              <w:left w:val="single" w:sz="4" w:space="0" w:color="auto"/>
              <w:bottom w:val="nil"/>
              <w:right w:val="single" w:sz="4" w:space="0" w:color="auto"/>
            </w:tcBorders>
            <w:shd w:val="clear" w:color="auto" w:fill="auto"/>
            <w:noWrap/>
            <w:vAlign w:val="bottom"/>
            <w:hideMark/>
          </w:tcPr>
          <w:p w14:paraId="50B719B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1.874 </w:t>
            </w:r>
          </w:p>
        </w:tc>
      </w:tr>
      <w:tr w:rsidR="00C92CD8" w14:paraId="19B550F1"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264516C0"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544" w:type="dxa"/>
            <w:tcBorders>
              <w:top w:val="nil"/>
              <w:left w:val="single" w:sz="4" w:space="0" w:color="auto"/>
              <w:bottom w:val="nil"/>
              <w:right w:val="single" w:sz="4" w:space="0" w:color="auto"/>
            </w:tcBorders>
            <w:shd w:val="clear" w:color="auto" w:fill="auto"/>
            <w:noWrap/>
            <w:vAlign w:val="bottom"/>
            <w:hideMark/>
          </w:tcPr>
          <w:p w14:paraId="43867EA5"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5F874494"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5BEEEE96"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544" w:type="dxa"/>
            <w:tcBorders>
              <w:top w:val="nil"/>
              <w:left w:val="single" w:sz="4" w:space="0" w:color="auto"/>
              <w:bottom w:val="nil"/>
              <w:right w:val="single" w:sz="4" w:space="0" w:color="auto"/>
            </w:tcBorders>
            <w:shd w:val="clear" w:color="auto" w:fill="auto"/>
            <w:noWrap/>
            <w:vAlign w:val="bottom"/>
            <w:hideMark/>
          </w:tcPr>
          <w:p w14:paraId="7843E3CE"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2D5F8E55"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635ECD96"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544" w:type="dxa"/>
            <w:tcBorders>
              <w:top w:val="nil"/>
              <w:left w:val="single" w:sz="4" w:space="0" w:color="auto"/>
              <w:bottom w:val="nil"/>
              <w:right w:val="single" w:sz="4" w:space="0" w:color="auto"/>
            </w:tcBorders>
            <w:shd w:val="clear" w:color="auto" w:fill="auto"/>
            <w:noWrap/>
            <w:vAlign w:val="bottom"/>
            <w:hideMark/>
          </w:tcPr>
          <w:p w14:paraId="4701DBF1"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7.738 </w:t>
            </w:r>
          </w:p>
        </w:tc>
      </w:tr>
      <w:tr w:rsidR="00C92CD8" w14:paraId="2C0E310C"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45E42E4B"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544" w:type="dxa"/>
            <w:tcBorders>
              <w:top w:val="nil"/>
              <w:left w:val="single" w:sz="4" w:space="0" w:color="auto"/>
              <w:bottom w:val="nil"/>
              <w:right w:val="single" w:sz="4" w:space="0" w:color="auto"/>
            </w:tcBorders>
            <w:shd w:val="clear" w:color="auto" w:fill="auto"/>
            <w:noWrap/>
            <w:vAlign w:val="bottom"/>
            <w:hideMark/>
          </w:tcPr>
          <w:p w14:paraId="5DD0BDC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3.037 </w:t>
            </w:r>
          </w:p>
        </w:tc>
      </w:tr>
      <w:tr w:rsidR="00C92CD8" w14:paraId="2FE3F863"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377C6F74"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544" w:type="dxa"/>
            <w:tcBorders>
              <w:top w:val="nil"/>
              <w:left w:val="single" w:sz="4" w:space="0" w:color="auto"/>
              <w:bottom w:val="nil"/>
              <w:right w:val="single" w:sz="4" w:space="0" w:color="auto"/>
            </w:tcBorders>
            <w:shd w:val="clear" w:color="auto" w:fill="auto"/>
            <w:noWrap/>
            <w:vAlign w:val="bottom"/>
            <w:hideMark/>
          </w:tcPr>
          <w:p w14:paraId="3BCC83AB"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12.649 </w:t>
            </w:r>
          </w:p>
        </w:tc>
      </w:tr>
      <w:tr w:rsidR="00C92CD8" w14:paraId="3BDCFDE6"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57BCA975"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nil"/>
              <w:left w:val="single" w:sz="4" w:space="0" w:color="auto"/>
              <w:bottom w:val="nil"/>
              <w:right w:val="single" w:sz="4" w:space="0" w:color="auto"/>
            </w:tcBorders>
            <w:shd w:val="clear" w:color="auto" w:fill="auto"/>
            <w:noWrap/>
            <w:vAlign w:val="bottom"/>
            <w:hideMark/>
          </w:tcPr>
          <w:p w14:paraId="7BBDCFE2"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4C185D9B" w14:textId="77777777" w:rsidTr="00B97332">
        <w:trPr>
          <w:trHeight w:val="300"/>
        </w:trPr>
        <w:tc>
          <w:tcPr>
            <w:tcW w:w="5387" w:type="dxa"/>
            <w:tcBorders>
              <w:top w:val="single" w:sz="4" w:space="0" w:color="auto"/>
              <w:left w:val="single" w:sz="4" w:space="0" w:color="auto"/>
              <w:bottom w:val="single" w:sz="4" w:space="0" w:color="auto"/>
              <w:right w:val="nil"/>
            </w:tcBorders>
            <w:shd w:val="clear" w:color="auto" w:fill="auto"/>
            <w:noWrap/>
            <w:vAlign w:val="center"/>
            <w:hideMark/>
          </w:tcPr>
          <w:p w14:paraId="28053081"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2976F"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40.284 </w:t>
            </w:r>
          </w:p>
        </w:tc>
      </w:tr>
    </w:tbl>
    <w:p w14:paraId="5DCBECCE" w14:textId="77777777" w:rsidR="00146FD5" w:rsidRPr="00CE2155" w:rsidRDefault="004A7A82" w:rsidP="00146FD5">
      <w:pPr>
        <w:rPr>
          <w:rFonts w:cs="Arial"/>
        </w:rPr>
      </w:pPr>
      <w:r w:rsidRPr="00CE2155">
        <w:rPr>
          <w:rFonts w:cs="Arial"/>
        </w:rPr>
        <w:br w:type="page"/>
      </w:r>
    </w:p>
    <w:tbl>
      <w:tblPr>
        <w:tblW w:w="8931" w:type="dxa"/>
        <w:tblLook w:val="04A0" w:firstRow="1" w:lastRow="0" w:firstColumn="1" w:lastColumn="0" w:noHBand="0" w:noVBand="1"/>
      </w:tblPr>
      <w:tblGrid>
        <w:gridCol w:w="5387"/>
        <w:gridCol w:w="3544"/>
      </w:tblGrid>
      <w:tr w:rsidR="00C92CD8" w14:paraId="6AD3B895" w14:textId="77777777" w:rsidTr="00B97332">
        <w:trPr>
          <w:trHeight w:val="300"/>
        </w:trPr>
        <w:tc>
          <w:tcPr>
            <w:tcW w:w="5387" w:type="dxa"/>
            <w:tcBorders>
              <w:top w:val="nil"/>
              <w:left w:val="nil"/>
              <w:bottom w:val="nil"/>
              <w:right w:val="nil"/>
            </w:tcBorders>
            <w:shd w:val="clear" w:color="auto" w:fill="auto"/>
            <w:noWrap/>
            <w:vAlign w:val="bottom"/>
            <w:hideMark/>
          </w:tcPr>
          <w:p w14:paraId="73489172" w14:textId="77777777" w:rsidR="00146FD5" w:rsidRDefault="004A7A82" w:rsidP="00B97332">
            <w:pPr>
              <w:rPr>
                <w:rFonts w:eastAsia="Times New Roman" w:cs="Arial"/>
                <w:b/>
                <w:bCs/>
                <w:color w:val="000000"/>
                <w:u w:val="single"/>
              </w:rPr>
            </w:pPr>
            <w:r>
              <w:rPr>
                <w:rFonts w:eastAsia="Times New Roman" w:cs="Arial"/>
                <w:b/>
                <w:bCs/>
                <w:color w:val="000000"/>
                <w:u w:val="single"/>
              </w:rPr>
              <w:lastRenderedPageBreak/>
              <w:t xml:space="preserve">4.6 Head </w:t>
            </w:r>
            <w:r w:rsidRPr="00CE2155">
              <w:rPr>
                <w:rFonts w:eastAsia="Times New Roman" w:cs="Arial"/>
                <w:b/>
                <w:bCs/>
                <w:color w:val="000000"/>
                <w:u w:val="single"/>
              </w:rPr>
              <w:t>of Communications</w:t>
            </w:r>
          </w:p>
          <w:p w14:paraId="2A45BA1F" w14:textId="77777777" w:rsidR="000A5B26" w:rsidRDefault="000A5B26" w:rsidP="00B97332">
            <w:pPr>
              <w:rPr>
                <w:rFonts w:eastAsia="Times New Roman" w:cs="Arial"/>
                <w:b/>
                <w:bCs/>
                <w:color w:val="000000"/>
                <w:u w:val="single"/>
              </w:rPr>
            </w:pPr>
          </w:p>
          <w:p w14:paraId="4200B0DC" w14:textId="77777777" w:rsidR="00146FD5" w:rsidRPr="00CE2155" w:rsidRDefault="00146FD5" w:rsidP="00B97332">
            <w:pPr>
              <w:rPr>
                <w:rFonts w:eastAsia="Times New Roman" w:cs="Arial"/>
                <w:b/>
                <w:bCs/>
                <w:color w:val="000000"/>
                <w:u w:val="single"/>
              </w:rPr>
            </w:pPr>
          </w:p>
        </w:tc>
        <w:tc>
          <w:tcPr>
            <w:tcW w:w="3544" w:type="dxa"/>
            <w:tcBorders>
              <w:top w:val="nil"/>
              <w:left w:val="nil"/>
              <w:bottom w:val="nil"/>
              <w:right w:val="nil"/>
            </w:tcBorders>
            <w:shd w:val="clear" w:color="auto" w:fill="auto"/>
            <w:noWrap/>
            <w:vAlign w:val="bottom"/>
            <w:hideMark/>
          </w:tcPr>
          <w:p w14:paraId="2F8DB7DF" w14:textId="77777777" w:rsidR="00146FD5" w:rsidRPr="00CE2155" w:rsidRDefault="00146FD5" w:rsidP="00B97332">
            <w:pPr>
              <w:rPr>
                <w:rFonts w:eastAsia="Times New Roman" w:cs="Arial"/>
                <w:b/>
                <w:bCs/>
                <w:color w:val="000000"/>
                <w:u w:val="single"/>
              </w:rPr>
            </w:pPr>
          </w:p>
        </w:tc>
      </w:tr>
      <w:tr w:rsidR="00C92CD8" w14:paraId="72F8C70F" w14:textId="77777777" w:rsidTr="00B97332">
        <w:trPr>
          <w:trHeight w:val="600"/>
        </w:trPr>
        <w:tc>
          <w:tcPr>
            <w:tcW w:w="5387" w:type="dxa"/>
            <w:tcBorders>
              <w:top w:val="single" w:sz="4" w:space="0" w:color="auto"/>
              <w:left w:val="single" w:sz="4" w:space="0" w:color="auto"/>
              <w:bottom w:val="single" w:sz="4" w:space="0" w:color="auto"/>
              <w:right w:val="nil"/>
            </w:tcBorders>
            <w:shd w:val="clear" w:color="auto" w:fill="auto"/>
            <w:noWrap/>
            <w:vAlign w:val="bottom"/>
            <w:hideMark/>
          </w:tcPr>
          <w:p w14:paraId="575D0C69"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201B8"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6E6ACCCA" w14:textId="77777777" w:rsidTr="00B97332">
        <w:trPr>
          <w:trHeight w:val="300"/>
        </w:trPr>
        <w:tc>
          <w:tcPr>
            <w:tcW w:w="5387" w:type="dxa"/>
            <w:tcBorders>
              <w:top w:val="nil"/>
              <w:left w:val="single" w:sz="4" w:space="0" w:color="auto"/>
              <w:bottom w:val="nil"/>
              <w:right w:val="nil"/>
            </w:tcBorders>
            <w:shd w:val="clear" w:color="auto" w:fill="auto"/>
            <w:noWrap/>
            <w:vAlign w:val="bottom"/>
            <w:hideMark/>
          </w:tcPr>
          <w:p w14:paraId="4CF974C6"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nil"/>
              <w:left w:val="single" w:sz="4" w:space="0" w:color="auto"/>
              <w:bottom w:val="nil"/>
              <w:right w:val="single" w:sz="4" w:space="0" w:color="auto"/>
            </w:tcBorders>
            <w:shd w:val="clear" w:color="auto" w:fill="auto"/>
            <w:noWrap/>
            <w:vAlign w:val="center"/>
            <w:hideMark/>
          </w:tcPr>
          <w:p w14:paraId="1901A02E"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78B55C2A"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123F578C"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544" w:type="dxa"/>
            <w:tcBorders>
              <w:top w:val="nil"/>
              <w:left w:val="single" w:sz="4" w:space="0" w:color="auto"/>
              <w:bottom w:val="nil"/>
              <w:right w:val="single" w:sz="4" w:space="0" w:color="auto"/>
            </w:tcBorders>
            <w:shd w:val="clear" w:color="auto" w:fill="auto"/>
            <w:noWrap/>
            <w:vAlign w:val="bottom"/>
            <w:hideMark/>
          </w:tcPr>
          <w:p w14:paraId="230E5A92"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58C426A6"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609DC240"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544" w:type="dxa"/>
            <w:tcBorders>
              <w:top w:val="nil"/>
              <w:left w:val="single" w:sz="4" w:space="0" w:color="auto"/>
              <w:bottom w:val="nil"/>
              <w:right w:val="single" w:sz="4" w:space="0" w:color="auto"/>
            </w:tcBorders>
            <w:shd w:val="clear" w:color="auto" w:fill="auto"/>
            <w:noWrap/>
            <w:vAlign w:val="bottom"/>
            <w:hideMark/>
          </w:tcPr>
          <w:p w14:paraId="1F31E8FE" w14:textId="07173E43" w:rsidR="00146FD5" w:rsidRPr="00CE2155" w:rsidRDefault="004A7A82" w:rsidP="00B97332">
            <w:pPr>
              <w:jc w:val="right"/>
              <w:rPr>
                <w:rFonts w:eastAsia="Times New Roman" w:cs="Arial"/>
                <w:color w:val="000000"/>
              </w:rPr>
            </w:pPr>
            <w:r w:rsidRPr="00CE2155">
              <w:rPr>
                <w:rFonts w:eastAsia="Times New Roman" w:cs="Arial"/>
                <w:color w:val="000000"/>
              </w:rPr>
              <w:t xml:space="preserve">                                       1.61</w:t>
            </w:r>
            <w:r w:rsidR="00730BFC">
              <w:rPr>
                <w:rFonts w:eastAsia="Times New Roman" w:cs="Arial"/>
                <w:color w:val="000000"/>
              </w:rPr>
              <w:t>2</w:t>
            </w:r>
            <w:r w:rsidRPr="00CE2155">
              <w:rPr>
                <w:rFonts w:eastAsia="Times New Roman" w:cs="Arial"/>
                <w:color w:val="000000"/>
              </w:rPr>
              <w:t xml:space="preserve"> </w:t>
            </w:r>
          </w:p>
        </w:tc>
      </w:tr>
      <w:tr w:rsidR="00C92CD8" w14:paraId="0A73EF26"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780B87FE"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544" w:type="dxa"/>
            <w:tcBorders>
              <w:top w:val="nil"/>
              <w:left w:val="single" w:sz="4" w:space="0" w:color="auto"/>
              <w:bottom w:val="nil"/>
              <w:right w:val="single" w:sz="4" w:space="0" w:color="auto"/>
            </w:tcBorders>
            <w:shd w:val="clear" w:color="auto" w:fill="auto"/>
            <w:noWrap/>
            <w:vAlign w:val="bottom"/>
            <w:hideMark/>
          </w:tcPr>
          <w:p w14:paraId="6D6D055F"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43A40F56"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1CAA2BFF"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544" w:type="dxa"/>
            <w:tcBorders>
              <w:top w:val="nil"/>
              <w:left w:val="single" w:sz="4" w:space="0" w:color="auto"/>
              <w:bottom w:val="nil"/>
              <w:right w:val="single" w:sz="4" w:space="0" w:color="auto"/>
            </w:tcBorders>
            <w:shd w:val="clear" w:color="auto" w:fill="auto"/>
            <w:noWrap/>
            <w:vAlign w:val="bottom"/>
            <w:hideMark/>
          </w:tcPr>
          <w:p w14:paraId="4766890A"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0.001 </w:t>
            </w:r>
          </w:p>
        </w:tc>
      </w:tr>
      <w:tr w:rsidR="00C92CD8" w14:paraId="0FB41302"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07ED33C2"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544" w:type="dxa"/>
            <w:tcBorders>
              <w:top w:val="nil"/>
              <w:left w:val="single" w:sz="4" w:space="0" w:color="auto"/>
              <w:bottom w:val="nil"/>
              <w:right w:val="single" w:sz="4" w:space="0" w:color="auto"/>
            </w:tcBorders>
            <w:shd w:val="clear" w:color="auto" w:fill="auto"/>
            <w:noWrap/>
            <w:vAlign w:val="bottom"/>
            <w:hideMark/>
          </w:tcPr>
          <w:p w14:paraId="31E740F7"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0.162 </w:t>
            </w:r>
          </w:p>
        </w:tc>
      </w:tr>
      <w:tr w:rsidR="00C92CD8" w14:paraId="4219B2DD"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0A49EDF3"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544" w:type="dxa"/>
            <w:tcBorders>
              <w:top w:val="nil"/>
              <w:left w:val="single" w:sz="4" w:space="0" w:color="auto"/>
              <w:bottom w:val="nil"/>
              <w:right w:val="single" w:sz="4" w:space="0" w:color="auto"/>
            </w:tcBorders>
            <w:shd w:val="clear" w:color="auto" w:fill="auto"/>
            <w:noWrap/>
            <w:vAlign w:val="bottom"/>
            <w:hideMark/>
          </w:tcPr>
          <w:p w14:paraId="513A3BE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76DCB5CC"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6EEF91DD"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544" w:type="dxa"/>
            <w:tcBorders>
              <w:top w:val="nil"/>
              <w:left w:val="single" w:sz="4" w:space="0" w:color="auto"/>
              <w:bottom w:val="nil"/>
              <w:right w:val="single" w:sz="4" w:space="0" w:color="auto"/>
            </w:tcBorders>
            <w:shd w:val="clear" w:color="auto" w:fill="auto"/>
            <w:noWrap/>
            <w:vAlign w:val="bottom"/>
            <w:hideMark/>
          </w:tcPr>
          <w:p w14:paraId="77BBB35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70EB6FE5"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0C374A2D"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544" w:type="dxa"/>
            <w:tcBorders>
              <w:top w:val="nil"/>
              <w:left w:val="single" w:sz="4" w:space="0" w:color="auto"/>
              <w:bottom w:val="nil"/>
              <w:right w:val="single" w:sz="4" w:space="0" w:color="auto"/>
            </w:tcBorders>
            <w:shd w:val="clear" w:color="auto" w:fill="auto"/>
            <w:noWrap/>
            <w:vAlign w:val="bottom"/>
            <w:hideMark/>
          </w:tcPr>
          <w:p w14:paraId="40254596"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440AAAB9"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13308D52"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544" w:type="dxa"/>
            <w:tcBorders>
              <w:top w:val="nil"/>
              <w:left w:val="single" w:sz="4" w:space="0" w:color="auto"/>
              <w:bottom w:val="nil"/>
              <w:right w:val="single" w:sz="4" w:space="0" w:color="auto"/>
            </w:tcBorders>
            <w:shd w:val="clear" w:color="auto" w:fill="auto"/>
            <w:noWrap/>
            <w:vAlign w:val="bottom"/>
            <w:hideMark/>
          </w:tcPr>
          <w:p w14:paraId="48AA3045"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275CAAB2"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68444502"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544" w:type="dxa"/>
            <w:tcBorders>
              <w:top w:val="nil"/>
              <w:left w:val="single" w:sz="4" w:space="0" w:color="auto"/>
              <w:bottom w:val="nil"/>
              <w:right w:val="single" w:sz="4" w:space="0" w:color="auto"/>
            </w:tcBorders>
            <w:shd w:val="clear" w:color="auto" w:fill="auto"/>
            <w:noWrap/>
            <w:vAlign w:val="bottom"/>
            <w:hideMark/>
          </w:tcPr>
          <w:p w14:paraId="1E185AB6" w14:textId="6E7D895A"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1.77</w:t>
            </w:r>
            <w:r w:rsidR="00730BFC">
              <w:rPr>
                <w:rFonts w:eastAsia="Times New Roman" w:cs="Arial"/>
                <w:b/>
                <w:bCs/>
                <w:color w:val="000000"/>
              </w:rPr>
              <w:t>5</w:t>
            </w:r>
            <w:r w:rsidRPr="00CE2155">
              <w:rPr>
                <w:rFonts w:eastAsia="Times New Roman" w:cs="Arial"/>
                <w:b/>
                <w:bCs/>
                <w:color w:val="000000"/>
              </w:rPr>
              <w:t xml:space="preserve"> </w:t>
            </w:r>
          </w:p>
        </w:tc>
      </w:tr>
      <w:tr w:rsidR="00C92CD8" w14:paraId="67BF9322"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290D3972"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nil"/>
              <w:left w:val="single" w:sz="4" w:space="0" w:color="auto"/>
              <w:bottom w:val="nil"/>
              <w:right w:val="single" w:sz="4" w:space="0" w:color="auto"/>
            </w:tcBorders>
            <w:shd w:val="clear" w:color="auto" w:fill="auto"/>
            <w:noWrap/>
            <w:vAlign w:val="bottom"/>
            <w:hideMark/>
          </w:tcPr>
          <w:p w14:paraId="7B618887"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504A483C"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3B7C755D"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544" w:type="dxa"/>
            <w:tcBorders>
              <w:top w:val="nil"/>
              <w:left w:val="single" w:sz="4" w:space="0" w:color="auto"/>
              <w:bottom w:val="nil"/>
              <w:right w:val="single" w:sz="4" w:space="0" w:color="auto"/>
            </w:tcBorders>
            <w:shd w:val="clear" w:color="auto" w:fill="auto"/>
            <w:noWrap/>
            <w:vAlign w:val="bottom"/>
            <w:hideMark/>
          </w:tcPr>
          <w:p w14:paraId="30AF4DD9"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277AC831"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4CC20DCC"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544" w:type="dxa"/>
            <w:tcBorders>
              <w:top w:val="nil"/>
              <w:left w:val="single" w:sz="4" w:space="0" w:color="auto"/>
              <w:bottom w:val="nil"/>
              <w:right w:val="single" w:sz="4" w:space="0" w:color="auto"/>
            </w:tcBorders>
            <w:shd w:val="clear" w:color="auto" w:fill="auto"/>
            <w:noWrap/>
            <w:vAlign w:val="bottom"/>
            <w:hideMark/>
          </w:tcPr>
          <w:p w14:paraId="4B982972"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0.005 </w:t>
            </w:r>
          </w:p>
        </w:tc>
      </w:tr>
      <w:tr w:rsidR="00C92CD8" w14:paraId="7BFAB839"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2C5EC81C"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544" w:type="dxa"/>
            <w:tcBorders>
              <w:top w:val="nil"/>
              <w:left w:val="single" w:sz="4" w:space="0" w:color="auto"/>
              <w:bottom w:val="nil"/>
              <w:right w:val="single" w:sz="4" w:space="0" w:color="auto"/>
            </w:tcBorders>
            <w:shd w:val="clear" w:color="auto" w:fill="auto"/>
            <w:noWrap/>
            <w:vAlign w:val="bottom"/>
            <w:hideMark/>
          </w:tcPr>
          <w:p w14:paraId="4B2F9883"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7D047977"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5C7A4C5B"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544" w:type="dxa"/>
            <w:tcBorders>
              <w:top w:val="nil"/>
              <w:left w:val="single" w:sz="4" w:space="0" w:color="auto"/>
              <w:bottom w:val="nil"/>
              <w:right w:val="single" w:sz="4" w:space="0" w:color="auto"/>
            </w:tcBorders>
            <w:shd w:val="clear" w:color="auto" w:fill="auto"/>
            <w:noWrap/>
            <w:vAlign w:val="bottom"/>
            <w:hideMark/>
          </w:tcPr>
          <w:p w14:paraId="5AD01D64"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2BB2867C"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2FB4B8E7"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544" w:type="dxa"/>
            <w:tcBorders>
              <w:top w:val="nil"/>
              <w:left w:val="single" w:sz="4" w:space="0" w:color="auto"/>
              <w:bottom w:val="nil"/>
              <w:right w:val="single" w:sz="4" w:space="0" w:color="auto"/>
            </w:tcBorders>
            <w:shd w:val="clear" w:color="auto" w:fill="auto"/>
            <w:noWrap/>
            <w:vAlign w:val="bottom"/>
            <w:hideMark/>
          </w:tcPr>
          <w:p w14:paraId="43263455"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0.193 </w:t>
            </w:r>
          </w:p>
        </w:tc>
      </w:tr>
      <w:tr w:rsidR="00C92CD8" w14:paraId="6BFE912D"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7ADE0235"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544" w:type="dxa"/>
            <w:tcBorders>
              <w:top w:val="nil"/>
              <w:left w:val="single" w:sz="4" w:space="0" w:color="auto"/>
              <w:bottom w:val="nil"/>
              <w:right w:val="single" w:sz="4" w:space="0" w:color="auto"/>
            </w:tcBorders>
            <w:shd w:val="clear" w:color="auto" w:fill="auto"/>
            <w:noWrap/>
            <w:vAlign w:val="bottom"/>
            <w:hideMark/>
          </w:tcPr>
          <w:p w14:paraId="3207B02E"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57E6BC9C"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20145B98"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544" w:type="dxa"/>
            <w:tcBorders>
              <w:top w:val="nil"/>
              <w:left w:val="single" w:sz="4" w:space="0" w:color="auto"/>
              <w:bottom w:val="nil"/>
              <w:right w:val="single" w:sz="4" w:space="0" w:color="auto"/>
            </w:tcBorders>
            <w:shd w:val="clear" w:color="auto" w:fill="auto"/>
            <w:noWrap/>
            <w:vAlign w:val="bottom"/>
            <w:hideMark/>
          </w:tcPr>
          <w:p w14:paraId="480A8D97"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0.198 </w:t>
            </w:r>
          </w:p>
        </w:tc>
      </w:tr>
      <w:tr w:rsidR="00C92CD8" w14:paraId="46411635"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49DE95F2"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nil"/>
              <w:left w:val="single" w:sz="4" w:space="0" w:color="auto"/>
              <w:bottom w:val="nil"/>
              <w:right w:val="single" w:sz="4" w:space="0" w:color="auto"/>
            </w:tcBorders>
            <w:shd w:val="clear" w:color="auto" w:fill="auto"/>
            <w:noWrap/>
            <w:vAlign w:val="bottom"/>
            <w:hideMark/>
          </w:tcPr>
          <w:p w14:paraId="7B2B469E"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0BC0F0E7" w14:textId="77777777" w:rsidTr="00B97332">
        <w:trPr>
          <w:trHeight w:val="300"/>
        </w:trPr>
        <w:tc>
          <w:tcPr>
            <w:tcW w:w="5387" w:type="dxa"/>
            <w:tcBorders>
              <w:top w:val="single" w:sz="4" w:space="0" w:color="auto"/>
              <w:left w:val="single" w:sz="4" w:space="0" w:color="auto"/>
              <w:bottom w:val="single" w:sz="4" w:space="0" w:color="auto"/>
              <w:right w:val="nil"/>
            </w:tcBorders>
            <w:shd w:val="clear" w:color="auto" w:fill="auto"/>
            <w:noWrap/>
            <w:vAlign w:val="center"/>
            <w:hideMark/>
          </w:tcPr>
          <w:p w14:paraId="49FDBE01"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F0288" w14:textId="4E79DAFC"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1.57</w:t>
            </w:r>
            <w:r w:rsidR="00730BFC">
              <w:rPr>
                <w:rFonts w:eastAsia="Times New Roman" w:cs="Arial"/>
                <w:b/>
                <w:bCs/>
                <w:color w:val="000000"/>
              </w:rPr>
              <w:t>7</w:t>
            </w:r>
            <w:r w:rsidRPr="00CE2155">
              <w:rPr>
                <w:rFonts w:eastAsia="Times New Roman" w:cs="Arial"/>
                <w:b/>
                <w:bCs/>
                <w:color w:val="000000"/>
              </w:rPr>
              <w:t xml:space="preserve"> </w:t>
            </w:r>
          </w:p>
        </w:tc>
      </w:tr>
    </w:tbl>
    <w:p w14:paraId="03E68B10" w14:textId="77777777" w:rsidR="00146FD5" w:rsidRPr="00CE2155" w:rsidRDefault="004A7A82" w:rsidP="00146FD5">
      <w:pPr>
        <w:rPr>
          <w:rFonts w:cs="Arial"/>
        </w:rPr>
      </w:pPr>
      <w:r w:rsidRPr="00CE2155">
        <w:rPr>
          <w:rFonts w:cs="Arial"/>
        </w:rPr>
        <w:br w:type="page"/>
      </w:r>
    </w:p>
    <w:tbl>
      <w:tblPr>
        <w:tblW w:w="8931" w:type="dxa"/>
        <w:tblLook w:val="04A0" w:firstRow="1" w:lastRow="0" w:firstColumn="1" w:lastColumn="0" w:noHBand="0" w:noVBand="1"/>
      </w:tblPr>
      <w:tblGrid>
        <w:gridCol w:w="5387"/>
        <w:gridCol w:w="3544"/>
      </w:tblGrid>
      <w:tr w:rsidR="00C92CD8" w14:paraId="3BC01BC2" w14:textId="77777777" w:rsidTr="00B97332">
        <w:trPr>
          <w:trHeight w:val="300"/>
        </w:trPr>
        <w:tc>
          <w:tcPr>
            <w:tcW w:w="5387" w:type="dxa"/>
            <w:tcBorders>
              <w:top w:val="nil"/>
              <w:left w:val="nil"/>
              <w:bottom w:val="nil"/>
              <w:right w:val="nil"/>
            </w:tcBorders>
            <w:shd w:val="clear" w:color="auto" w:fill="auto"/>
            <w:noWrap/>
            <w:vAlign w:val="bottom"/>
            <w:hideMark/>
          </w:tcPr>
          <w:p w14:paraId="3E71A0AE" w14:textId="77777777" w:rsidR="00146FD5" w:rsidRDefault="004A7A82" w:rsidP="00B97332">
            <w:pPr>
              <w:rPr>
                <w:rFonts w:eastAsia="Times New Roman" w:cs="Arial"/>
                <w:b/>
                <w:bCs/>
                <w:color w:val="000000"/>
                <w:u w:val="single"/>
              </w:rPr>
            </w:pPr>
            <w:r>
              <w:rPr>
                <w:rFonts w:eastAsia="Times New Roman" w:cs="Arial"/>
                <w:b/>
                <w:bCs/>
                <w:color w:val="000000"/>
                <w:u w:val="single"/>
              </w:rPr>
              <w:lastRenderedPageBreak/>
              <w:t xml:space="preserve">4.7 </w:t>
            </w:r>
            <w:r w:rsidRPr="00CE2155">
              <w:rPr>
                <w:rFonts w:eastAsia="Times New Roman" w:cs="Arial"/>
                <w:b/>
                <w:bCs/>
                <w:color w:val="000000"/>
                <w:u w:val="single"/>
              </w:rPr>
              <w:t>Director of People Services</w:t>
            </w:r>
          </w:p>
          <w:p w14:paraId="77320853" w14:textId="77777777" w:rsidR="000A5B26" w:rsidRDefault="000A5B26" w:rsidP="00B97332">
            <w:pPr>
              <w:rPr>
                <w:rFonts w:eastAsia="Times New Roman" w:cs="Arial"/>
                <w:b/>
                <w:bCs/>
                <w:color w:val="000000"/>
                <w:u w:val="single"/>
              </w:rPr>
            </w:pPr>
          </w:p>
          <w:p w14:paraId="282E1212" w14:textId="77777777" w:rsidR="00146FD5" w:rsidRPr="00CE2155" w:rsidRDefault="00146FD5" w:rsidP="00B97332">
            <w:pPr>
              <w:rPr>
                <w:rFonts w:eastAsia="Times New Roman" w:cs="Arial"/>
                <w:b/>
                <w:bCs/>
                <w:color w:val="000000"/>
                <w:u w:val="single"/>
              </w:rPr>
            </w:pPr>
          </w:p>
        </w:tc>
        <w:tc>
          <w:tcPr>
            <w:tcW w:w="3544" w:type="dxa"/>
            <w:tcBorders>
              <w:top w:val="nil"/>
              <w:left w:val="nil"/>
              <w:bottom w:val="nil"/>
              <w:right w:val="nil"/>
            </w:tcBorders>
            <w:shd w:val="clear" w:color="auto" w:fill="auto"/>
            <w:noWrap/>
            <w:vAlign w:val="bottom"/>
            <w:hideMark/>
          </w:tcPr>
          <w:p w14:paraId="0A7814BC" w14:textId="77777777" w:rsidR="00146FD5" w:rsidRPr="00CE2155" w:rsidRDefault="00146FD5" w:rsidP="00B97332">
            <w:pPr>
              <w:rPr>
                <w:rFonts w:eastAsia="Times New Roman" w:cs="Arial"/>
                <w:b/>
                <w:bCs/>
                <w:color w:val="000000"/>
                <w:u w:val="single"/>
              </w:rPr>
            </w:pPr>
          </w:p>
        </w:tc>
      </w:tr>
      <w:tr w:rsidR="00C92CD8" w14:paraId="002D18C7" w14:textId="77777777" w:rsidTr="00B97332">
        <w:trPr>
          <w:trHeight w:val="600"/>
        </w:trPr>
        <w:tc>
          <w:tcPr>
            <w:tcW w:w="5387" w:type="dxa"/>
            <w:tcBorders>
              <w:top w:val="single" w:sz="4" w:space="0" w:color="auto"/>
              <w:left w:val="single" w:sz="4" w:space="0" w:color="auto"/>
              <w:bottom w:val="single" w:sz="4" w:space="0" w:color="auto"/>
              <w:right w:val="nil"/>
            </w:tcBorders>
            <w:shd w:val="clear" w:color="auto" w:fill="auto"/>
            <w:noWrap/>
            <w:vAlign w:val="bottom"/>
            <w:hideMark/>
          </w:tcPr>
          <w:p w14:paraId="53F5A270"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58F09"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0AD92472" w14:textId="77777777" w:rsidTr="00B97332">
        <w:trPr>
          <w:trHeight w:val="300"/>
        </w:trPr>
        <w:tc>
          <w:tcPr>
            <w:tcW w:w="5387" w:type="dxa"/>
            <w:tcBorders>
              <w:top w:val="nil"/>
              <w:left w:val="single" w:sz="4" w:space="0" w:color="auto"/>
              <w:bottom w:val="nil"/>
              <w:right w:val="nil"/>
            </w:tcBorders>
            <w:shd w:val="clear" w:color="auto" w:fill="auto"/>
            <w:noWrap/>
            <w:vAlign w:val="bottom"/>
            <w:hideMark/>
          </w:tcPr>
          <w:p w14:paraId="5D1C28DD"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nil"/>
              <w:left w:val="single" w:sz="4" w:space="0" w:color="auto"/>
              <w:bottom w:val="nil"/>
              <w:right w:val="single" w:sz="4" w:space="0" w:color="auto"/>
            </w:tcBorders>
            <w:shd w:val="clear" w:color="auto" w:fill="auto"/>
            <w:noWrap/>
            <w:vAlign w:val="center"/>
            <w:hideMark/>
          </w:tcPr>
          <w:p w14:paraId="1C588453"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608D0C6B"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4757D70C"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544" w:type="dxa"/>
            <w:tcBorders>
              <w:top w:val="nil"/>
              <w:left w:val="single" w:sz="4" w:space="0" w:color="auto"/>
              <w:bottom w:val="nil"/>
              <w:right w:val="single" w:sz="4" w:space="0" w:color="auto"/>
            </w:tcBorders>
            <w:shd w:val="clear" w:color="auto" w:fill="auto"/>
            <w:noWrap/>
            <w:vAlign w:val="bottom"/>
            <w:hideMark/>
          </w:tcPr>
          <w:p w14:paraId="0FE1B297"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67BA8161"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1E223C3D"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544" w:type="dxa"/>
            <w:tcBorders>
              <w:top w:val="nil"/>
              <w:left w:val="single" w:sz="4" w:space="0" w:color="auto"/>
              <w:bottom w:val="nil"/>
              <w:right w:val="single" w:sz="4" w:space="0" w:color="auto"/>
            </w:tcBorders>
            <w:shd w:val="clear" w:color="auto" w:fill="auto"/>
            <w:noWrap/>
            <w:vAlign w:val="bottom"/>
            <w:hideMark/>
          </w:tcPr>
          <w:p w14:paraId="226DC20F"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9.462 </w:t>
            </w:r>
          </w:p>
        </w:tc>
      </w:tr>
      <w:tr w:rsidR="00C92CD8" w14:paraId="69A30BBB"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79024E76"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544" w:type="dxa"/>
            <w:tcBorders>
              <w:top w:val="nil"/>
              <w:left w:val="single" w:sz="4" w:space="0" w:color="auto"/>
              <w:bottom w:val="nil"/>
              <w:right w:val="single" w:sz="4" w:space="0" w:color="auto"/>
            </w:tcBorders>
            <w:shd w:val="clear" w:color="auto" w:fill="auto"/>
            <w:noWrap/>
            <w:vAlign w:val="bottom"/>
            <w:hideMark/>
          </w:tcPr>
          <w:p w14:paraId="6888F81B"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0062C5F7"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2F0602AA"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544" w:type="dxa"/>
            <w:tcBorders>
              <w:top w:val="nil"/>
              <w:left w:val="single" w:sz="4" w:space="0" w:color="auto"/>
              <w:bottom w:val="nil"/>
              <w:right w:val="single" w:sz="4" w:space="0" w:color="auto"/>
            </w:tcBorders>
            <w:shd w:val="clear" w:color="auto" w:fill="auto"/>
            <w:noWrap/>
            <w:vAlign w:val="bottom"/>
            <w:hideMark/>
          </w:tcPr>
          <w:p w14:paraId="14A105A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0.020 </w:t>
            </w:r>
          </w:p>
        </w:tc>
      </w:tr>
      <w:tr w:rsidR="00C92CD8" w14:paraId="5D4FD8E1"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68515697"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544" w:type="dxa"/>
            <w:tcBorders>
              <w:top w:val="nil"/>
              <w:left w:val="single" w:sz="4" w:space="0" w:color="auto"/>
              <w:bottom w:val="nil"/>
              <w:right w:val="single" w:sz="4" w:space="0" w:color="auto"/>
            </w:tcBorders>
            <w:shd w:val="clear" w:color="auto" w:fill="auto"/>
            <w:noWrap/>
            <w:vAlign w:val="bottom"/>
            <w:hideMark/>
          </w:tcPr>
          <w:p w14:paraId="1373D21A"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6.628 </w:t>
            </w:r>
          </w:p>
        </w:tc>
      </w:tr>
      <w:tr w:rsidR="00C92CD8" w14:paraId="70970F09"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5B401ABC"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544" w:type="dxa"/>
            <w:tcBorders>
              <w:top w:val="nil"/>
              <w:left w:val="single" w:sz="4" w:space="0" w:color="auto"/>
              <w:bottom w:val="nil"/>
              <w:right w:val="single" w:sz="4" w:space="0" w:color="auto"/>
            </w:tcBorders>
            <w:shd w:val="clear" w:color="auto" w:fill="auto"/>
            <w:noWrap/>
            <w:vAlign w:val="bottom"/>
            <w:hideMark/>
          </w:tcPr>
          <w:p w14:paraId="454E86D2"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38C23C8B"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6E28C9EC"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544" w:type="dxa"/>
            <w:tcBorders>
              <w:top w:val="nil"/>
              <w:left w:val="single" w:sz="4" w:space="0" w:color="auto"/>
              <w:bottom w:val="nil"/>
              <w:right w:val="single" w:sz="4" w:space="0" w:color="auto"/>
            </w:tcBorders>
            <w:shd w:val="clear" w:color="auto" w:fill="auto"/>
            <w:noWrap/>
            <w:vAlign w:val="bottom"/>
            <w:hideMark/>
          </w:tcPr>
          <w:p w14:paraId="2DD7541A"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6EE061C6"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0E9964D6"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544" w:type="dxa"/>
            <w:tcBorders>
              <w:top w:val="nil"/>
              <w:left w:val="single" w:sz="4" w:space="0" w:color="auto"/>
              <w:bottom w:val="nil"/>
              <w:right w:val="single" w:sz="4" w:space="0" w:color="auto"/>
            </w:tcBorders>
            <w:shd w:val="clear" w:color="auto" w:fill="auto"/>
            <w:noWrap/>
            <w:vAlign w:val="bottom"/>
            <w:hideMark/>
          </w:tcPr>
          <w:p w14:paraId="2DBE0C0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691B3C58"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3113E516"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544" w:type="dxa"/>
            <w:tcBorders>
              <w:top w:val="nil"/>
              <w:left w:val="single" w:sz="4" w:space="0" w:color="auto"/>
              <w:bottom w:val="nil"/>
              <w:right w:val="single" w:sz="4" w:space="0" w:color="auto"/>
            </w:tcBorders>
            <w:shd w:val="clear" w:color="auto" w:fill="auto"/>
            <w:noWrap/>
            <w:vAlign w:val="bottom"/>
            <w:hideMark/>
          </w:tcPr>
          <w:p w14:paraId="63485615"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442A7BE7"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54E6D834"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544" w:type="dxa"/>
            <w:tcBorders>
              <w:top w:val="nil"/>
              <w:left w:val="single" w:sz="4" w:space="0" w:color="auto"/>
              <w:bottom w:val="nil"/>
              <w:right w:val="single" w:sz="4" w:space="0" w:color="auto"/>
            </w:tcBorders>
            <w:shd w:val="clear" w:color="auto" w:fill="auto"/>
            <w:noWrap/>
            <w:vAlign w:val="bottom"/>
            <w:hideMark/>
          </w:tcPr>
          <w:p w14:paraId="370133BC"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16.110 </w:t>
            </w:r>
          </w:p>
        </w:tc>
      </w:tr>
      <w:tr w:rsidR="00C92CD8" w14:paraId="6A8E46A5"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2CE02722"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nil"/>
              <w:left w:val="single" w:sz="4" w:space="0" w:color="auto"/>
              <w:bottom w:val="nil"/>
              <w:right w:val="single" w:sz="4" w:space="0" w:color="auto"/>
            </w:tcBorders>
            <w:shd w:val="clear" w:color="auto" w:fill="auto"/>
            <w:noWrap/>
            <w:vAlign w:val="bottom"/>
            <w:hideMark/>
          </w:tcPr>
          <w:p w14:paraId="2E4A1181"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09319D24"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6F391E67"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544" w:type="dxa"/>
            <w:tcBorders>
              <w:top w:val="nil"/>
              <w:left w:val="single" w:sz="4" w:space="0" w:color="auto"/>
              <w:bottom w:val="nil"/>
              <w:right w:val="single" w:sz="4" w:space="0" w:color="auto"/>
            </w:tcBorders>
            <w:shd w:val="clear" w:color="auto" w:fill="auto"/>
            <w:noWrap/>
            <w:vAlign w:val="bottom"/>
            <w:hideMark/>
          </w:tcPr>
          <w:p w14:paraId="7D5035EC"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273FBB50"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4F66320A"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544" w:type="dxa"/>
            <w:tcBorders>
              <w:top w:val="nil"/>
              <w:left w:val="single" w:sz="4" w:space="0" w:color="auto"/>
              <w:bottom w:val="nil"/>
              <w:right w:val="single" w:sz="4" w:space="0" w:color="auto"/>
            </w:tcBorders>
            <w:shd w:val="clear" w:color="auto" w:fill="auto"/>
            <w:noWrap/>
            <w:vAlign w:val="bottom"/>
            <w:hideMark/>
          </w:tcPr>
          <w:p w14:paraId="1E9A79CF"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0.271 </w:t>
            </w:r>
          </w:p>
        </w:tc>
      </w:tr>
      <w:tr w:rsidR="00C92CD8" w14:paraId="73F2CCE1"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5301BFFB"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544" w:type="dxa"/>
            <w:tcBorders>
              <w:top w:val="nil"/>
              <w:left w:val="single" w:sz="4" w:space="0" w:color="auto"/>
              <w:bottom w:val="nil"/>
              <w:right w:val="single" w:sz="4" w:space="0" w:color="auto"/>
            </w:tcBorders>
            <w:shd w:val="clear" w:color="auto" w:fill="auto"/>
            <w:noWrap/>
            <w:vAlign w:val="bottom"/>
            <w:hideMark/>
          </w:tcPr>
          <w:p w14:paraId="052EEACF"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55CC0A1F"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44AAD118"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544" w:type="dxa"/>
            <w:tcBorders>
              <w:top w:val="nil"/>
              <w:left w:val="single" w:sz="4" w:space="0" w:color="auto"/>
              <w:bottom w:val="nil"/>
              <w:right w:val="single" w:sz="4" w:space="0" w:color="auto"/>
            </w:tcBorders>
            <w:shd w:val="clear" w:color="auto" w:fill="auto"/>
            <w:noWrap/>
            <w:vAlign w:val="bottom"/>
            <w:hideMark/>
          </w:tcPr>
          <w:p w14:paraId="68245B36"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6968100A"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0FAD297F"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544" w:type="dxa"/>
            <w:tcBorders>
              <w:top w:val="nil"/>
              <w:left w:val="single" w:sz="4" w:space="0" w:color="auto"/>
              <w:bottom w:val="nil"/>
              <w:right w:val="single" w:sz="4" w:space="0" w:color="auto"/>
            </w:tcBorders>
            <w:shd w:val="clear" w:color="auto" w:fill="auto"/>
            <w:noWrap/>
            <w:vAlign w:val="bottom"/>
            <w:hideMark/>
          </w:tcPr>
          <w:p w14:paraId="011DA5A3"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9.234 </w:t>
            </w:r>
          </w:p>
        </w:tc>
      </w:tr>
      <w:tr w:rsidR="00C92CD8" w14:paraId="4D13C3CF"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583C47D1"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544" w:type="dxa"/>
            <w:tcBorders>
              <w:top w:val="nil"/>
              <w:left w:val="single" w:sz="4" w:space="0" w:color="auto"/>
              <w:bottom w:val="nil"/>
              <w:right w:val="single" w:sz="4" w:space="0" w:color="auto"/>
            </w:tcBorders>
            <w:shd w:val="clear" w:color="auto" w:fill="auto"/>
            <w:noWrap/>
            <w:vAlign w:val="bottom"/>
            <w:hideMark/>
          </w:tcPr>
          <w:p w14:paraId="1B9C0FB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0.139 </w:t>
            </w:r>
          </w:p>
        </w:tc>
      </w:tr>
      <w:tr w:rsidR="00C92CD8" w14:paraId="24A9C697"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0A4BBE5C"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544" w:type="dxa"/>
            <w:tcBorders>
              <w:top w:val="nil"/>
              <w:left w:val="single" w:sz="4" w:space="0" w:color="auto"/>
              <w:bottom w:val="nil"/>
              <w:right w:val="single" w:sz="4" w:space="0" w:color="auto"/>
            </w:tcBorders>
            <w:shd w:val="clear" w:color="auto" w:fill="auto"/>
            <w:noWrap/>
            <w:vAlign w:val="bottom"/>
            <w:hideMark/>
          </w:tcPr>
          <w:p w14:paraId="16D280F4"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9.644 </w:t>
            </w:r>
          </w:p>
        </w:tc>
      </w:tr>
      <w:tr w:rsidR="00C92CD8" w14:paraId="2845D6E1"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2034604E"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nil"/>
              <w:left w:val="single" w:sz="4" w:space="0" w:color="auto"/>
              <w:bottom w:val="nil"/>
              <w:right w:val="single" w:sz="4" w:space="0" w:color="auto"/>
            </w:tcBorders>
            <w:shd w:val="clear" w:color="auto" w:fill="auto"/>
            <w:noWrap/>
            <w:vAlign w:val="bottom"/>
            <w:hideMark/>
          </w:tcPr>
          <w:p w14:paraId="145F54D3"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59025445" w14:textId="77777777" w:rsidTr="00B97332">
        <w:trPr>
          <w:trHeight w:val="300"/>
        </w:trPr>
        <w:tc>
          <w:tcPr>
            <w:tcW w:w="5387" w:type="dxa"/>
            <w:tcBorders>
              <w:top w:val="single" w:sz="4" w:space="0" w:color="auto"/>
              <w:left w:val="single" w:sz="4" w:space="0" w:color="auto"/>
              <w:bottom w:val="single" w:sz="4" w:space="0" w:color="auto"/>
              <w:right w:val="nil"/>
            </w:tcBorders>
            <w:shd w:val="clear" w:color="auto" w:fill="auto"/>
            <w:noWrap/>
            <w:vAlign w:val="center"/>
            <w:hideMark/>
          </w:tcPr>
          <w:p w14:paraId="1A51405F"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F2CB1" w14:textId="3B33E613"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6.46</w:t>
            </w:r>
            <w:r w:rsidR="00730BFC">
              <w:rPr>
                <w:rFonts w:eastAsia="Times New Roman" w:cs="Arial"/>
                <w:b/>
                <w:bCs/>
                <w:color w:val="000000"/>
              </w:rPr>
              <w:t>7</w:t>
            </w:r>
            <w:r w:rsidRPr="00CE2155">
              <w:rPr>
                <w:rFonts w:eastAsia="Times New Roman" w:cs="Arial"/>
                <w:b/>
                <w:bCs/>
                <w:color w:val="000000"/>
              </w:rPr>
              <w:t xml:space="preserve"> </w:t>
            </w:r>
          </w:p>
        </w:tc>
      </w:tr>
    </w:tbl>
    <w:p w14:paraId="2EB00A9F" w14:textId="6BEE1E29" w:rsidR="00146FD5" w:rsidRDefault="00146FD5" w:rsidP="00146FD5">
      <w:pPr>
        <w:rPr>
          <w:rFonts w:cs="Arial"/>
        </w:rPr>
      </w:pPr>
    </w:p>
    <w:p w14:paraId="31DE4F97" w14:textId="77777777" w:rsidR="000A5B26" w:rsidRDefault="000A5B26" w:rsidP="00146FD5">
      <w:pPr>
        <w:rPr>
          <w:rFonts w:cs="Arial"/>
        </w:rPr>
      </w:pPr>
    </w:p>
    <w:p w14:paraId="72200D30" w14:textId="77777777" w:rsidR="000A5B26" w:rsidRDefault="000A5B26" w:rsidP="00146FD5">
      <w:pPr>
        <w:rPr>
          <w:rFonts w:cs="Arial"/>
        </w:rPr>
      </w:pPr>
    </w:p>
    <w:p w14:paraId="69563DCF" w14:textId="77777777" w:rsidR="000A5B26" w:rsidRDefault="000A5B26" w:rsidP="00146FD5">
      <w:pPr>
        <w:rPr>
          <w:rFonts w:cs="Arial"/>
        </w:rPr>
      </w:pPr>
    </w:p>
    <w:p w14:paraId="60AECF9B" w14:textId="77777777" w:rsidR="000A5B26" w:rsidRDefault="000A5B26" w:rsidP="00146FD5">
      <w:pPr>
        <w:rPr>
          <w:rFonts w:cs="Arial"/>
        </w:rPr>
      </w:pPr>
    </w:p>
    <w:p w14:paraId="3AD4B301" w14:textId="77777777" w:rsidR="000A5B26" w:rsidRDefault="000A5B26" w:rsidP="00146FD5">
      <w:pPr>
        <w:rPr>
          <w:rFonts w:cs="Arial"/>
        </w:rPr>
      </w:pPr>
    </w:p>
    <w:p w14:paraId="2182583F" w14:textId="77777777" w:rsidR="000A5B26" w:rsidRDefault="000A5B26" w:rsidP="00146FD5">
      <w:pPr>
        <w:rPr>
          <w:rFonts w:cs="Arial"/>
        </w:rPr>
      </w:pPr>
    </w:p>
    <w:p w14:paraId="72A99575" w14:textId="77777777" w:rsidR="000A5B26" w:rsidRDefault="000A5B26" w:rsidP="00146FD5">
      <w:pPr>
        <w:rPr>
          <w:rFonts w:cs="Arial"/>
        </w:rPr>
      </w:pPr>
    </w:p>
    <w:p w14:paraId="5F91195D" w14:textId="77777777" w:rsidR="000A5B26" w:rsidRDefault="000A5B26" w:rsidP="00146FD5">
      <w:pPr>
        <w:rPr>
          <w:rFonts w:cs="Arial"/>
        </w:rPr>
      </w:pPr>
    </w:p>
    <w:p w14:paraId="3E87613E" w14:textId="77777777" w:rsidR="000A5B26" w:rsidRDefault="000A5B26" w:rsidP="00146FD5">
      <w:pPr>
        <w:rPr>
          <w:rFonts w:cs="Arial"/>
        </w:rPr>
      </w:pPr>
    </w:p>
    <w:p w14:paraId="26C4AEAE" w14:textId="77777777" w:rsidR="000A5B26" w:rsidRDefault="000A5B26" w:rsidP="00146FD5">
      <w:pPr>
        <w:rPr>
          <w:rFonts w:cs="Arial"/>
        </w:rPr>
      </w:pPr>
    </w:p>
    <w:p w14:paraId="35970328" w14:textId="77777777" w:rsidR="000A5B26" w:rsidRDefault="000A5B26" w:rsidP="00146FD5">
      <w:pPr>
        <w:rPr>
          <w:rFonts w:cs="Arial"/>
        </w:rPr>
      </w:pPr>
    </w:p>
    <w:p w14:paraId="078A46B1" w14:textId="77777777" w:rsidR="000A5B26" w:rsidRDefault="000A5B26" w:rsidP="00146FD5">
      <w:pPr>
        <w:rPr>
          <w:rFonts w:cs="Arial"/>
        </w:rPr>
      </w:pPr>
    </w:p>
    <w:p w14:paraId="06EE45A8" w14:textId="77777777" w:rsidR="000A5B26" w:rsidRDefault="000A5B26" w:rsidP="00146FD5">
      <w:pPr>
        <w:rPr>
          <w:rFonts w:cs="Arial"/>
        </w:rPr>
      </w:pPr>
    </w:p>
    <w:p w14:paraId="6D9D8915" w14:textId="77777777" w:rsidR="000A5B26" w:rsidRDefault="000A5B26" w:rsidP="00146FD5">
      <w:pPr>
        <w:rPr>
          <w:rFonts w:cs="Arial"/>
        </w:rPr>
      </w:pPr>
    </w:p>
    <w:p w14:paraId="6B803D92" w14:textId="77777777" w:rsidR="000A5B26" w:rsidRDefault="000A5B26" w:rsidP="00146FD5">
      <w:pPr>
        <w:rPr>
          <w:rFonts w:cs="Arial"/>
        </w:rPr>
      </w:pPr>
    </w:p>
    <w:p w14:paraId="3B31663C" w14:textId="77777777" w:rsidR="000A5B26" w:rsidRDefault="000A5B26" w:rsidP="00146FD5">
      <w:pPr>
        <w:rPr>
          <w:rFonts w:cs="Arial"/>
        </w:rPr>
      </w:pPr>
    </w:p>
    <w:p w14:paraId="3B889639" w14:textId="77777777" w:rsidR="000A5B26" w:rsidRDefault="000A5B26" w:rsidP="00146FD5">
      <w:pPr>
        <w:rPr>
          <w:rFonts w:cs="Arial"/>
        </w:rPr>
      </w:pPr>
    </w:p>
    <w:p w14:paraId="1F3095B9" w14:textId="77777777" w:rsidR="000A5B26" w:rsidRDefault="000A5B26" w:rsidP="00146FD5">
      <w:pPr>
        <w:rPr>
          <w:rFonts w:cs="Arial"/>
        </w:rPr>
      </w:pPr>
    </w:p>
    <w:p w14:paraId="7F26D9B2" w14:textId="77777777" w:rsidR="000A5B26" w:rsidRDefault="000A5B26" w:rsidP="00146FD5">
      <w:pPr>
        <w:rPr>
          <w:rFonts w:cs="Arial"/>
        </w:rPr>
      </w:pPr>
    </w:p>
    <w:p w14:paraId="43BE76E3" w14:textId="77777777" w:rsidR="000A5B26" w:rsidRDefault="000A5B26" w:rsidP="00146FD5">
      <w:pPr>
        <w:rPr>
          <w:rFonts w:cs="Arial"/>
        </w:rPr>
      </w:pPr>
    </w:p>
    <w:p w14:paraId="45070D2D" w14:textId="77777777" w:rsidR="000A5B26" w:rsidRDefault="000A5B26" w:rsidP="00146FD5">
      <w:pPr>
        <w:rPr>
          <w:rFonts w:cs="Arial"/>
        </w:rPr>
      </w:pPr>
    </w:p>
    <w:p w14:paraId="73323820" w14:textId="77777777" w:rsidR="000A5B26" w:rsidRPr="00CE2155" w:rsidRDefault="000A5B26" w:rsidP="00146FD5">
      <w:pPr>
        <w:rPr>
          <w:rFonts w:cs="Arial"/>
        </w:rPr>
      </w:pPr>
    </w:p>
    <w:tbl>
      <w:tblPr>
        <w:tblW w:w="8931" w:type="dxa"/>
        <w:tblLook w:val="04A0" w:firstRow="1" w:lastRow="0" w:firstColumn="1" w:lastColumn="0" w:noHBand="0" w:noVBand="1"/>
      </w:tblPr>
      <w:tblGrid>
        <w:gridCol w:w="5387"/>
        <w:gridCol w:w="3544"/>
      </w:tblGrid>
      <w:tr w:rsidR="00C92CD8" w14:paraId="12BC4129" w14:textId="77777777" w:rsidTr="00B97332">
        <w:trPr>
          <w:trHeight w:val="300"/>
        </w:trPr>
        <w:tc>
          <w:tcPr>
            <w:tcW w:w="8931" w:type="dxa"/>
            <w:gridSpan w:val="2"/>
            <w:tcBorders>
              <w:top w:val="nil"/>
              <w:left w:val="nil"/>
              <w:bottom w:val="nil"/>
              <w:right w:val="nil"/>
            </w:tcBorders>
            <w:shd w:val="clear" w:color="auto" w:fill="auto"/>
            <w:noWrap/>
            <w:vAlign w:val="bottom"/>
            <w:hideMark/>
          </w:tcPr>
          <w:p w14:paraId="32944304" w14:textId="77777777" w:rsidR="00146FD5" w:rsidRDefault="004A7A82" w:rsidP="00B97332">
            <w:pPr>
              <w:rPr>
                <w:rFonts w:eastAsia="Times New Roman" w:cs="Arial"/>
                <w:b/>
                <w:bCs/>
                <w:color w:val="000000"/>
                <w:u w:val="single"/>
              </w:rPr>
            </w:pPr>
            <w:r>
              <w:rPr>
                <w:rFonts w:eastAsia="Times New Roman" w:cs="Arial"/>
                <w:b/>
                <w:bCs/>
                <w:color w:val="000000"/>
                <w:u w:val="single"/>
              </w:rPr>
              <w:lastRenderedPageBreak/>
              <w:t xml:space="preserve">4.8 </w:t>
            </w:r>
            <w:r w:rsidRPr="00CE2155">
              <w:rPr>
                <w:rFonts w:eastAsia="Times New Roman" w:cs="Arial"/>
                <w:b/>
                <w:bCs/>
                <w:color w:val="000000"/>
                <w:u w:val="single"/>
              </w:rPr>
              <w:t>Director of Organisational Development and Change</w:t>
            </w:r>
          </w:p>
          <w:p w14:paraId="6085E50A" w14:textId="77777777" w:rsidR="000A5B26" w:rsidRDefault="000A5B26" w:rsidP="00B97332">
            <w:pPr>
              <w:rPr>
                <w:rFonts w:eastAsia="Times New Roman" w:cs="Arial"/>
                <w:b/>
                <w:bCs/>
                <w:color w:val="000000"/>
                <w:u w:val="single"/>
              </w:rPr>
            </w:pPr>
          </w:p>
          <w:p w14:paraId="7CDBAE57" w14:textId="77777777" w:rsidR="00146FD5" w:rsidRPr="00CE2155" w:rsidRDefault="00146FD5" w:rsidP="00B97332">
            <w:pPr>
              <w:rPr>
                <w:rFonts w:eastAsia="Times New Roman" w:cs="Arial"/>
                <w:b/>
                <w:bCs/>
                <w:color w:val="000000"/>
                <w:u w:val="single"/>
              </w:rPr>
            </w:pPr>
          </w:p>
        </w:tc>
      </w:tr>
      <w:tr w:rsidR="00C92CD8" w14:paraId="3AF5402F" w14:textId="77777777" w:rsidTr="00B97332">
        <w:trPr>
          <w:trHeight w:val="600"/>
        </w:trPr>
        <w:tc>
          <w:tcPr>
            <w:tcW w:w="5387" w:type="dxa"/>
            <w:tcBorders>
              <w:top w:val="single" w:sz="4" w:space="0" w:color="auto"/>
              <w:left w:val="single" w:sz="4" w:space="0" w:color="auto"/>
              <w:bottom w:val="single" w:sz="4" w:space="0" w:color="auto"/>
              <w:right w:val="nil"/>
            </w:tcBorders>
            <w:shd w:val="clear" w:color="auto" w:fill="auto"/>
            <w:noWrap/>
            <w:vAlign w:val="bottom"/>
            <w:hideMark/>
          </w:tcPr>
          <w:p w14:paraId="5B1C779E"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5CB4D" w14:textId="77777777" w:rsidR="00146FD5" w:rsidRPr="00CE2155" w:rsidRDefault="004A7A82" w:rsidP="00B97332">
            <w:pPr>
              <w:jc w:val="center"/>
              <w:rPr>
                <w:rFonts w:eastAsia="Times New Roman" w:cs="Arial"/>
                <w:b/>
                <w:bCs/>
                <w:color w:val="000000"/>
              </w:rPr>
            </w:pPr>
            <w:r w:rsidRPr="00CE2155">
              <w:rPr>
                <w:rFonts w:eastAsia="Times New Roman" w:cs="Arial"/>
                <w:b/>
                <w:bCs/>
                <w:color w:val="000000"/>
              </w:rPr>
              <w:t>2024/25 Budget (£m)</w:t>
            </w:r>
          </w:p>
        </w:tc>
      </w:tr>
      <w:tr w:rsidR="00C92CD8" w14:paraId="6CBAA32F" w14:textId="77777777" w:rsidTr="00B97332">
        <w:trPr>
          <w:trHeight w:val="300"/>
        </w:trPr>
        <w:tc>
          <w:tcPr>
            <w:tcW w:w="5387" w:type="dxa"/>
            <w:tcBorders>
              <w:top w:val="nil"/>
              <w:left w:val="single" w:sz="4" w:space="0" w:color="auto"/>
              <w:bottom w:val="nil"/>
              <w:right w:val="nil"/>
            </w:tcBorders>
            <w:shd w:val="clear" w:color="auto" w:fill="auto"/>
            <w:noWrap/>
            <w:vAlign w:val="bottom"/>
            <w:hideMark/>
          </w:tcPr>
          <w:p w14:paraId="6DAC249C"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nil"/>
              <w:left w:val="single" w:sz="4" w:space="0" w:color="auto"/>
              <w:bottom w:val="nil"/>
              <w:right w:val="single" w:sz="4" w:space="0" w:color="auto"/>
            </w:tcBorders>
            <w:shd w:val="clear" w:color="auto" w:fill="auto"/>
            <w:noWrap/>
            <w:vAlign w:val="center"/>
            <w:hideMark/>
          </w:tcPr>
          <w:p w14:paraId="00057734" w14:textId="77777777" w:rsidR="00146FD5" w:rsidRPr="00CE2155" w:rsidRDefault="004A7A82" w:rsidP="00B97332">
            <w:pPr>
              <w:jc w:val="center"/>
              <w:rPr>
                <w:rFonts w:eastAsia="Times New Roman" w:cs="Arial"/>
                <w:color w:val="000000"/>
              </w:rPr>
            </w:pPr>
            <w:r w:rsidRPr="00CE2155">
              <w:rPr>
                <w:rFonts w:eastAsia="Times New Roman" w:cs="Arial"/>
                <w:color w:val="000000"/>
              </w:rPr>
              <w:t> </w:t>
            </w:r>
          </w:p>
        </w:tc>
      </w:tr>
      <w:tr w:rsidR="00C92CD8" w14:paraId="38F8365D"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4F13431A" w14:textId="77777777" w:rsidR="00146FD5" w:rsidRPr="00CE2155" w:rsidRDefault="004A7A82" w:rsidP="00B97332">
            <w:pPr>
              <w:rPr>
                <w:rFonts w:eastAsia="Times New Roman" w:cs="Arial"/>
                <w:b/>
                <w:bCs/>
                <w:color w:val="000000"/>
              </w:rPr>
            </w:pPr>
            <w:r w:rsidRPr="00CE2155">
              <w:rPr>
                <w:rFonts w:eastAsia="Times New Roman" w:cs="Arial"/>
                <w:b/>
                <w:bCs/>
                <w:color w:val="000000"/>
              </w:rPr>
              <w:t>Expenditure</w:t>
            </w:r>
          </w:p>
        </w:tc>
        <w:tc>
          <w:tcPr>
            <w:tcW w:w="3544" w:type="dxa"/>
            <w:tcBorders>
              <w:top w:val="nil"/>
              <w:left w:val="single" w:sz="4" w:space="0" w:color="auto"/>
              <w:bottom w:val="nil"/>
              <w:right w:val="single" w:sz="4" w:space="0" w:color="auto"/>
            </w:tcBorders>
            <w:shd w:val="clear" w:color="auto" w:fill="auto"/>
            <w:noWrap/>
            <w:vAlign w:val="bottom"/>
            <w:hideMark/>
          </w:tcPr>
          <w:p w14:paraId="31021BFB" w14:textId="77777777" w:rsidR="00146FD5" w:rsidRPr="00CE2155" w:rsidRDefault="004A7A82" w:rsidP="00B97332">
            <w:pPr>
              <w:rPr>
                <w:rFonts w:eastAsia="Times New Roman" w:cs="Arial"/>
                <w:color w:val="000000"/>
              </w:rPr>
            </w:pPr>
            <w:r w:rsidRPr="00CE2155">
              <w:rPr>
                <w:rFonts w:eastAsia="Times New Roman" w:cs="Arial"/>
                <w:color w:val="000000"/>
              </w:rPr>
              <w:t> </w:t>
            </w:r>
          </w:p>
        </w:tc>
      </w:tr>
      <w:tr w:rsidR="00C92CD8" w14:paraId="375FCF57"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254A60E2" w14:textId="77777777" w:rsidR="00146FD5" w:rsidRPr="00CE2155" w:rsidRDefault="004A7A82" w:rsidP="00B97332">
            <w:pPr>
              <w:rPr>
                <w:rFonts w:eastAsia="Times New Roman" w:cs="Arial"/>
                <w:color w:val="000000"/>
              </w:rPr>
            </w:pPr>
            <w:r w:rsidRPr="00CE2155">
              <w:rPr>
                <w:rFonts w:eastAsia="Times New Roman" w:cs="Arial"/>
                <w:color w:val="000000"/>
              </w:rPr>
              <w:t>Employees</w:t>
            </w:r>
          </w:p>
        </w:tc>
        <w:tc>
          <w:tcPr>
            <w:tcW w:w="3544" w:type="dxa"/>
            <w:tcBorders>
              <w:top w:val="nil"/>
              <w:left w:val="single" w:sz="4" w:space="0" w:color="auto"/>
              <w:bottom w:val="nil"/>
              <w:right w:val="single" w:sz="4" w:space="0" w:color="auto"/>
            </w:tcBorders>
            <w:shd w:val="clear" w:color="auto" w:fill="auto"/>
            <w:noWrap/>
            <w:vAlign w:val="bottom"/>
            <w:hideMark/>
          </w:tcPr>
          <w:p w14:paraId="31738270"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2.209 </w:t>
            </w:r>
          </w:p>
        </w:tc>
      </w:tr>
      <w:tr w:rsidR="00C92CD8" w14:paraId="2223DEA1"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71A20F79" w14:textId="77777777" w:rsidR="00146FD5" w:rsidRPr="00CE2155" w:rsidRDefault="004A7A82" w:rsidP="00B97332">
            <w:pPr>
              <w:rPr>
                <w:rFonts w:eastAsia="Times New Roman" w:cs="Arial"/>
                <w:color w:val="000000"/>
              </w:rPr>
            </w:pPr>
            <w:r w:rsidRPr="00CE2155">
              <w:rPr>
                <w:rFonts w:eastAsia="Times New Roman" w:cs="Arial"/>
                <w:color w:val="000000"/>
              </w:rPr>
              <w:t>Premises</w:t>
            </w:r>
          </w:p>
        </w:tc>
        <w:tc>
          <w:tcPr>
            <w:tcW w:w="3544" w:type="dxa"/>
            <w:tcBorders>
              <w:top w:val="nil"/>
              <w:left w:val="single" w:sz="4" w:space="0" w:color="auto"/>
              <w:bottom w:val="nil"/>
              <w:right w:val="single" w:sz="4" w:space="0" w:color="auto"/>
            </w:tcBorders>
            <w:shd w:val="clear" w:color="auto" w:fill="auto"/>
            <w:noWrap/>
            <w:vAlign w:val="bottom"/>
            <w:hideMark/>
          </w:tcPr>
          <w:p w14:paraId="7138911C"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70CEE056"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552078EA" w14:textId="77777777" w:rsidR="00146FD5" w:rsidRPr="00CE2155" w:rsidRDefault="004A7A82" w:rsidP="00B97332">
            <w:pPr>
              <w:rPr>
                <w:rFonts w:eastAsia="Times New Roman" w:cs="Arial"/>
                <w:color w:val="000000"/>
              </w:rPr>
            </w:pPr>
            <w:r w:rsidRPr="00CE2155">
              <w:rPr>
                <w:rFonts w:eastAsia="Times New Roman" w:cs="Arial"/>
                <w:color w:val="000000"/>
              </w:rPr>
              <w:t>Transport</w:t>
            </w:r>
          </w:p>
        </w:tc>
        <w:tc>
          <w:tcPr>
            <w:tcW w:w="3544" w:type="dxa"/>
            <w:tcBorders>
              <w:top w:val="nil"/>
              <w:left w:val="single" w:sz="4" w:space="0" w:color="auto"/>
              <w:bottom w:val="nil"/>
              <w:right w:val="single" w:sz="4" w:space="0" w:color="auto"/>
            </w:tcBorders>
            <w:shd w:val="clear" w:color="auto" w:fill="auto"/>
            <w:noWrap/>
            <w:vAlign w:val="bottom"/>
            <w:hideMark/>
          </w:tcPr>
          <w:p w14:paraId="59CB8C36"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0.007 </w:t>
            </w:r>
          </w:p>
        </w:tc>
      </w:tr>
      <w:tr w:rsidR="00C92CD8" w14:paraId="2D4E59BA"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4B813296" w14:textId="77777777" w:rsidR="00146FD5" w:rsidRPr="00CE2155" w:rsidRDefault="004A7A82" w:rsidP="00B97332">
            <w:pPr>
              <w:rPr>
                <w:rFonts w:eastAsia="Times New Roman" w:cs="Arial"/>
                <w:color w:val="000000"/>
              </w:rPr>
            </w:pPr>
            <w:r w:rsidRPr="00CE2155">
              <w:rPr>
                <w:rFonts w:eastAsia="Times New Roman" w:cs="Arial"/>
                <w:color w:val="000000"/>
              </w:rPr>
              <w:t>Supplies and Services</w:t>
            </w:r>
          </w:p>
        </w:tc>
        <w:tc>
          <w:tcPr>
            <w:tcW w:w="3544" w:type="dxa"/>
            <w:tcBorders>
              <w:top w:val="nil"/>
              <w:left w:val="single" w:sz="4" w:space="0" w:color="auto"/>
              <w:bottom w:val="nil"/>
              <w:right w:val="single" w:sz="4" w:space="0" w:color="auto"/>
            </w:tcBorders>
            <w:shd w:val="clear" w:color="auto" w:fill="auto"/>
            <w:noWrap/>
            <w:vAlign w:val="bottom"/>
            <w:hideMark/>
          </w:tcPr>
          <w:p w14:paraId="367E7B56"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0.046 </w:t>
            </w:r>
          </w:p>
        </w:tc>
      </w:tr>
      <w:tr w:rsidR="00C92CD8" w14:paraId="666BFE55"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31D4F2FD" w14:textId="77777777" w:rsidR="00146FD5" w:rsidRPr="00CE2155" w:rsidRDefault="004A7A82" w:rsidP="00B97332">
            <w:pPr>
              <w:rPr>
                <w:rFonts w:eastAsia="Times New Roman" w:cs="Arial"/>
                <w:color w:val="000000"/>
              </w:rPr>
            </w:pPr>
            <w:r w:rsidRPr="00CE2155">
              <w:rPr>
                <w:rFonts w:eastAsia="Times New Roman" w:cs="Arial"/>
                <w:color w:val="000000"/>
              </w:rPr>
              <w:t>Third Party Payments</w:t>
            </w:r>
          </w:p>
        </w:tc>
        <w:tc>
          <w:tcPr>
            <w:tcW w:w="3544" w:type="dxa"/>
            <w:tcBorders>
              <w:top w:val="nil"/>
              <w:left w:val="single" w:sz="4" w:space="0" w:color="auto"/>
              <w:bottom w:val="nil"/>
              <w:right w:val="single" w:sz="4" w:space="0" w:color="auto"/>
            </w:tcBorders>
            <w:shd w:val="clear" w:color="auto" w:fill="auto"/>
            <w:noWrap/>
            <w:vAlign w:val="bottom"/>
            <w:hideMark/>
          </w:tcPr>
          <w:p w14:paraId="517A9326"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6859C074"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5808E170" w14:textId="77777777" w:rsidR="00146FD5" w:rsidRPr="00CE2155" w:rsidRDefault="004A7A82" w:rsidP="00B97332">
            <w:pPr>
              <w:rPr>
                <w:rFonts w:eastAsia="Times New Roman" w:cs="Arial"/>
                <w:color w:val="000000"/>
              </w:rPr>
            </w:pPr>
            <w:r w:rsidRPr="00CE2155">
              <w:rPr>
                <w:rFonts w:eastAsia="Times New Roman" w:cs="Arial"/>
                <w:color w:val="000000"/>
              </w:rPr>
              <w:t>Transfer Payments</w:t>
            </w:r>
          </w:p>
        </w:tc>
        <w:tc>
          <w:tcPr>
            <w:tcW w:w="3544" w:type="dxa"/>
            <w:tcBorders>
              <w:top w:val="nil"/>
              <w:left w:val="single" w:sz="4" w:space="0" w:color="auto"/>
              <w:bottom w:val="nil"/>
              <w:right w:val="single" w:sz="4" w:space="0" w:color="auto"/>
            </w:tcBorders>
            <w:shd w:val="clear" w:color="auto" w:fill="auto"/>
            <w:noWrap/>
            <w:vAlign w:val="bottom"/>
            <w:hideMark/>
          </w:tcPr>
          <w:p w14:paraId="67BD685E"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6DE1E274"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563907F8" w14:textId="77777777" w:rsidR="00146FD5" w:rsidRPr="00CE2155" w:rsidRDefault="004A7A82" w:rsidP="00B97332">
            <w:pPr>
              <w:rPr>
                <w:rFonts w:eastAsia="Times New Roman" w:cs="Arial"/>
                <w:color w:val="000000"/>
              </w:rPr>
            </w:pPr>
            <w:r w:rsidRPr="00CE2155">
              <w:rPr>
                <w:rFonts w:eastAsia="Times New Roman" w:cs="Arial"/>
                <w:color w:val="000000"/>
              </w:rPr>
              <w:t>Capital Financing</w:t>
            </w:r>
          </w:p>
        </w:tc>
        <w:tc>
          <w:tcPr>
            <w:tcW w:w="3544" w:type="dxa"/>
            <w:tcBorders>
              <w:top w:val="nil"/>
              <w:left w:val="single" w:sz="4" w:space="0" w:color="auto"/>
              <w:bottom w:val="nil"/>
              <w:right w:val="single" w:sz="4" w:space="0" w:color="auto"/>
            </w:tcBorders>
            <w:shd w:val="clear" w:color="auto" w:fill="auto"/>
            <w:noWrap/>
            <w:vAlign w:val="bottom"/>
            <w:hideMark/>
          </w:tcPr>
          <w:p w14:paraId="64F38929"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48AD6168"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0DB95FF3" w14:textId="77777777" w:rsidR="00146FD5" w:rsidRPr="00CE2155" w:rsidRDefault="004A7A82" w:rsidP="00B97332">
            <w:pPr>
              <w:rPr>
                <w:rFonts w:eastAsia="Times New Roman" w:cs="Arial"/>
                <w:color w:val="000000"/>
              </w:rPr>
            </w:pPr>
            <w:r w:rsidRPr="00CE2155">
              <w:rPr>
                <w:rFonts w:eastAsia="Times New Roman" w:cs="Arial"/>
                <w:color w:val="000000"/>
              </w:rPr>
              <w:t>Contribution to Reserves</w:t>
            </w:r>
          </w:p>
        </w:tc>
        <w:tc>
          <w:tcPr>
            <w:tcW w:w="3544" w:type="dxa"/>
            <w:tcBorders>
              <w:top w:val="nil"/>
              <w:left w:val="single" w:sz="4" w:space="0" w:color="auto"/>
              <w:bottom w:val="nil"/>
              <w:right w:val="single" w:sz="4" w:space="0" w:color="auto"/>
            </w:tcBorders>
            <w:shd w:val="clear" w:color="auto" w:fill="auto"/>
            <w:noWrap/>
            <w:vAlign w:val="bottom"/>
            <w:hideMark/>
          </w:tcPr>
          <w:p w14:paraId="1BA29EA8"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75CFA4EE"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3E7EAC79"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Expenditure</w:t>
            </w:r>
          </w:p>
        </w:tc>
        <w:tc>
          <w:tcPr>
            <w:tcW w:w="3544" w:type="dxa"/>
            <w:tcBorders>
              <w:top w:val="nil"/>
              <w:left w:val="single" w:sz="4" w:space="0" w:color="auto"/>
              <w:bottom w:val="nil"/>
              <w:right w:val="single" w:sz="4" w:space="0" w:color="auto"/>
            </w:tcBorders>
            <w:shd w:val="clear" w:color="auto" w:fill="auto"/>
            <w:noWrap/>
            <w:vAlign w:val="bottom"/>
            <w:hideMark/>
          </w:tcPr>
          <w:p w14:paraId="1CAB61B2"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2.262 </w:t>
            </w:r>
          </w:p>
        </w:tc>
      </w:tr>
      <w:tr w:rsidR="00C92CD8" w14:paraId="61B1C221"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39F7324D"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nil"/>
              <w:left w:val="single" w:sz="4" w:space="0" w:color="auto"/>
              <w:bottom w:val="nil"/>
              <w:right w:val="single" w:sz="4" w:space="0" w:color="auto"/>
            </w:tcBorders>
            <w:shd w:val="clear" w:color="auto" w:fill="auto"/>
            <w:noWrap/>
            <w:vAlign w:val="bottom"/>
            <w:hideMark/>
          </w:tcPr>
          <w:p w14:paraId="5B5186EB"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3E2A5F90"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7B71673E" w14:textId="77777777" w:rsidR="00146FD5" w:rsidRPr="00CE2155" w:rsidRDefault="004A7A82" w:rsidP="00B97332">
            <w:pPr>
              <w:rPr>
                <w:rFonts w:eastAsia="Times New Roman" w:cs="Arial"/>
                <w:b/>
                <w:bCs/>
                <w:color w:val="000000"/>
              </w:rPr>
            </w:pPr>
            <w:r w:rsidRPr="00CE2155">
              <w:rPr>
                <w:rFonts w:eastAsia="Times New Roman" w:cs="Arial"/>
                <w:b/>
                <w:bCs/>
                <w:color w:val="000000"/>
              </w:rPr>
              <w:t>Income</w:t>
            </w:r>
          </w:p>
        </w:tc>
        <w:tc>
          <w:tcPr>
            <w:tcW w:w="3544" w:type="dxa"/>
            <w:tcBorders>
              <w:top w:val="nil"/>
              <w:left w:val="single" w:sz="4" w:space="0" w:color="auto"/>
              <w:bottom w:val="nil"/>
              <w:right w:val="single" w:sz="4" w:space="0" w:color="auto"/>
            </w:tcBorders>
            <w:shd w:val="clear" w:color="auto" w:fill="auto"/>
            <w:noWrap/>
            <w:vAlign w:val="bottom"/>
            <w:hideMark/>
          </w:tcPr>
          <w:p w14:paraId="4892AE02"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40C1DA9E"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7AA0F32C" w14:textId="77777777" w:rsidR="00146FD5" w:rsidRPr="00CE2155" w:rsidRDefault="004A7A82" w:rsidP="00B97332">
            <w:pPr>
              <w:rPr>
                <w:rFonts w:eastAsia="Times New Roman" w:cs="Arial"/>
                <w:color w:val="000000"/>
              </w:rPr>
            </w:pPr>
            <w:r w:rsidRPr="00CE2155">
              <w:rPr>
                <w:rFonts w:eastAsia="Times New Roman" w:cs="Arial"/>
                <w:color w:val="000000"/>
              </w:rPr>
              <w:t>Customer and Client Receipts</w:t>
            </w:r>
          </w:p>
        </w:tc>
        <w:tc>
          <w:tcPr>
            <w:tcW w:w="3544" w:type="dxa"/>
            <w:tcBorders>
              <w:top w:val="nil"/>
              <w:left w:val="single" w:sz="4" w:space="0" w:color="auto"/>
              <w:bottom w:val="nil"/>
              <w:right w:val="single" w:sz="4" w:space="0" w:color="auto"/>
            </w:tcBorders>
            <w:shd w:val="clear" w:color="auto" w:fill="auto"/>
            <w:noWrap/>
            <w:vAlign w:val="bottom"/>
            <w:hideMark/>
          </w:tcPr>
          <w:p w14:paraId="0B9DD35A"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0B0B38CA"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67ECBEB5" w14:textId="77777777" w:rsidR="00146FD5" w:rsidRPr="00CE2155" w:rsidRDefault="004A7A82" w:rsidP="00B97332">
            <w:pPr>
              <w:rPr>
                <w:rFonts w:eastAsia="Times New Roman" w:cs="Arial"/>
                <w:color w:val="000000"/>
              </w:rPr>
            </w:pPr>
            <w:r w:rsidRPr="00CE2155">
              <w:rPr>
                <w:rFonts w:eastAsia="Times New Roman" w:cs="Arial"/>
                <w:color w:val="000000"/>
              </w:rPr>
              <w:t>Government Grants</w:t>
            </w:r>
          </w:p>
        </w:tc>
        <w:tc>
          <w:tcPr>
            <w:tcW w:w="3544" w:type="dxa"/>
            <w:tcBorders>
              <w:top w:val="nil"/>
              <w:left w:val="single" w:sz="4" w:space="0" w:color="auto"/>
              <w:bottom w:val="nil"/>
              <w:right w:val="single" w:sz="4" w:space="0" w:color="auto"/>
            </w:tcBorders>
            <w:shd w:val="clear" w:color="auto" w:fill="auto"/>
            <w:noWrap/>
            <w:vAlign w:val="bottom"/>
            <w:hideMark/>
          </w:tcPr>
          <w:p w14:paraId="005D0165"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7752DDCD"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488E6098" w14:textId="77777777" w:rsidR="00146FD5" w:rsidRPr="00CE2155" w:rsidRDefault="004A7A82" w:rsidP="00B97332">
            <w:pPr>
              <w:rPr>
                <w:rFonts w:eastAsia="Times New Roman" w:cs="Arial"/>
                <w:color w:val="000000"/>
              </w:rPr>
            </w:pPr>
            <w:r w:rsidRPr="00CE2155">
              <w:rPr>
                <w:rFonts w:eastAsia="Times New Roman" w:cs="Arial"/>
                <w:color w:val="000000"/>
              </w:rPr>
              <w:t>Recharges</w:t>
            </w:r>
          </w:p>
        </w:tc>
        <w:tc>
          <w:tcPr>
            <w:tcW w:w="3544" w:type="dxa"/>
            <w:tcBorders>
              <w:top w:val="nil"/>
              <w:left w:val="single" w:sz="4" w:space="0" w:color="auto"/>
              <w:bottom w:val="nil"/>
              <w:right w:val="single" w:sz="4" w:space="0" w:color="auto"/>
            </w:tcBorders>
            <w:shd w:val="clear" w:color="auto" w:fill="auto"/>
            <w:noWrap/>
            <w:vAlign w:val="bottom"/>
            <w:hideMark/>
          </w:tcPr>
          <w:p w14:paraId="191C8CD1"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687FD09E"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4114044C" w14:textId="77777777" w:rsidR="00146FD5" w:rsidRPr="00CE2155" w:rsidRDefault="004A7A82" w:rsidP="00B97332">
            <w:pPr>
              <w:rPr>
                <w:rFonts w:eastAsia="Times New Roman" w:cs="Arial"/>
                <w:color w:val="000000"/>
              </w:rPr>
            </w:pPr>
            <w:r w:rsidRPr="00CE2155">
              <w:rPr>
                <w:rFonts w:eastAsia="Times New Roman" w:cs="Arial"/>
                <w:color w:val="000000"/>
              </w:rPr>
              <w:t>Other Grants and Contributions</w:t>
            </w:r>
          </w:p>
        </w:tc>
        <w:tc>
          <w:tcPr>
            <w:tcW w:w="3544" w:type="dxa"/>
            <w:tcBorders>
              <w:top w:val="nil"/>
              <w:left w:val="single" w:sz="4" w:space="0" w:color="auto"/>
              <w:bottom w:val="nil"/>
              <w:right w:val="single" w:sz="4" w:space="0" w:color="auto"/>
            </w:tcBorders>
            <w:shd w:val="clear" w:color="auto" w:fill="auto"/>
            <w:noWrap/>
            <w:vAlign w:val="bottom"/>
            <w:hideMark/>
          </w:tcPr>
          <w:p w14:paraId="37F5B725"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   </w:t>
            </w:r>
          </w:p>
        </w:tc>
      </w:tr>
      <w:tr w:rsidR="00C92CD8" w14:paraId="51EF62A1"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0A7336DC" w14:textId="77777777" w:rsidR="00146FD5" w:rsidRPr="00CE2155" w:rsidRDefault="004A7A82" w:rsidP="00B97332">
            <w:pPr>
              <w:rPr>
                <w:rFonts w:eastAsia="Times New Roman" w:cs="Arial"/>
                <w:color w:val="000000"/>
              </w:rPr>
            </w:pPr>
            <w:r w:rsidRPr="00CE2155">
              <w:rPr>
                <w:rFonts w:eastAsia="Times New Roman" w:cs="Arial"/>
                <w:color w:val="000000"/>
              </w:rPr>
              <w:t>Contribution from Reserves</w:t>
            </w:r>
          </w:p>
        </w:tc>
        <w:tc>
          <w:tcPr>
            <w:tcW w:w="3544" w:type="dxa"/>
            <w:tcBorders>
              <w:top w:val="nil"/>
              <w:left w:val="single" w:sz="4" w:space="0" w:color="auto"/>
              <w:bottom w:val="nil"/>
              <w:right w:val="single" w:sz="4" w:space="0" w:color="auto"/>
            </w:tcBorders>
            <w:shd w:val="clear" w:color="auto" w:fill="auto"/>
            <w:noWrap/>
            <w:vAlign w:val="bottom"/>
            <w:hideMark/>
          </w:tcPr>
          <w:p w14:paraId="010C5A43" w14:textId="77777777" w:rsidR="00146FD5" w:rsidRPr="00CE2155" w:rsidRDefault="004A7A82" w:rsidP="00B97332">
            <w:pPr>
              <w:jc w:val="right"/>
              <w:rPr>
                <w:rFonts w:eastAsia="Times New Roman" w:cs="Arial"/>
                <w:color w:val="000000"/>
              </w:rPr>
            </w:pPr>
            <w:r w:rsidRPr="00CE2155">
              <w:rPr>
                <w:rFonts w:eastAsia="Times New Roman" w:cs="Arial"/>
                <w:color w:val="000000"/>
              </w:rPr>
              <w:t xml:space="preserve">                                       0.102 </w:t>
            </w:r>
          </w:p>
        </w:tc>
      </w:tr>
      <w:tr w:rsidR="00C92CD8" w14:paraId="31B95B36"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67A78D5C" w14:textId="77777777" w:rsidR="00146FD5" w:rsidRPr="00CE2155" w:rsidRDefault="004A7A82" w:rsidP="00B97332">
            <w:pPr>
              <w:rPr>
                <w:rFonts w:eastAsia="Times New Roman" w:cs="Arial"/>
                <w:b/>
                <w:bCs/>
                <w:color w:val="000000"/>
              </w:rPr>
            </w:pPr>
            <w:r w:rsidRPr="00CE2155">
              <w:rPr>
                <w:rFonts w:eastAsia="Times New Roman" w:cs="Arial"/>
                <w:b/>
                <w:bCs/>
                <w:color w:val="000000"/>
              </w:rPr>
              <w:t>Total Income</w:t>
            </w:r>
          </w:p>
        </w:tc>
        <w:tc>
          <w:tcPr>
            <w:tcW w:w="3544" w:type="dxa"/>
            <w:tcBorders>
              <w:top w:val="nil"/>
              <w:left w:val="single" w:sz="4" w:space="0" w:color="auto"/>
              <w:bottom w:val="nil"/>
              <w:right w:val="single" w:sz="4" w:space="0" w:color="auto"/>
            </w:tcBorders>
            <w:shd w:val="clear" w:color="auto" w:fill="auto"/>
            <w:noWrap/>
            <w:vAlign w:val="bottom"/>
            <w:hideMark/>
          </w:tcPr>
          <w:p w14:paraId="21E6E3AE"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0.102 </w:t>
            </w:r>
          </w:p>
        </w:tc>
      </w:tr>
      <w:tr w:rsidR="00C92CD8" w14:paraId="32805FEE" w14:textId="77777777" w:rsidTr="00B97332">
        <w:trPr>
          <w:trHeight w:val="300"/>
        </w:trPr>
        <w:tc>
          <w:tcPr>
            <w:tcW w:w="5387" w:type="dxa"/>
            <w:tcBorders>
              <w:top w:val="nil"/>
              <w:left w:val="single" w:sz="4" w:space="0" w:color="auto"/>
              <w:bottom w:val="nil"/>
              <w:right w:val="nil"/>
            </w:tcBorders>
            <w:shd w:val="clear" w:color="auto" w:fill="auto"/>
            <w:noWrap/>
            <w:vAlign w:val="center"/>
            <w:hideMark/>
          </w:tcPr>
          <w:p w14:paraId="2EECE7A8" w14:textId="77777777" w:rsidR="00146FD5" w:rsidRPr="00CE2155" w:rsidRDefault="004A7A82" w:rsidP="00B97332">
            <w:pPr>
              <w:rPr>
                <w:rFonts w:eastAsia="Times New Roman" w:cs="Arial"/>
                <w:color w:val="000000"/>
              </w:rPr>
            </w:pPr>
            <w:r w:rsidRPr="00CE2155">
              <w:rPr>
                <w:rFonts w:eastAsia="Times New Roman" w:cs="Arial"/>
                <w:color w:val="000000"/>
              </w:rPr>
              <w:t> </w:t>
            </w:r>
          </w:p>
        </w:tc>
        <w:tc>
          <w:tcPr>
            <w:tcW w:w="3544" w:type="dxa"/>
            <w:tcBorders>
              <w:top w:val="nil"/>
              <w:left w:val="single" w:sz="4" w:space="0" w:color="auto"/>
              <w:bottom w:val="nil"/>
              <w:right w:val="single" w:sz="4" w:space="0" w:color="auto"/>
            </w:tcBorders>
            <w:shd w:val="clear" w:color="auto" w:fill="auto"/>
            <w:noWrap/>
            <w:vAlign w:val="bottom"/>
            <w:hideMark/>
          </w:tcPr>
          <w:p w14:paraId="517FE4FB" w14:textId="77777777" w:rsidR="00146FD5" w:rsidRPr="00CE2155" w:rsidRDefault="004A7A82" w:rsidP="00B97332">
            <w:pPr>
              <w:jc w:val="right"/>
              <w:rPr>
                <w:rFonts w:eastAsia="Times New Roman" w:cs="Arial"/>
                <w:color w:val="000000"/>
              </w:rPr>
            </w:pPr>
            <w:r w:rsidRPr="00CE2155">
              <w:rPr>
                <w:rFonts w:eastAsia="Times New Roman" w:cs="Arial"/>
                <w:color w:val="000000"/>
              </w:rPr>
              <w:t> </w:t>
            </w:r>
          </w:p>
        </w:tc>
      </w:tr>
      <w:tr w:rsidR="00C92CD8" w14:paraId="4368CB4B" w14:textId="77777777" w:rsidTr="00B97332">
        <w:trPr>
          <w:trHeight w:val="300"/>
        </w:trPr>
        <w:tc>
          <w:tcPr>
            <w:tcW w:w="5387" w:type="dxa"/>
            <w:tcBorders>
              <w:top w:val="single" w:sz="4" w:space="0" w:color="auto"/>
              <w:left w:val="single" w:sz="4" w:space="0" w:color="auto"/>
              <w:bottom w:val="single" w:sz="4" w:space="0" w:color="auto"/>
              <w:right w:val="nil"/>
            </w:tcBorders>
            <w:shd w:val="clear" w:color="auto" w:fill="auto"/>
            <w:noWrap/>
            <w:vAlign w:val="center"/>
            <w:hideMark/>
          </w:tcPr>
          <w:p w14:paraId="01ECF2C6" w14:textId="77777777" w:rsidR="00146FD5" w:rsidRPr="00CE2155" w:rsidRDefault="004A7A82" w:rsidP="00B97332">
            <w:pPr>
              <w:rPr>
                <w:rFonts w:eastAsia="Times New Roman" w:cs="Arial"/>
                <w:b/>
                <w:bCs/>
                <w:color w:val="000000"/>
              </w:rPr>
            </w:pPr>
            <w:r w:rsidRPr="00CE2155">
              <w:rPr>
                <w:rFonts w:eastAsia="Times New Roman" w:cs="Arial"/>
                <w:b/>
                <w:bCs/>
                <w:color w:val="000000"/>
              </w:rPr>
              <w:t>Net Expenditure</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A4A14" w14:textId="77777777" w:rsidR="00146FD5" w:rsidRPr="00CE2155" w:rsidRDefault="004A7A82" w:rsidP="00B97332">
            <w:pPr>
              <w:jc w:val="right"/>
              <w:rPr>
                <w:rFonts w:eastAsia="Times New Roman" w:cs="Arial"/>
                <w:b/>
                <w:bCs/>
                <w:color w:val="000000"/>
              </w:rPr>
            </w:pPr>
            <w:r w:rsidRPr="00CE2155">
              <w:rPr>
                <w:rFonts w:eastAsia="Times New Roman" w:cs="Arial"/>
                <w:b/>
                <w:bCs/>
                <w:color w:val="000000"/>
              </w:rPr>
              <w:t xml:space="preserve">                                       2.160 </w:t>
            </w:r>
          </w:p>
        </w:tc>
      </w:tr>
    </w:tbl>
    <w:p w14:paraId="264BC78D" w14:textId="1830BC90" w:rsidR="00146FD5" w:rsidRDefault="00146FD5" w:rsidP="00146FD5">
      <w:pPr>
        <w:rPr>
          <w:rFonts w:cs="Arial"/>
        </w:rPr>
      </w:pPr>
    </w:p>
    <w:p w14:paraId="4B85EF0D" w14:textId="77777777" w:rsidR="000A5B26" w:rsidRDefault="000A5B26" w:rsidP="00146FD5">
      <w:pPr>
        <w:rPr>
          <w:rFonts w:cs="Arial"/>
        </w:rPr>
      </w:pPr>
    </w:p>
    <w:p w14:paraId="236E4612" w14:textId="77777777" w:rsidR="000A5B26" w:rsidRDefault="000A5B26" w:rsidP="00146FD5">
      <w:pPr>
        <w:rPr>
          <w:rFonts w:cs="Arial"/>
        </w:rPr>
      </w:pPr>
    </w:p>
    <w:p w14:paraId="2DF57029" w14:textId="77777777" w:rsidR="000A5B26" w:rsidRDefault="000A5B26" w:rsidP="00146FD5">
      <w:pPr>
        <w:rPr>
          <w:rFonts w:cs="Arial"/>
        </w:rPr>
      </w:pPr>
    </w:p>
    <w:p w14:paraId="1B47FE0F" w14:textId="77777777" w:rsidR="000A5B26" w:rsidRDefault="000A5B26" w:rsidP="00146FD5">
      <w:pPr>
        <w:rPr>
          <w:rFonts w:cs="Arial"/>
        </w:rPr>
      </w:pPr>
    </w:p>
    <w:p w14:paraId="3DB31575" w14:textId="77777777" w:rsidR="000A5B26" w:rsidRDefault="000A5B26" w:rsidP="00146FD5">
      <w:pPr>
        <w:rPr>
          <w:rFonts w:cs="Arial"/>
        </w:rPr>
      </w:pPr>
    </w:p>
    <w:p w14:paraId="499B6659" w14:textId="77777777" w:rsidR="000A5B26" w:rsidRDefault="000A5B26" w:rsidP="00146FD5">
      <w:pPr>
        <w:rPr>
          <w:rFonts w:cs="Arial"/>
        </w:rPr>
      </w:pPr>
    </w:p>
    <w:p w14:paraId="782FD6D3" w14:textId="77777777" w:rsidR="000A5B26" w:rsidRDefault="000A5B26" w:rsidP="00146FD5">
      <w:pPr>
        <w:rPr>
          <w:rFonts w:cs="Arial"/>
        </w:rPr>
      </w:pPr>
    </w:p>
    <w:p w14:paraId="6EBAF977" w14:textId="77777777" w:rsidR="000A5B26" w:rsidRDefault="000A5B26" w:rsidP="00146FD5">
      <w:pPr>
        <w:rPr>
          <w:rFonts w:cs="Arial"/>
        </w:rPr>
      </w:pPr>
    </w:p>
    <w:p w14:paraId="45E86BAB" w14:textId="77777777" w:rsidR="000A5B26" w:rsidRDefault="000A5B26" w:rsidP="00146FD5">
      <w:pPr>
        <w:rPr>
          <w:rFonts w:cs="Arial"/>
        </w:rPr>
      </w:pPr>
    </w:p>
    <w:p w14:paraId="7B21639E" w14:textId="77777777" w:rsidR="000A5B26" w:rsidRDefault="000A5B26" w:rsidP="00146FD5">
      <w:pPr>
        <w:rPr>
          <w:rFonts w:cs="Arial"/>
        </w:rPr>
      </w:pPr>
    </w:p>
    <w:p w14:paraId="17E2F723" w14:textId="77777777" w:rsidR="000A5B26" w:rsidRDefault="000A5B26" w:rsidP="00146FD5">
      <w:pPr>
        <w:rPr>
          <w:rFonts w:cs="Arial"/>
        </w:rPr>
      </w:pPr>
    </w:p>
    <w:p w14:paraId="3475E996" w14:textId="77777777" w:rsidR="000A5B26" w:rsidRDefault="000A5B26" w:rsidP="00146FD5">
      <w:pPr>
        <w:rPr>
          <w:rFonts w:cs="Arial"/>
        </w:rPr>
      </w:pPr>
    </w:p>
    <w:p w14:paraId="496A8A47" w14:textId="77777777" w:rsidR="000A5B26" w:rsidRDefault="000A5B26" w:rsidP="00146FD5">
      <w:pPr>
        <w:rPr>
          <w:rFonts w:cs="Arial"/>
        </w:rPr>
      </w:pPr>
    </w:p>
    <w:p w14:paraId="2F5137B8" w14:textId="77777777" w:rsidR="000A5B26" w:rsidRDefault="000A5B26" w:rsidP="00146FD5">
      <w:pPr>
        <w:rPr>
          <w:rFonts w:cs="Arial"/>
        </w:rPr>
      </w:pPr>
    </w:p>
    <w:p w14:paraId="1AD39D90" w14:textId="77777777" w:rsidR="000A5B26" w:rsidRDefault="000A5B26" w:rsidP="00146FD5">
      <w:pPr>
        <w:rPr>
          <w:rFonts w:cs="Arial"/>
        </w:rPr>
      </w:pPr>
    </w:p>
    <w:p w14:paraId="7EECBC60" w14:textId="77777777" w:rsidR="000A5B26" w:rsidRDefault="000A5B26" w:rsidP="00146FD5">
      <w:pPr>
        <w:rPr>
          <w:rFonts w:cs="Arial"/>
        </w:rPr>
      </w:pPr>
    </w:p>
    <w:p w14:paraId="34BA0289" w14:textId="77777777" w:rsidR="000A5B26" w:rsidRDefault="000A5B26" w:rsidP="00146FD5">
      <w:pPr>
        <w:rPr>
          <w:rFonts w:cs="Arial"/>
        </w:rPr>
      </w:pPr>
    </w:p>
    <w:p w14:paraId="1F6FC108" w14:textId="77777777" w:rsidR="000A5B26" w:rsidRDefault="000A5B26" w:rsidP="00146FD5">
      <w:pPr>
        <w:rPr>
          <w:rFonts w:cs="Arial"/>
        </w:rPr>
      </w:pPr>
    </w:p>
    <w:p w14:paraId="304AE3F8" w14:textId="77777777" w:rsidR="000A5B26" w:rsidRDefault="000A5B26" w:rsidP="00146FD5">
      <w:pPr>
        <w:rPr>
          <w:rFonts w:cs="Arial"/>
        </w:rPr>
      </w:pPr>
    </w:p>
    <w:p w14:paraId="7AE60C58" w14:textId="77777777" w:rsidR="000A5B26" w:rsidRDefault="000A5B26" w:rsidP="00146FD5">
      <w:pPr>
        <w:rPr>
          <w:rFonts w:cs="Arial"/>
        </w:rPr>
      </w:pPr>
    </w:p>
    <w:p w14:paraId="2177170B" w14:textId="77777777" w:rsidR="000A5B26" w:rsidRPr="00CE2155" w:rsidRDefault="000A5B26" w:rsidP="00146FD5">
      <w:pPr>
        <w:rPr>
          <w:rFonts w:cs="Arial"/>
        </w:rPr>
      </w:pPr>
    </w:p>
    <w:p w14:paraId="02D50FF0" w14:textId="77777777" w:rsidR="00610B7F" w:rsidRDefault="00610B7F" w:rsidP="00320643">
      <w:pPr>
        <w:autoSpaceDE w:val="0"/>
        <w:autoSpaceDN w:val="0"/>
        <w:adjustRightInd w:val="0"/>
        <w:jc w:val="both"/>
        <w:rPr>
          <w:rFonts w:eastAsia="Calibri" w:cs="Helvetica-Light"/>
          <w:color w:val="000000"/>
          <w:highlight w:val="yellow"/>
        </w:rPr>
        <w:sectPr w:rsidR="00610B7F" w:rsidSect="0015598D">
          <w:headerReference w:type="default" r:id="rId19"/>
          <w:footerReference w:type="default" r:id="rId20"/>
          <w:headerReference w:type="first" r:id="rId21"/>
          <w:footerReference w:type="first" r:id="rId22"/>
          <w:pgSz w:w="11906" w:h="16838" w:code="9"/>
          <w:pgMar w:top="1418" w:right="1418" w:bottom="1418" w:left="1418" w:header="454" w:footer="689" w:gutter="0"/>
          <w:pgNumType w:start="1"/>
          <w:cols w:space="708"/>
          <w:docGrid w:linePitch="360"/>
        </w:sectPr>
      </w:pPr>
    </w:p>
    <w:p w14:paraId="1B06998E" w14:textId="075CDD20" w:rsidR="009725C7" w:rsidRDefault="004A7A82" w:rsidP="00320643">
      <w:pPr>
        <w:autoSpaceDE w:val="0"/>
        <w:autoSpaceDN w:val="0"/>
        <w:adjustRightInd w:val="0"/>
        <w:jc w:val="both"/>
        <w:rPr>
          <w:rFonts w:eastAsia="Calibri" w:cs="Helvetica-Light"/>
          <w:b/>
          <w:bCs/>
          <w:color w:val="000000"/>
          <w:u w:val="single"/>
        </w:rPr>
      </w:pPr>
      <w:r w:rsidRPr="1296B87A">
        <w:rPr>
          <w:rFonts w:eastAsia="Calibri" w:cs="Helvetica-Light"/>
          <w:b/>
          <w:bCs/>
          <w:color w:val="000000" w:themeColor="text1"/>
          <w:u w:val="single"/>
        </w:rPr>
        <w:lastRenderedPageBreak/>
        <w:t>Annex B</w:t>
      </w:r>
    </w:p>
    <w:p w14:paraId="42A98682" w14:textId="68E04C6B" w:rsidR="009725C7" w:rsidRDefault="009725C7" w:rsidP="00320643">
      <w:pPr>
        <w:autoSpaceDE w:val="0"/>
        <w:autoSpaceDN w:val="0"/>
        <w:adjustRightInd w:val="0"/>
        <w:jc w:val="both"/>
        <w:rPr>
          <w:rFonts w:eastAsia="Calibri" w:cs="Helvetica-Light"/>
          <w:b/>
          <w:bCs/>
          <w:color w:val="000000"/>
          <w:u w:val="single"/>
        </w:rPr>
      </w:pPr>
    </w:p>
    <w:p w14:paraId="63261D2A" w14:textId="57DDA8F7" w:rsidR="00A46C38" w:rsidRDefault="004A7A82" w:rsidP="00320643">
      <w:pPr>
        <w:autoSpaceDE w:val="0"/>
        <w:autoSpaceDN w:val="0"/>
        <w:adjustRightInd w:val="0"/>
        <w:jc w:val="both"/>
        <w:rPr>
          <w:rFonts w:eastAsia="Calibri" w:cs="Helvetica-Light"/>
          <w:b/>
          <w:bCs/>
          <w:color w:val="000000"/>
          <w:u w:val="single"/>
        </w:rPr>
      </w:pPr>
      <w:r w:rsidRPr="1296B87A">
        <w:rPr>
          <w:rFonts w:eastAsia="Calibri" w:cs="Helvetica-Light"/>
          <w:b/>
          <w:bCs/>
          <w:color w:val="000000" w:themeColor="text1"/>
          <w:u w:val="single"/>
        </w:rPr>
        <w:t>Funding and Expenditure Assumptions</w:t>
      </w:r>
    </w:p>
    <w:p w14:paraId="5193E809" w14:textId="32397318" w:rsidR="000A65E3" w:rsidRDefault="000A65E3" w:rsidP="00320643">
      <w:pPr>
        <w:autoSpaceDE w:val="0"/>
        <w:autoSpaceDN w:val="0"/>
        <w:adjustRightInd w:val="0"/>
        <w:jc w:val="both"/>
        <w:rPr>
          <w:rFonts w:eastAsia="Calibri" w:cs="Helvetica-Light"/>
          <w:b/>
          <w:bCs/>
          <w:color w:val="000000"/>
          <w:u w:val="single"/>
        </w:rPr>
      </w:pPr>
    </w:p>
    <w:tbl>
      <w:tblPr>
        <w:tblW w:w="14165" w:type="dxa"/>
        <w:tblLook w:val="04A0" w:firstRow="1" w:lastRow="0" w:firstColumn="1" w:lastColumn="0" w:noHBand="0" w:noVBand="1"/>
      </w:tblPr>
      <w:tblGrid>
        <w:gridCol w:w="2542"/>
        <w:gridCol w:w="1084"/>
        <w:gridCol w:w="951"/>
        <w:gridCol w:w="1084"/>
        <w:gridCol w:w="951"/>
        <w:gridCol w:w="1084"/>
        <w:gridCol w:w="951"/>
        <w:gridCol w:w="5518"/>
      </w:tblGrid>
      <w:tr w:rsidR="00C92CD8" w14:paraId="4E043310" w14:textId="77777777" w:rsidTr="003567FF">
        <w:trPr>
          <w:trHeight w:val="320"/>
        </w:trPr>
        <w:tc>
          <w:tcPr>
            <w:tcW w:w="25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7C1088" w14:textId="77777777" w:rsidR="00F6713F" w:rsidRPr="003567FF" w:rsidRDefault="004A7A82" w:rsidP="00A614A0">
            <w:pPr>
              <w:rPr>
                <w:rFonts w:asciiTheme="minorHAnsi" w:eastAsia="Times New Roman" w:hAnsiTheme="minorHAnsi" w:cstheme="minorHAnsi"/>
              </w:rPr>
            </w:pPr>
            <w:bookmarkStart w:id="1" w:name="_Hlk157506957"/>
            <w:r w:rsidRPr="003567FF">
              <w:rPr>
                <w:rFonts w:asciiTheme="minorHAnsi" w:eastAsia="Times New Roman" w:hAnsiTheme="minorHAnsi" w:cstheme="minorHAnsi"/>
              </w:rPr>
              <w:t> </w:t>
            </w:r>
          </w:p>
        </w:tc>
        <w:tc>
          <w:tcPr>
            <w:tcW w:w="1084" w:type="dxa"/>
            <w:tcBorders>
              <w:top w:val="single" w:sz="8" w:space="0" w:color="auto"/>
              <w:left w:val="nil"/>
              <w:bottom w:val="single" w:sz="8" w:space="0" w:color="auto"/>
              <w:right w:val="single" w:sz="4" w:space="0" w:color="auto"/>
            </w:tcBorders>
            <w:shd w:val="clear" w:color="auto" w:fill="auto"/>
            <w:vAlign w:val="center"/>
            <w:hideMark/>
          </w:tcPr>
          <w:p w14:paraId="10932074" w14:textId="77777777" w:rsidR="00F6713F" w:rsidRPr="003567FF" w:rsidRDefault="004A7A82" w:rsidP="00A614A0">
            <w:pPr>
              <w:jc w:val="right"/>
              <w:rPr>
                <w:rFonts w:asciiTheme="minorHAnsi" w:eastAsia="Times New Roman" w:hAnsiTheme="minorHAnsi" w:cstheme="minorHAnsi"/>
                <w:b/>
                <w:bCs/>
              </w:rPr>
            </w:pPr>
            <w:r w:rsidRPr="003567FF">
              <w:rPr>
                <w:rFonts w:asciiTheme="minorHAnsi" w:eastAsia="Times New Roman" w:hAnsiTheme="minorHAnsi" w:cstheme="minorHAnsi"/>
                <w:b/>
                <w:bCs/>
              </w:rPr>
              <w:t>2024/25</w:t>
            </w:r>
          </w:p>
        </w:tc>
        <w:tc>
          <w:tcPr>
            <w:tcW w:w="951" w:type="dxa"/>
            <w:tcBorders>
              <w:top w:val="single" w:sz="8" w:space="0" w:color="auto"/>
              <w:left w:val="nil"/>
              <w:bottom w:val="single" w:sz="8" w:space="0" w:color="auto"/>
              <w:right w:val="single" w:sz="4" w:space="0" w:color="auto"/>
            </w:tcBorders>
            <w:vAlign w:val="center"/>
          </w:tcPr>
          <w:p w14:paraId="7750BD1B" w14:textId="77777777" w:rsidR="00F6713F" w:rsidRPr="003567FF" w:rsidRDefault="004A7A82" w:rsidP="00A614A0">
            <w:pPr>
              <w:jc w:val="center"/>
              <w:rPr>
                <w:rFonts w:asciiTheme="minorHAnsi" w:eastAsia="Times New Roman" w:hAnsiTheme="minorHAnsi" w:cstheme="minorHAnsi"/>
                <w:b/>
                <w:bCs/>
              </w:rPr>
            </w:pPr>
            <w:r w:rsidRPr="003567FF">
              <w:rPr>
                <w:rFonts w:asciiTheme="minorHAnsi" w:eastAsia="Times New Roman" w:hAnsiTheme="minorHAnsi" w:cstheme="minorHAnsi"/>
                <w:b/>
                <w:bCs/>
              </w:rPr>
              <w:t>£m</w:t>
            </w:r>
          </w:p>
        </w:tc>
        <w:tc>
          <w:tcPr>
            <w:tcW w:w="108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F73B323" w14:textId="77777777" w:rsidR="00F6713F" w:rsidRPr="003567FF" w:rsidRDefault="004A7A82" w:rsidP="00A614A0">
            <w:pPr>
              <w:jc w:val="center"/>
              <w:rPr>
                <w:rFonts w:asciiTheme="minorHAnsi" w:eastAsia="Times New Roman" w:hAnsiTheme="minorHAnsi" w:cstheme="minorHAnsi"/>
                <w:b/>
                <w:bCs/>
              </w:rPr>
            </w:pPr>
            <w:r w:rsidRPr="003567FF">
              <w:rPr>
                <w:rFonts w:asciiTheme="minorHAnsi" w:eastAsia="Times New Roman" w:hAnsiTheme="minorHAnsi" w:cstheme="minorHAnsi"/>
                <w:b/>
                <w:bCs/>
              </w:rPr>
              <w:t>2025/26</w:t>
            </w:r>
          </w:p>
        </w:tc>
        <w:tc>
          <w:tcPr>
            <w:tcW w:w="951" w:type="dxa"/>
            <w:tcBorders>
              <w:top w:val="single" w:sz="8" w:space="0" w:color="auto"/>
              <w:left w:val="nil"/>
              <w:bottom w:val="single" w:sz="8" w:space="0" w:color="auto"/>
              <w:right w:val="single" w:sz="4" w:space="0" w:color="auto"/>
            </w:tcBorders>
            <w:vAlign w:val="center"/>
          </w:tcPr>
          <w:p w14:paraId="44AC2925" w14:textId="77777777" w:rsidR="00F6713F" w:rsidRPr="003567FF" w:rsidRDefault="004A7A82" w:rsidP="00A614A0">
            <w:pPr>
              <w:jc w:val="center"/>
              <w:rPr>
                <w:rFonts w:asciiTheme="minorHAnsi" w:eastAsia="Times New Roman" w:hAnsiTheme="minorHAnsi" w:cstheme="minorHAnsi"/>
                <w:b/>
                <w:bCs/>
              </w:rPr>
            </w:pPr>
            <w:r w:rsidRPr="003567FF">
              <w:rPr>
                <w:rFonts w:asciiTheme="minorHAnsi" w:eastAsia="Times New Roman" w:hAnsiTheme="minorHAnsi" w:cstheme="minorHAnsi"/>
                <w:b/>
                <w:bCs/>
              </w:rPr>
              <w:t>£m</w:t>
            </w:r>
          </w:p>
        </w:tc>
        <w:tc>
          <w:tcPr>
            <w:tcW w:w="108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BB34BC8" w14:textId="77777777" w:rsidR="00F6713F" w:rsidRPr="003567FF" w:rsidRDefault="004A7A82" w:rsidP="00A614A0">
            <w:pPr>
              <w:jc w:val="center"/>
              <w:rPr>
                <w:rFonts w:asciiTheme="minorHAnsi" w:eastAsia="Times New Roman" w:hAnsiTheme="minorHAnsi" w:cstheme="minorHAnsi"/>
                <w:b/>
                <w:bCs/>
              </w:rPr>
            </w:pPr>
            <w:r w:rsidRPr="003567FF">
              <w:rPr>
                <w:rFonts w:asciiTheme="minorHAnsi" w:eastAsia="Times New Roman" w:hAnsiTheme="minorHAnsi" w:cstheme="minorHAnsi"/>
                <w:b/>
                <w:bCs/>
              </w:rPr>
              <w:t>2026/27</w:t>
            </w:r>
          </w:p>
        </w:tc>
        <w:tc>
          <w:tcPr>
            <w:tcW w:w="951" w:type="dxa"/>
            <w:tcBorders>
              <w:top w:val="single" w:sz="8" w:space="0" w:color="auto"/>
              <w:left w:val="nil"/>
              <w:bottom w:val="single" w:sz="8" w:space="0" w:color="auto"/>
              <w:right w:val="single" w:sz="4" w:space="0" w:color="auto"/>
            </w:tcBorders>
            <w:vAlign w:val="center"/>
          </w:tcPr>
          <w:p w14:paraId="486EFB3E" w14:textId="77777777" w:rsidR="00F6713F" w:rsidRPr="003567FF" w:rsidRDefault="004A7A82" w:rsidP="00A614A0">
            <w:pPr>
              <w:jc w:val="center"/>
              <w:rPr>
                <w:rFonts w:asciiTheme="minorHAnsi" w:eastAsia="Times New Roman" w:hAnsiTheme="minorHAnsi" w:cstheme="minorHAnsi"/>
                <w:b/>
                <w:bCs/>
              </w:rPr>
            </w:pPr>
            <w:r w:rsidRPr="003567FF">
              <w:rPr>
                <w:rFonts w:asciiTheme="minorHAnsi" w:eastAsia="Times New Roman" w:hAnsiTheme="minorHAnsi" w:cstheme="minorHAnsi"/>
                <w:b/>
                <w:bCs/>
              </w:rPr>
              <w:t>£m</w:t>
            </w:r>
          </w:p>
        </w:tc>
        <w:tc>
          <w:tcPr>
            <w:tcW w:w="5518" w:type="dxa"/>
            <w:tcBorders>
              <w:top w:val="single" w:sz="8" w:space="0" w:color="auto"/>
              <w:left w:val="single" w:sz="4" w:space="0" w:color="auto"/>
              <w:bottom w:val="single" w:sz="8" w:space="0" w:color="auto"/>
              <w:right w:val="single" w:sz="8" w:space="0" w:color="auto"/>
            </w:tcBorders>
            <w:vAlign w:val="center"/>
          </w:tcPr>
          <w:p w14:paraId="64A94D37" w14:textId="77777777" w:rsidR="00F6713F" w:rsidRPr="003567FF" w:rsidRDefault="004A7A82" w:rsidP="00A614A0">
            <w:pPr>
              <w:jc w:val="center"/>
              <w:rPr>
                <w:rFonts w:asciiTheme="minorHAnsi" w:eastAsia="Times New Roman" w:hAnsiTheme="minorHAnsi" w:cstheme="minorHAnsi"/>
                <w:b/>
                <w:bCs/>
              </w:rPr>
            </w:pPr>
            <w:r w:rsidRPr="003567FF">
              <w:rPr>
                <w:rFonts w:asciiTheme="minorHAnsi" w:eastAsia="Times New Roman" w:hAnsiTheme="minorHAnsi" w:cstheme="minorHAnsi"/>
                <w:b/>
                <w:bCs/>
              </w:rPr>
              <w:t>Description</w:t>
            </w:r>
          </w:p>
        </w:tc>
      </w:tr>
      <w:tr w:rsidR="00C92CD8" w14:paraId="4F4990AE" w14:textId="77777777" w:rsidTr="003567FF">
        <w:trPr>
          <w:trHeight w:val="304"/>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14:paraId="1227BEDD" w14:textId="77777777" w:rsidR="00F6713F" w:rsidRPr="003567FF" w:rsidRDefault="004A7A82" w:rsidP="00A614A0">
            <w:pPr>
              <w:rPr>
                <w:rFonts w:asciiTheme="minorHAnsi" w:eastAsia="Times New Roman" w:hAnsiTheme="minorHAnsi" w:cstheme="minorHAnsi"/>
                <w:b/>
                <w:bCs/>
              </w:rPr>
            </w:pPr>
            <w:r w:rsidRPr="003567FF">
              <w:rPr>
                <w:rFonts w:asciiTheme="minorHAnsi" w:eastAsia="Times New Roman" w:hAnsiTheme="minorHAnsi" w:cstheme="minorHAnsi"/>
                <w:b/>
                <w:bCs/>
              </w:rPr>
              <w:t>Funding</w:t>
            </w:r>
          </w:p>
        </w:tc>
        <w:tc>
          <w:tcPr>
            <w:tcW w:w="1084" w:type="dxa"/>
            <w:tcBorders>
              <w:top w:val="nil"/>
              <w:left w:val="nil"/>
              <w:bottom w:val="single" w:sz="4" w:space="0" w:color="auto"/>
              <w:right w:val="single" w:sz="4" w:space="0" w:color="auto"/>
            </w:tcBorders>
            <w:shd w:val="clear" w:color="auto" w:fill="auto"/>
            <w:vAlign w:val="bottom"/>
            <w:hideMark/>
          </w:tcPr>
          <w:p w14:paraId="19D1D3CB"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 </w:t>
            </w:r>
          </w:p>
        </w:tc>
        <w:tc>
          <w:tcPr>
            <w:tcW w:w="951" w:type="dxa"/>
            <w:tcBorders>
              <w:top w:val="nil"/>
              <w:left w:val="nil"/>
              <w:bottom w:val="single" w:sz="4" w:space="0" w:color="auto"/>
              <w:right w:val="single" w:sz="4" w:space="0" w:color="auto"/>
            </w:tcBorders>
          </w:tcPr>
          <w:p w14:paraId="21B6CC5E" w14:textId="77777777" w:rsidR="00F6713F" w:rsidRPr="003567FF" w:rsidRDefault="00F6713F" w:rsidP="00A614A0">
            <w:pPr>
              <w:rPr>
                <w:rFonts w:asciiTheme="minorHAnsi" w:eastAsia="Times New Roman" w:hAnsiTheme="minorHAnsi" w:cstheme="minorHAnsi"/>
              </w:rPr>
            </w:pPr>
          </w:p>
        </w:tc>
        <w:tc>
          <w:tcPr>
            <w:tcW w:w="1084" w:type="dxa"/>
            <w:tcBorders>
              <w:top w:val="nil"/>
              <w:left w:val="single" w:sz="4" w:space="0" w:color="auto"/>
              <w:bottom w:val="single" w:sz="4" w:space="0" w:color="auto"/>
              <w:right w:val="single" w:sz="4" w:space="0" w:color="auto"/>
            </w:tcBorders>
            <w:shd w:val="clear" w:color="auto" w:fill="auto"/>
            <w:vAlign w:val="bottom"/>
            <w:hideMark/>
          </w:tcPr>
          <w:p w14:paraId="7CCAFFC5"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 </w:t>
            </w:r>
          </w:p>
        </w:tc>
        <w:tc>
          <w:tcPr>
            <w:tcW w:w="951" w:type="dxa"/>
            <w:tcBorders>
              <w:top w:val="nil"/>
              <w:left w:val="nil"/>
              <w:bottom w:val="single" w:sz="4" w:space="0" w:color="auto"/>
              <w:right w:val="single" w:sz="4" w:space="0" w:color="auto"/>
            </w:tcBorders>
          </w:tcPr>
          <w:p w14:paraId="12C32FAA" w14:textId="77777777" w:rsidR="00F6713F" w:rsidRPr="003567FF" w:rsidRDefault="00F6713F" w:rsidP="00A614A0">
            <w:pPr>
              <w:rPr>
                <w:rFonts w:asciiTheme="minorHAnsi" w:eastAsia="Times New Roman" w:hAnsiTheme="minorHAnsi" w:cstheme="minorHAnsi"/>
              </w:rPr>
            </w:pPr>
          </w:p>
        </w:tc>
        <w:tc>
          <w:tcPr>
            <w:tcW w:w="1084" w:type="dxa"/>
            <w:tcBorders>
              <w:top w:val="nil"/>
              <w:left w:val="single" w:sz="4" w:space="0" w:color="auto"/>
              <w:bottom w:val="single" w:sz="4" w:space="0" w:color="auto"/>
              <w:right w:val="single" w:sz="8" w:space="0" w:color="auto"/>
            </w:tcBorders>
            <w:shd w:val="clear" w:color="auto" w:fill="auto"/>
            <w:vAlign w:val="bottom"/>
            <w:hideMark/>
          </w:tcPr>
          <w:p w14:paraId="6508536A"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 </w:t>
            </w:r>
          </w:p>
        </w:tc>
        <w:tc>
          <w:tcPr>
            <w:tcW w:w="951" w:type="dxa"/>
            <w:tcBorders>
              <w:top w:val="nil"/>
              <w:left w:val="nil"/>
              <w:bottom w:val="single" w:sz="4" w:space="0" w:color="auto"/>
              <w:right w:val="single" w:sz="4" w:space="0" w:color="auto"/>
            </w:tcBorders>
          </w:tcPr>
          <w:p w14:paraId="0B74EE5D" w14:textId="77777777" w:rsidR="00F6713F" w:rsidRPr="003567FF" w:rsidRDefault="00F6713F" w:rsidP="00A614A0">
            <w:pPr>
              <w:rPr>
                <w:rFonts w:asciiTheme="minorHAnsi" w:eastAsia="Times New Roman" w:hAnsiTheme="minorHAnsi" w:cstheme="minorHAnsi"/>
              </w:rPr>
            </w:pPr>
          </w:p>
        </w:tc>
        <w:tc>
          <w:tcPr>
            <w:tcW w:w="5518" w:type="dxa"/>
            <w:tcBorders>
              <w:top w:val="nil"/>
              <w:left w:val="single" w:sz="4" w:space="0" w:color="auto"/>
              <w:bottom w:val="single" w:sz="4" w:space="0" w:color="auto"/>
              <w:right w:val="single" w:sz="8" w:space="0" w:color="auto"/>
            </w:tcBorders>
            <w:vAlign w:val="center"/>
          </w:tcPr>
          <w:p w14:paraId="1FE92BFF" w14:textId="77777777" w:rsidR="00F6713F" w:rsidRPr="003567FF" w:rsidRDefault="00F6713F" w:rsidP="00A614A0">
            <w:pPr>
              <w:rPr>
                <w:rFonts w:asciiTheme="minorHAnsi" w:eastAsia="Times New Roman" w:hAnsiTheme="minorHAnsi" w:cstheme="minorHAnsi"/>
              </w:rPr>
            </w:pPr>
          </w:p>
        </w:tc>
      </w:tr>
      <w:bookmarkEnd w:id="1"/>
      <w:tr w:rsidR="00C92CD8" w14:paraId="57AA5A1A" w14:textId="77777777" w:rsidTr="003567FF">
        <w:trPr>
          <w:trHeight w:val="304"/>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54404225"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Council Tax - increase</w:t>
            </w:r>
          </w:p>
        </w:tc>
        <w:tc>
          <w:tcPr>
            <w:tcW w:w="1084" w:type="dxa"/>
            <w:tcBorders>
              <w:top w:val="nil"/>
              <w:left w:val="nil"/>
              <w:bottom w:val="single" w:sz="4" w:space="0" w:color="auto"/>
              <w:right w:val="single" w:sz="4" w:space="0" w:color="auto"/>
            </w:tcBorders>
            <w:shd w:val="clear" w:color="auto" w:fill="auto"/>
            <w:vAlign w:val="center"/>
            <w:hideMark/>
          </w:tcPr>
          <w:p w14:paraId="4036649A"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4.99%</w:t>
            </w:r>
          </w:p>
        </w:tc>
        <w:tc>
          <w:tcPr>
            <w:tcW w:w="951" w:type="dxa"/>
            <w:tcBorders>
              <w:top w:val="nil"/>
              <w:left w:val="nil"/>
              <w:bottom w:val="single" w:sz="4" w:space="0" w:color="auto"/>
              <w:right w:val="single" w:sz="4" w:space="0" w:color="auto"/>
            </w:tcBorders>
            <w:vAlign w:val="center"/>
          </w:tcPr>
          <w:p w14:paraId="01BE35A6" w14:textId="4E4A44CA"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30.</w:t>
            </w:r>
            <w:r w:rsidR="005F7841">
              <w:rPr>
                <w:rFonts w:asciiTheme="minorHAnsi" w:eastAsia="Times New Roman" w:hAnsiTheme="minorHAnsi" w:cstheme="minorHAnsi"/>
              </w:rPr>
              <w:t>524</w:t>
            </w:r>
          </w:p>
        </w:tc>
        <w:tc>
          <w:tcPr>
            <w:tcW w:w="1084" w:type="dxa"/>
            <w:tcBorders>
              <w:top w:val="nil"/>
              <w:left w:val="single" w:sz="4" w:space="0" w:color="auto"/>
              <w:bottom w:val="single" w:sz="4" w:space="0" w:color="auto"/>
              <w:right w:val="single" w:sz="4" w:space="0" w:color="auto"/>
            </w:tcBorders>
            <w:shd w:val="clear" w:color="auto" w:fill="auto"/>
            <w:vAlign w:val="center"/>
            <w:hideMark/>
          </w:tcPr>
          <w:p w14:paraId="791CE2A4"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4.99%</w:t>
            </w:r>
          </w:p>
        </w:tc>
        <w:tc>
          <w:tcPr>
            <w:tcW w:w="951" w:type="dxa"/>
            <w:tcBorders>
              <w:top w:val="nil"/>
              <w:left w:val="nil"/>
              <w:bottom w:val="single" w:sz="4" w:space="0" w:color="auto"/>
              <w:right w:val="single" w:sz="4" w:space="0" w:color="auto"/>
            </w:tcBorders>
            <w:vAlign w:val="center"/>
          </w:tcPr>
          <w:p w14:paraId="642F9667" w14:textId="52AC789A"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32.</w:t>
            </w:r>
            <w:r w:rsidR="000B48DF">
              <w:rPr>
                <w:rFonts w:asciiTheme="minorHAnsi" w:eastAsia="Times New Roman" w:hAnsiTheme="minorHAnsi" w:cstheme="minorHAnsi"/>
              </w:rPr>
              <w:t>431</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14:paraId="10A9E2AF"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4.99%</w:t>
            </w:r>
          </w:p>
        </w:tc>
        <w:tc>
          <w:tcPr>
            <w:tcW w:w="951" w:type="dxa"/>
            <w:tcBorders>
              <w:top w:val="nil"/>
              <w:left w:val="nil"/>
              <w:bottom w:val="single" w:sz="4" w:space="0" w:color="auto"/>
              <w:right w:val="single" w:sz="4" w:space="0" w:color="auto"/>
            </w:tcBorders>
            <w:vAlign w:val="center"/>
          </w:tcPr>
          <w:p w14:paraId="606A1150" w14:textId="702A11FD"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34.</w:t>
            </w:r>
            <w:r w:rsidR="00C54908">
              <w:rPr>
                <w:rFonts w:asciiTheme="minorHAnsi" w:eastAsia="Times New Roman" w:hAnsiTheme="minorHAnsi" w:cstheme="minorHAnsi"/>
              </w:rPr>
              <w:t>458</w:t>
            </w:r>
          </w:p>
        </w:tc>
        <w:tc>
          <w:tcPr>
            <w:tcW w:w="5518" w:type="dxa"/>
            <w:tcBorders>
              <w:top w:val="nil"/>
              <w:left w:val="single" w:sz="4" w:space="0" w:color="auto"/>
              <w:bottom w:val="single" w:sz="4" w:space="0" w:color="auto"/>
              <w:right w:val="single" w:sz="8" w:space="0" w:color="auto"/>
            </w:tcBorders>
            <w:vAlign w:val="center"/>
          </w:tcPr>
          <w:p w14:paraId="60271DAD" w14:textId="1DE935E4" w:rsidR="00F6713F" w:rsidRPr="003567FF" w:rsidRDefault="004A7A82" w:rsidP="00B569A9">
            <w:pPr>
              <w:jc w:val="both"/>
              <w:rPr>
                <w:rFonts w:asciiTheme="minorHAnsi" w:eastAsia="Times New Roman" w:hAnsiTheme="minorHAnsi" w:cstheme="minorHAnsi"/>
              </w:rPr>
            </w:pPr>
            <w:r w:rsidRPr="003567FF">
              <w:rPr>
                <w:rFonts w:asciiTheme="minorHAnsi" w:eastAsia="Times New Roman" w:hAnsiTheme="minorHAnsi" w:cstheme="minorHAnsi"/>
              </w:rPr>
              <w:t xml:space="preserve">Increase included for each year based on government projections, including 2% adult social care precept. Decision to increase Council Tax is a decision taken by Full Council each year. The council tax increase is inflated after the tax base increase below has been applied, therefore they are interdependent. </w:t>
            </w:r>
          </w:p>
        </w:tc>
      </w:tr>
      <w:tr w:rsidR="00C92CD8" w14:paraId="747FC3B1" w14:textId="77777777" w:rsidTr="003567FF">
        <w:trPr>
          <w:trHeight w:val="304"/>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3D4F72A2"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Council Tax - tax base</w:t>
            </w:r>
          </w:p>
        </w:tc>
        <w:tc>
          <w:tcPr>
            <w:tcW w:w="1084" w:type="dxa"/>
            <w:tcBorders>
              <w:top w:val="nil"/>
              <w:left w:val="nil"/>
              <w:bottom w:val="single" w:sz="4" w:space="0" w:color="auto"/>
              <w:right w:val="single" w:sz="4" w:space="0" w:color="auto"/>
            </w:tcBorders>
            <w:shd w:val="clear" w:color="auto" w:fill="auto"/>
            <w:vAlign w:val="center"/>
            <w:hideMark/>
          </w:tcPr>
          <w:p w14:paraId="2BED8CDD" w14:textId="4BA7F2BB"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1.</w:t>
            </w:r>
            <w:r w:rsidR="00937267">
              <w:rPr>
                <w:rFonts w:asciiTheme="minorHAnsi" w:eastAsia="Times New Roman" w:hAnsiTheme="minorHAnsi" w:cstheme="minorHAnsi"/>
              </w:rPr>
              <w:t>2</w:t>
            </w:r>
            <w:r w:rsidRPr="003567FF">
              <w:rPr>
                <w:rFonts w:asciiTheme="minorHAnsi" w:eastAsia="Times New Roman" w:hAnsiTheme="minorHAnsi" w:cstheme="minorHAnsi"/>
              </w:rPr>
              <w:t>0%</w:t>
            </w:r>
          </w:p>
        </w:tc>
        <w:tc>
          <w:tcPr>
            <w:tcW w:w="951" w:type="dxa"/>
            <w:tcBorders>
              <w:top w:val="nil"/>
              <w:left w:val="nil"/>
              <w:bottom w:val="single" w:sz="4" w:space="0" w:color="auto"/>
              <w:right w:val="single" w:sz="4" w:space="0" w:color="auto"/>
            </w:tcBorders>
            <w:vAlign w:val="center"/>
          </w:tcPr>
          <w:p w14:paraId="5341D639" w14:textId="3349A06E" w:rsidR="00F6713F" w:rsidRPr="003567FF" w:rsidRDefault="004A7A82" w:rsidP="00A614A0">
            <w:pPr>
              <w:jc w:val="right"/>
              <w:rPr>
                <w:rFonts w:asciiTheme="minorHAnsi" w:eastAsia="Times New Roman" w:hAnsiTheme="minorHAnsi" w:cstheme="minorHAnsi"/>
              </w:rPr>
            </w:pPr>
            <w:r>
              <w:rPr>
                <w:rFonts w:asciiTheme="minorHAnsi" w:eastAsia="Times New Roman" w:hAnsiTheme="minorHAnsi" w:cstheme="minorHAnsi"/>
              </w:rPr>
              <w:t>7.268</w:t>
            </w:r>
          </w:p>
        </w:tc>
        <w:tc>
          <w:tcPr>
            <w:tcW w:w="1084" w:type="dxa"/>
            <w:tcBorders>
              <w:top w:val="nil"/>
              <w:left w:val="single" w:sz="4" w:space="0" w:color="auto"/>
              <w:bottom w:val="single" w:sz="4" w:space="0" w:color="auto"/>
              <w:right w:val="single" w:sz="4" w:space="0" w:color="auto"/>
            </w:tcBorders>
            <w:shd w:val="clear" w:color="auto" w:fill="auto"/>
            <w:vAlign w:val="center"/>
            <w:hideMark/>
          </w:tcPr>
          <w:p w14:paraId="1FC41DAE" w14:textId="7BBBAD13"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1.</w:t>
            </w:r>
            <w:r w:rsidR="00937267">
              <w:rPr>
                <w:rFonts w:asciiTheme="minorHAnsi" w:eastAsia="Times New Roman" w:hAnsiTheme="minorHAnsi" w:cstheme="minorHAnsi"/>
              </w:rPr>
              <w:t>2</w:t>
            </w:r>
            <w:r w:rsidRPr="003567FF">
              <w:rPr>
                <w:rFonts w:asciiTheme="minorHAnsi" w:eastAsia="Times New Roman" w:hAnsiTheme="minorHAnsi" w:cstheme="minorHAnsi"/>
              </w:rPr>
              <w:t>0%</w:t>
            </w:r>
          </w:p>
        </w:tc>
        <w:tc>
          <w:tcPr>
            <w:tcW w:w="951" w:type="dxa"/>
            <w:tcBorders>
              <w:top w:val="nil"/>
              <w:left w:val="nil"/>
              <w:bottom w:val="single" w:sz="4" w:space="0" w:color="auto"/>
              <w:right w:val="single" w:sz="4" w:space="0" w:color="auto"/>
            </w:tcBorders>
            <w:vAlign w:val="center"/>
          </w:tcPr>
          <w:p w14:paraId="41B34EF0" w14:textId="383E6B5B" w:rsidR="00F6713F" w:rsidRPr="003567FF" w:rsidRDefault="004A7A82" w:rsidP="00A614A0">
            <w:pPr>
              <w:jc w:val="right"/>
              <w:rPr>
                <w:rFonts w:asciiTheme="minorHAnsi" w:eastAsia="Times New Roman" w:hAnsiTheme="minorHAnsi" w:cstheme="minorHAnsi"/>
              </w:rPr>
            </w:pPr>
            <w:r>
              <w:rPr>
                <w:rFonts w:asciiTheme="minorHAnsi" w:eastAsia="Times New Roman" w:hAnsiTheme="minorHAnsi" w:cstheme="minorHAnsi"/>
              </w:rPr>
              <w:t>7.706</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14:paraId="16E825E8" w14:textId="10537C0C"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1.</w:t>
            </w:r>
            <w:r w:rsidR="00937267">
              <w:rPr>
                <w:rFonts w:asciiTheme="minorHAnsi" w:eastAsia="Times New Roman" w:hAnsiTheme="minorHAnsi" w:cstheme="minorHAnsi"/>
              </w:rPr>
              <w:t>2</w:t>
            </w:r>
            <w:r w:rsidRPr="003567FF">
              <w:rPr>
                <w:rFonts w:asciiTheme="minorHAnsi" w:eastAsia="Times New Roman" w:hAnsiTheme="minorHAnsi" w:cstheme="minorHAnsi"/>
              </w:rPr>
              <w:t>0%</w:t>
            </w:r>
          </w:p>
        </w:tc>
        <w:tc>
          <w:tcPr>
            <w:tcW w:w="951" w:type="dxa"/>
            <w:tcBorders>
              <w:top w:val="nil"/>
              <w:left w:val="nil"/>
              <w:bottom w:val="single" w:sz="4" w:space="0" w:color="auto"/>
              <w:right w:val="single" w:sz="4" w:space="0" w:color="auto"/>
            </w:tcBorders>
            <w:vAlign w:val="center"/>
          </w:tcPr>
          <w:p w14:paraId="6302EB27" w14:textId="60466145" w:rsidR="00F6713F" w:rsidRPr="003567FF" w:rsidRDefault="004A7A82" w:rsidP="00A614A0">
            <w:pPr>
              <w:jc w:val="right"/>
              <w:rPr>
                <w:rFonts w:asciiTheme="minorHAnsi" w:eastAsia="Times New Roman" w:hAnsiTheme="minorHAnsi" w:cstheme="minorHAnsi"/>
              </w:rPr>
            </w:pPr>
            <w:r>
              <w:rPr>
                <w:rFonts w:asciiTheme="minorHAnsi" w:eastAsia="Times New Roman" w:hAnsiTheme="minorHAnsi" w:cstheme="minorHAnsi"/>
              </w:rPr>
              <w:t>8.188</w:t>
            </w:r>
          </w:p>
        </w:tc>
        <w:tc>
          <w:tcPr>
            <w:tcW w:w="5518" w:type="dxa"/>
            <w:tcBorders>
              <w:top w:val="nil"/>
              <w:left w:val="single" w:sz="4" w:space="0" w:color="auto"/>
              <w:bottom w:val="single" w:sz="4" w:space="0" w:color="auto"/>
              <w:right w:val="single" w:sz="8" w:space="0" w:color="auto"/>
            </w:tcBorders>
            <w:vAlign w:val="center"/>
          </w:tcPr>
          <w:p w14:paraId="02042804" w14:textId="77777777" w:rsidR="00F6713F" w:rsidRPr="003567FF" w:rsidRDefault="004A7A82" w:rsidP="00B569A9">
            <w:pPr>
              <w:jc w:val="both"/>
              <w:rPr>
                <w:rFonts w:asciiTheme="minorHAnsi" w:eastAsia="Times New Roman" w:hAnsiTheme="minorHAnsi" w:cstheme="minorHAnsi"/>
              </w:rPr>
            </w:pPr>
            <w:r w:rsidRPr="003567FF">
              <w:rPr>
                <w:rFonts w:asciiTheme="minorHAnsi" w:eastAsia="Times New Roman" w:hAnsiTheme="minorHAnsi" w:cstheme="minorHAnsi"/>
              </w:rPr>
              <w:t xml:space="preserve">Tax base increase is based on historic trends and national benchmarking. This is subject to information provided by District Councils at the end of January each year. </w:t>
            </w:r>
          </w:p>
        </w:tc>
      </w:tr>
      <w:tr w:rsidR="00C92CD8" w14:paraId="6512F3DB" w14:textId="77777777" w:rsidTr="003567FF">
        <w:trPr>
          <w:trHeight w:val="304"/>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64835DE1" w14:textId="3B8153AF"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 xml:space="preserve">Business Rates </w:t>
            </w:r>
            <w:r w:rsidR="00D647E7">
              <w:rPr>
                <w:rFonts w:asciiTheme="minorHAnsi" w:eastAsia="Times New Roman" w:hAnsiTheme="minorHAnsi" w:cstheme="minorHAnsi"/>
              </w:rPr>
              <w:t>–</w:t>
            </w:r>
            <w:r w:rsidRPr="003567FF">
              <w:rPr>
                <w:rFonts w:asciiTheme="minorHAnsi" w:eastAsia="Times New Roman" w:hAnsiTheme="minorHAnsi" w:cstheme="minorHAnsi"/>
              </w:rPr>
              <w:t xml:space="preserve"> growth</w:t>
            </w:r>
          </w:p>
        </w:tc>
        <w:tc>
          <w:tcPr>
            <w:tcW w:w="1084" w:type="dxa"/>
            <w:tcBorders>
              <w:top w:val="nil"/>
              <w:left w:val="nil"/>
              <w:bottom w:val="single" w:sz="4" w:space="0" w:color="auto"/>
              <w:right w:val="single" w:sz="4" w:space="0" w:color="auto"/>
            </w:tcBorders>
            <w:shd w:val="clear" w:color="auto" w:fill="auto"/>
            <w:vAlign w:val="center"/>
            <w:hideMark/>
          </w:tcPr>
          <w:p w14:paraId="1EB565F8" w14:textId="2A748C81" w:rsidR="00F6713F" w:rsidRPr="003567FF" w:rsidRDefault="004A7A82" w:rsidP="00A614A0">
            <w:pPr>
              <w:jc w:val="right"/>
              <w:rPr>
                <w:rFonts w:asciiTheme="minorHAnsi" w:eastAsia="Times New Roman" w:hAnsiTheme="minorHAnsi" w:cstheme="minorHAnsi"/>
              </w:rPr>
            </w:pPr>
            <w:r>
              <w:rPr>
                <w:rFonts w:asciiTheme="minorHAnsi" w:eastAsia="Times New Roman" w:hAnsiTheme="minorHAnsi" w:cstheme="minorHAnsi"/>
              </w:rPr>
              <w:t>N/A</w:t>
            </w:r>
          </w:p>
        </w:tc>
        <w:tc>
          <w:tcPr>
            <w:tcW w:w="951" w:type="dxa"/>
            <w:tcBorders>
              <w:top w:val="nil"/>
              <w:left w:val="nil"/>
              <w:bottom w:val="single" w:sz="4" w:space="0" w:color="auto"/>
              <w:right w:val="single" w:sz="4" w:space="0" w:color="auto"/>
            </w:tcBorders>
            <w:vAlign w:val="center"/>
          </w:tcPr>
          <w:p w14:paraId="30159DC8" w14:textId="543EEA42" w:rsidR="00F6713F" w:rsidRPr="003567FF" w:rsidRDefault="00F6713F" w:rsidP="00A614A0">
            <w:pPr>
              <w:jc w:val="right"/>
              <w:rPr>
                <w:rFonts w:asciiTheme="minorHAnsi" w:eastAsia="Times New Roman" w:hAnsiTheme="minorHAnsi" w:cstheme="minorHAnsi"/>
              </w:rPr>
            </w:pPr>
          </w:p>
        </w:tc>
        <w:tc>
          <w:tcPr>
            <w:tcW w:w="1084" w:type="dxa"/>
            <w:tcBorders>
              <w:top w:val="nil"/>
              <w:left w:val="single" w:sz="4" w:space="0" w:color="auto"/>
              <w:bottom w:val="single" w:sz="4" w:space="0" w:color="auto"/>
              <w:right w:val="single" w:sz="4" w:space="0" w:color="auto"/>
            </w:tcBorders>
            <w:shd w:val="clear" w:color="auto" w:fill="auto"/>
            <w:vAlign w:val="center"/>
            <w:hideMark/>
          </w:tcPr>
          <w:p w14:paraId="4852CE75"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0.50%</w:t>
            </w:r>
          </w:p>
        </w:tc>
        <w:tc>
          <w:tcPr>
            <w:tcW w:w="951" w:type="dxa"/>
            <w:tcBorders>
              <w:top w:val="nil"/>
              <w:left w:val="nil"/>
              <w:bottom w:val="single" w:sz="4" w:space="0" w:color="auto"/>
              <w:right w:val="single" w:sz="4" w:space="0" w:color="auto"/>
            </w:tcBorders>
            <w:vAlign w:val="center"/>
          </w:tcPr>
          <w:p w14:paraId="2BC73F50" w14:textId="520B5B2D"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0.1</w:t>
            </w:r>
            <w:r w:rsidR="00E15B95">
              <w:rPr>
                <w:rFonts w:asciiTheme="minorHAnsi" w:eastAsia="Times New Roman" w:hAnsiTheme="minorHAnsi" w:cstheme="minorHAnsi"/>
              </w:rPr>
              <w:t>70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14:paraId="15D4AD9E"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0.50%</w:t>
            </w:r>
          </w:p>
        </w:tc>
        <w:tc>
          <w:tcPr>
            <w:tcW w:w="951" w:type="dxa"/>
            <w:tcBorders>
              <w:top w:val="nil"/>
              <w:left w:val="nil"/>
              <w:bottom w:val="single" w:sz="4" w:space="0" w:color="auto"/>
              <w:right w:val="single" w:sz="4" w:space="0" w:color="auto"/>
            </w:tcBorders>
            <w:vAlign w:val="center"/>
          </w:tcPr>
          <w:p w14:paraId="1B1539CD" w14:textId="4893CAD4" w:rsidR="00F6713F" w:rsidRPr="003567FF" w:rsidRDefault="004A7A82" w:rsidP="00A614A0">
            <w:pPr>
              <w:jc w:val="right"/>
              <w:rPr>
                <w:rFonts w:asciiTheme="minorHAnsi" w:eastAsia="Times New Roman" w:hAnsiTheme="minorHAnsi" w:cstheme="minorHAnsi"/>
              </w:rPr>
            </w:pPr>
            <w:r>
              <w:rPr>
                <w:rFonts w:asciiTheme="minorHAnsi" w:eastAsia="Times New Roman" w:hAnsiTheme="minorHAnsi" w:cstheme="minorHAnsi"/>
              </w:rPr>
              <w:t>0.170</w:t>
            </w:r>
          </w:p>
        </w:tc>
        <w:tc>
          <w:tcPr>
            <w:tcW w:w="5518" w:type="dxa"/>
            <w:tcBorders>
              <w:top w:val="nil"/>
              <w:left w:val="single" w:sz="4" w:space="0" w:color="auto"/>
              <w:bottom w:val="single" w:sz="4" w:space="0" w:color="auto"/>
              <w:right w:val="single" w:sz="8" w:space="0" w:color="auto"/>
            </w:tcBorders>
            <w:vAlign w:val="center"/>
          </w:tcPr>
          <w:p w14:paraId="1857382E" w14:textId="77777777" w:rsidR="00F6713F" w:rsidRPr="003567FF" w:rsidRDefault="004A7A82" w:rsidP="00B569A9">
            <w:pPr>
              <w:jc w:val="both"/>
              <w:rPr>
                <w:rFonts w:asciiTheme="minorHAnsi" w:eastAsia="Times New Roman" w:hAnsiTheme="minorHAnsi" w:cstheme="minorHAnsi"/>
              </w:rPr>
            </w:pPr>
            <w:r w:rsidRPr="003567FF">
              <w:rPr>
                <w:rFonts w:asciiTheme="minorHAnsi" w:eastAsia="Times New Roman" w:hAnsiTheme="minorHAnsi" w:cstheme="minorHAnsi"/>
              </w:rPr>
              <w:t xml:space="preserve">Business rates growth is confirmed by District Council's at the end of January each year. 0.5% is an estimate at this stage in the budget setting process and is based on historical trends. </w:t>
            </w:r>
          </w:p>
        </w:tc>
      </w:tr>
      <w:tr w:rsidR="00C92CD8" w14:paraId="1926398F" w14:textId="77777777" w:rsidTr="003567FF">
        <w:trPr>
          <w:trHeight w:val="304"/>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14:paraId="23220CC6"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 </w:t>
            </w:r>
          </w:p>
        </w:tc>
        <w:tc>
          <w:tcPr>
            <w:tcW w:w="1084" w:type="dxa"/>
            <w:tcBorders>
              <w:top w:val="nil"/>
              <w:left w:val="nil"/>
              <w:bottom w:val="single" w:sz="4" w:space="0" w:color="auto"/>
              <w:right w:val="single" w:sz="4" w:space="0" w:color="auto"/>
            </w:tcBorders>
            <w:shd w:val="clear" w:color="auto" w:fill="auto"/>
            <w:vAlign w:val="bottom"/>
            <w:hideMark/>
          </w:tcPr>
          <w:p w14:paraId="6C50D734"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 </w:t>
            </w:r>
          </w:p>
        </w:tc>
        <w:tc>
          <w:tcPr>
            <w:tcW w:w="951" w:type="dxa"/>
            <w:tcBorders>
              <w:top w:val="nil"/>
              <w:left w:val="nil"/>
              <w:bottom w:val="single" w:sz="4" w:space="0" w:color="auto"/>
              <w:right w:val="single" w:sz="4" w:space="0" w:color="auto"/>
            </w:tcBorders>
            <w:vAlign w:val="center"/>
          </w:tcPr>
          <w:p w14:paraId="745CC678" w14:textId="77777777" w:rsidR="00F6713F" w:rsidRPr="003567FF" w:rsidRDefault="00F6713F" w:rsidP="00A614A0">
            <w:pPr>
              <w:jc w:val="right"/>
              <w:rPr>
                <w:rFonts w:asciiTheme="minorHAnsi" w:eastAsia="Times New Roman" w:hAnsiTheme="minorHAnsi" w:cstheme="minorHAnsi"/>
              </w:rPr>
            </w:pPr>
          </w:p>
        </w:tc>
        <w:tc>
          <w:tcPr>
            <w:tcW w:w="1084" w:type="dxa"/>
            <w:tcBorders>
              <w:top w:val="nil"/>
              <w:left w:val="single" w:sz="4" w:space="0" w:color="auto"/>
              <w:bottom w:val="single" w:sz="4" w:space="0" w:color="auto"/>
              <w:right w:val="single" w:sz="4" w:space="0" w:color="auto"/>
            </w:tcBorders>
            <w:shd w:val="clear" w:color="auto" w:fill="auto"/>
            <w:vAlign w:val="bottom"/>
            <w:hideMark/>
          </w:tcPr>
          <w:p w14:paraId="2636EF0B"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 </w:t>
            </w:r>
          </w:p>
        </w:tc>
        <w:tc>
          <w:tcPr>
            <w:tcW w:w="951" w:type="dxa"/>
            <w:tcBorders>
              <w:top w:val="nil"/>
              <w:left w:val="nil"/>
              <w:bottom w:val="single" w:sz="4" w:space="0" w:color="auto"/>
              <w:right w:val="single" w:sz="4" w:space="0" w:color="auto"/>
            </w:tcBorders>
            <w:vAlign w:val="center"/>
          </w:tcPr>
          <w:p w14:paraId="247D3FCE" w14:textId="77777777" w:rsidR="00F6713F" w:rsidRPr="003567FF" w:rsidRDefault="00F6713F" w:rsidP="00A614A0">
            <w:pPr>
              <w:jc w:val="right"/>
              <w:rPr>
                <w:rFonts w:asciiTheme="minorHAnsi" w:eastAsia="Times New Roman" w:hAnsiTheme="minorHAnsi" w:cstheme="minorHAnsi"/>
              </w:rPr>
            </w:pPr>
          </w:p>
        </w:tc>
        <w:tc>
          <w:tcPr>
            <w:tcW w:w="1084" w:type="dxa"/>
            <w:tcBorders>
              <w:top w:val="nil"/>
              <w:left w:val="single" w:sz="4" w:space="0" w:color="auto"/>
              <w:bottom w:val="single" w:sz="4" w:space="0" w:color="auto"/>
              <w:right w:val="single" w:sz="8" w:space="0" w:color="auto"/>
            </w:tcBorders>
            <w:shd w:val="clear" w:color="auto" w:fill="auto"/>
            <w:vAlign w:val="bottom"/>
            <w:hideMark/>
          </w:tcPr>
          <w:p w14:paraId="74058E43"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 </w:t>
            </w:r>
          </w:p>
        </w:tc>
        <w:tc>
          <w:tcPr>
            <w:tcW w:w="951" w:type="dxa"/>
            <w:tcBorders>
              <w:top w:val="nil"/>
              <w:left w:val="nil"/>
              <w:bottom w:val="single" w:sz="4" w:space="0" w:color="auto"/>
              <w:right w:val="single" w:sz="4" w:space="0" w:color="auto"/>
            </w:tcBorders>
            <w:vAlign w:val="center"/>
          </w:tcPr>
          <w:p w14:paraId="142F84AC" w14:textId="77777777" w:rsidR="00F6713F" w:rsidRPr="003567FF" w:rsidRDefault="00F6713F" w:rsidP="00A614A0">
            <w:pPr>
              <w:jc w:val="right"/>
              <w:rPr>
                <w:rFonts w:asciiTheme="minorHAnsi" w:eastAsia="Times New Roman" w:hAnsiTheme="minorHAnsi" w:cstheme="minorHAnsi"/>
              </w:rPr>
            </w:pPr>
          </w:p>
        </w:tc>
        <w:tc>
          <w:tcPr>
            <w:tcW w:w="5518" w:type="dxa"/>
            <w:tcBorders>
              <w:top w:val="nil"/>
              <w:left w:val="single" w:sz="4" w:space="0" w:color="auto"/>
              <w:bottom w:val="single" w:sz="4" w:space="0" w:color="auto"/>
              <w:right w:val="single" w:sz="8" w:space="0" w:color="auto"/>
            </w:tcBorders>
            <w:vAlign w:val="center"/>
          </w:tcPr>
          <w:p w14:paraId="7E017659" w14:textId="77777777" w:rsidR="00F6713F" w:rsidRPr="003567FF" w:rsidRDefault="00F6713F" w:rsidP="00A614A0">
            <w:pPr>
              <w:rPr>
                <w:rFonts w:asciiTheme="minorHAnsi" w:eastAsia="Times New Roman" w:hAnsiTheme="minorHAnsi" w:cstheme="minorHAnsi"/>
              </w:rPr>
            </w:pPr>
          </w:p>
        </w:tc>
      </w:tr>
      <w:tr w:rsidR="00C92CD8" w14:paraId="224D9DC3" w14:textId="77777777" w:rsidTr="003567FF">
        <w:trPr>
          <w:trHeight w:val="304"/>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14:paraId="6A7AD4ED" w14:textId="77777777" w:rsidR="00F6713F" w:rsidRPr="003567FF" w:rsidRDefault="004A7A82" w:rsidP="00A614A0">
            <w:pPr>
              <w:rPr>
                <w:rFonts w:asciiTheme="minorHAnsi" w:eastAsia="Times New Roman" w:hAnsiTheme="minorHAnsi" w:cstheme="minorHAnsi"/>
                <w:b/>
                <w:bCs/>
              </w:rPr>
            </w:pPr>
            <w:r w:rsidRPr="003567FF">
              <w:rPr>
                <w:rFonts w:asciiTheme="minorHAnsi" w:eastAsia="Times New Roman" w:hAnsiTheme="minorHAnsi" w:cstheme="minorHAnsi"/>
                <w:b/>
                <w:bCs/>
              </w:rPr>
              <w:t>Inflation</w:t>
            </w:r>
          </w:p>
          <w:p w14:paraId="054767DC" w14:textId="77777777" w:rsidR="00F6713F" w:rsidRPr="003567FF" w:rsidRDefault="00F6713F" w:rsidP="00A614A0">
            <w:pPr>
              <w:rPr>
                <w:rFonts w:asciiTheme="minorHAnsi" w:eastAsia="Times New Roman" w:hAnsiTheme="minorHAnsi" w:cstheme="minorHAnsi"/>
                <w:b/>
                <w:bCs/>
              </w:rPr>
            </w:pPr>
          </w:p>
        </w:tc>
        <w:tc>
          <w:tcPr>
            <w:tcW w:w="1084" w:type="dxa"/>
            <w:tcBorders>
              <w:top w:val="nil"/>
              <w:left w:val="nil"/>
              <w:bottom w:val="single" w:sz="4" w:space="0" w:color="auto"/>
              <w:right w:val="single" w:sz="4" w:space="0" w:color="auto"/>
            </w:tcBorders>
            <w:shd w:val="clear" w:color="auto" w:fill="auto"/>
            <w:vAlign w:val="bottom"/>
            <w:hideMark/>
          </w:tcPr>
          <w:p w14:paraId="1F681BA5"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 </w:t>
            </w:r>
          </w:p>
        </w:tc>
        <w:tc>
          <w:tcPr>
            <w:tcW w:w="951" w:type="dxa"/>
            <w:tcBorders>
              <w:top w:val="nil"/>
              <w:left w:val="nil"/>
              <w:bottom w:val="single" w:sz="4" w:space="0" w:color="auto"/>
              <w:right w:val="single" w:sz="4" w:space="0" w:color="auto"/>
            </w:tcBorders>
            <w:vAlign w:val="center"/>
          </w:tcPr>
          <w:p w14:paraId="77F94FAC" w14:textId="77777777" w:rsidR="00F6713F" w:rsidRPr="003567FF" w:rsidRDefault="00F6713F" w:rsidP="00A614A0">
            <w:pPr>
              <w:jc w:val="right"/>
              <w:rPr>
                <w:rFonts w:asciiTheme="minorHAnsi" w:eastAsia="Times New Roman" w:hAnsiTheme="minorHAnsi" w:cstheme="minorHAnsi"/>
              </w:rPr>
            </w:pPr>
          </w:p>
        </w:tc>
        <w:tc>
          <w:tcPr>
            <w:tcW w:w="1084" w:type="dxa"/>
            <w:tcBorders>
              <w:top w:val="nil"/>
              <w:left w:val="single" w:sz="4" w:space="0" w:color="auto"/>
              <w:bottom w:val="single" w:sz="4" w:space="0" w:color="auto"/>
              <w:right w:val="single" w:sz="4" w:space="0" w:color="auto"/>
            </w:tcBorders>
            <w:shd w:val="clear" w:color="auto" w:fill="auto"/>
            <w:vAlign w:val="bottom"/>
            <w:hideMark/>
          </w:tcPr>
          <w:p w14:paraId="3272654F"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 </w:t>
            </w:r>
          </w:p>
        </w:tc>
        <w:tc>
          <w:tcPr>
            <w:tcW w:w="951" w:type="dxa"/>
            <w:tcBorders>
              <w:top w:val="nil"/>
              <w:left w:val="nil"/>
              <w:bottom w:val="single" w:sz="4" w:space="0" w:color="auto"/>
              <w:right w:val="single" w:sz="4" w:space="0" w:color="auto"/>
            </w:tcBorders>
            <w:vAlign w:val="center"/>
          </w:tcPr>
          <w:p w14:paraId="69A549DC" w14:textId="77777777" w:rsidR="00F6713F" w:rsidRPr="003567FF" w:rsidRDefault="00F6713F" w:rsidP="00A614A0">
            <w:pPr>
              <w:jc w:val="right"/>
              <w:rPr>
                <w:rFonts w:asciiTheme="minorHAnsi" w:eastAsia="Times New Roman" w:hAnsiTheme="minorHAnsi" w:cstheme="minorHAnsi"/>
              </w:rPr>
            </w:pPr>
          </w:p>
        </w:tc>
        <w:tc>
          <w:tcPr>
            <w:tcW w:w="1084" w:type="dxa"/>
            <w:tcBorders>
              <w:top w:val="nil"/>
              <w:left w:val="single" w:sz="4" w:space="0" w:color="auto"/>
              <w:bottom w:val="single" w:sz="4" w:space="0" w:color="auto"/>
              <w:right w:val="single" w:sz="8" w:space="0" w:color="auto"/>
            </w:tcBorders>
            <w:shd w:val="clear" w:color="auto" w:fill="auto"/>
            <w:vAlign w:val="bottom"/>
            <w:hideMark/>
          </w:tcPr>
          <w:p w14:paraId="050F65AD"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 </w:t>
            </w:r>
          </w:p>
        </w:tc>
        <w:tc>
          <w:tcPr>
            <w:tcW w:w="951" w:type="dxa"/>
            <w:tcBorders>
              <w:top w:val="nil"/>
              <w:left w:val="nil"/>
              <w:bottom w:val="single" w:sz="4" w:space="0" w:color="auto"/>
              <w:right w:val="single" w:sz="4" w:space="0" w:color="auto"/>
            </w:tcBorders>
            <w:vAlign w:val="center"/>
          </w:tcPr>
          <w:p w14:paraId="3ABC4EC7" w14:textId="77777777" w:rsidR="00F6713F" w:rsidRPr="003567FF" w:rsidRDefault="00F6713F" w:rsidP="00A614A0">
            <w:pPr>
              <w:jc w:val="right"/>
              <w:rPr>
                <w:rFonts w:asciiTheme="minorHAnsi" w:eastAsia="Times New Roman" w:hAnsiTheme="minorHAnsi" w:cstheme="minorHAnsi"/>
              </w:rPr>
            </w:pPr>
          </w:p>
        </w:tc>
        <w:tc>
          <w:tcPr>
            <w:tcW w:w="5518" w:type="dxa"/>
            <w:tcBorders>
              <w:top w:val="nil"/>
              <w:left w:val="single" w:sz="4" w:space="0" w:color="auto"/>
              <w:bottom w:val="single" w:sz="4" w:space="0" w:color="auto"/>
              <w:right w:val="single" w:sz="8" w:space="0" w:color="auto"/>
            </w:tcBorders>
            <w:vAlign w:val="center"/>
          </w:tcPr>
          <w:p w14:paraId="6526F338" w14:textId="77777777" w:rsidR="00F6713F" w:rsidRPr="003567FF" w:rsidRDefault="00F6713F" w:rsidP="00A614A0">
            <w:pPr>
              <w:rPr>
                <w:rFonts w:asciiTheme="minorHAnsi" w:eastAsia="Times New Roman" w:hAnsiTheme="minorHAnsi" w:cstheme="minorHAnsi"/>
              </w:rPr>
            </w:pPr>
          </w:p>
        </w:tc>
      </w:tr>
      <w:tr w:rsidR="00C92CD8" w14:paraId="0087E0F8" w14:textId="77777777" w:rsidTr="003567FF">
        <w:trPr>
          <w:trHeight w:val="304"/>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16AA0354"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Pay</w:t>
            </w:r>
          </w:p>
        </w:tc>
        <w:tc>
          <w:tcPr>
            <w:tcW w:w="1084" w:type="dxa"/>
            <w:tcBorders>
              <w:top w:val="nil"/>
              <w:left w:val="nil"/>
              <w:bottom w:val="single" w:sz="4" w:space="0" w:color="auto"/>
              <w:right w:val="single" w:sz="4" w:space="0" w:color="auto"/>
            </w:tcBorders>
            <w:shd w:val="clear" w:color="auto" w:fill="auto"/>
            <w:vAlign w:val="center"/>
            <w:hideMark/>
          </w:tcPr>
          <w:p w14:paraId="134E7DEB"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3.00%</w:t>
            </w:r>
          </w:p>
        </w:tc>
        <w:tc>
          <w:tcPr>
            <w:tcW w:w="951" w:type="dxa"/>
            <w:tcBorders>
              <w:top w:val="nil"/>
              <w:left w:val="nil"/>
              <w:bottom w:val="single" w:sz="4" w:space="0" w:color="auto"/>
              <w:right w:val="single" w:sz="4" w:space="0" w:color="auto"/>
            </w:tcBorders>
            <w:vAlign w:val="center"/>
          </w:tcPr>
          <w:p w14:paraId="45415007"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12.3</w:t>
            </w:r>
          </w:p>
        </w:tc>
        <w:tc>
          <w:tcPr>
            <w:tcW w:w="1084" w:type="dxa"/>
            <w:tcBorders>
              <w:top w:val="nil"/>
              <w:left w:val="single" w:sz="4" w:space="0" w:color="auto"/>
              <w:bottom w:val="single" w:sz="4" w:space="0" w:color="auto"/>
              <w:right w:val="single" w:sz="4" w:space="0" w:color="auto"/>
            </w:tcBorders>
            <w:shd w:val="clear" w:color="auto" w:fill="auto"/>
            <w:vAlign w:val="center"/>
            <w:hideMark/>
          </w:tcPr>
          <w:p w14:paraId="75A7E419"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3.00%</w:t>
            </w:r>
          </w:p>
        </w:tc>
        <w:tc>
          <w:tcPr>
            <w:tcW w:w="951" w:type="dxa"/>
            <w:tcBorders>
              <w:top w:val="nil"/>
              <w:left w:val="nil"/>
              <w:bottom w:val="single" w:sz="4" w:space="0" w:color="auto"/>
              <w:right w:val="single" w:sz="4" w:space="0" w:color="auto"/>
            </w:tcBorders>
            <w:vAlign w:val="center"/>
          </w:tcPr>
          <w:p w14:paraId="44E67ED4"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12.7</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14:paraId="599C6CA5"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2.00%</w:t>
            </w:r>
          </w:p>
        </w:tc>
        <w:tc>
          <w:tcPr>
            <w:tcW w:w="951" w:type="dxa"/>
            <w:tcBorders>
              <w:top w:val="nil"/>
              <w:left w:val="nil"/>
              <w:bottom w:val="single" w:sz="4" w:space="0" w:color="auto"/>
              <w:right w:val="single" w:sz="4" w:space="0" w:color="auto"/>
            </w:tcBorders>
            <w:vAlign w:val="center"/>
          </w:tcPr>
          <w:p w14:paraId="6100E9C7"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13.0</w:t>
            </w:r>
          </w:p>
        </w:tc>
        <w:tc>
          <w:tcPr>
            <w:tcW w:w="5518" w:type="dxa"/>
            <w:tcBorders>
              <w:top w:val="nil"/>
              <w:left w:val="single" w:sz="4" w:space="0" w:color="auto"/>
              <w:bottom w:val="single" w:sz="4" w:space="0" w:color="auto"/>
              <w:right w:val="single" w:sz="8" w:space="0" w:color="auto"/>
            </w:tcBorders>
            <w:vAlign w:val="center"/>
          </w:tcPr>
          <w:p w14:paraId="7B157073" w14:textId="77777777" w:rsidR="00F6713F" w:rsidRPr="003567FF" w:rsidRDefault="004A7A82" w:rsidP="00B569A9">
            <w:pPr>
              <w:jc w:val="both"/>
              <w:rPr>
                <w:rFonts w:asciiTheme="minorHAnsi" w:eastAsia="Times New Roman" w:hAnsiTheme="minorHAnsi" w:cstheme="minorHAnsi"/>
              </w:rPr>
            </w:pPr>
            <w:r w:rsidRPr="003567FF">
              <w:rPr>
                <w:rFonts w:asciiTheme="minorHAnsi" w:eastAsia="Times New Roman" w:hAnsiTheme="minorHAnsi" w:cstheme="minorHAnsi"/>
              </w:rPr>
              <w:t xml:space="preserve">Based on reducing inflation levels and benchmarking information from other county councils. </w:t>
            </w:r>
          </w:p>
        </w:tc>
      </w:tr>
      <w:tr w:rsidR="00C92CD8" w14:paraId="1E341457" w14:textId="77777777" w:rsidTr="003567FF">
        <w:trPr>
          <w:trHeight w:val="304"/>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77CE40DD"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Children's Social Care</w:t>
            </w:r>
          </w:p>
        </w:tc>
        <w:tc>
          <w:tcPr>
            <w:tcW w:w="1084" w:type="dxa"/>
            <w:tcBorders>
              <w:top w:val="nil"/>
              <w:left w:val="nil"/>
              <w:bottom w:val="single" w:sz="4" w:space="0" w:color="auto"/>
              <w:right w:val="single" w:sz="4" w:space="0" w:color="auto"/>
            </w:tcBorders>
            <w:shd w:val="clear" w:color="auto" w:fill="auto"/>
            <w:vAlign w:val="center"/>
            <w:hideMark/>
          </w:tcPr>
          <w:p w14:paraId="3E9B5606" w14:textId="5965C990"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Various</w:t>
            </w:r>
          </w:p>
        </w:tc>
        <w:tc>
          <w:tcPr>
            <w:tcW w:w="951" w:type="dxa"/>
            <w:tcBorders>
              <w:top w:val="nil"/>
              <w:left w:val="nil"/>
              <w:bottom w:val="single" w:sz="4" w:space="0" w:color="auto"/>
              <w:right w:val="single" w:sz="4" w:space="0" w:color="auto"/>
            </w:tcBorders>
            <w:vAlign w:val="center"/>
          </w:tcPr>
          <w:p w14:paraId="683FED3C"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5.0</w:t>
            </w:r>
          </w:p>
        </w:tc>
        <w:tc>
          <w:tcPr>
            <w:tcW w:w="1084" w:type="dxa"/>
            <w:tcBorders>
              <w:top w:val="nil"/>
              <w:left w:val="single" w:sz="4" w:space="0" w:color="auto"/>
              <w:bottom w:val="single" w:sz="4" w:space="0" w:color="auto"/>
              <w:right w:val="single" w:sz="4" w:space="0" w:color="auto"/>
            </w:tcBorders>
            <w:shd w:val="clear" w:color="auto" w:fill="auto"/>
            <w:vAlign w:val="center"/>
            <w:hideMark/>
          </w:tcPr>
          <w:p w14:paraId="777CF474"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Various</w:t>
            </w:r>
          </w:p>
        </w:tc>
        <w:tc>
          <w:tcPr>
            <w:tcW w:w="951" w:type="dxa"/>
            <w:tcBorders>
              <w:top w:val="nil"/>
              <w:left w:val="nil"/>
              <w:bottom w:val="single" w:sz="4" w:space="0" w:color="auto"/>
              <w:right w:val="single" w:sz="4" w:space="0" w:color="auto"/>
            </w:tcBorders>
            <w:vAlign w:val="center"/>
          </w:tcPr>
          <w:p w14:paraId="0FBB084B"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3.9</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14:paraId="1539EC5B"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Various</w:t>
            </w:r>
          </w:p>
        </w:tc>
        <w:tc>
          <w:tcPr>
            <w:tcW w:w="951" w:type="dxa"/>
            <w:tcBorders>
              <w:top w:val="nil"/>
              <w:left w:val="nil"/>
              <w:bottom w:val="single" w:sz="4" w:space="0" w:color="auto"/>
              <w:right w:val="single" w:sz="4" w:space="0" w:color="auto"/>
            </w:tcBorders>
            <w:vAlign w:val="center"/>
          </w:tcPr>
          <w:p w14:paraId="6A2D20FE"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3.5</w:t>
            </w:r>
          </w:p>
        </w:tc>
        <w:tc>
          <w:tcPr>
            <w:tcW w:w="5518" w:type="dxa"/>
            <w:tcBorders>
              <w:top w:val="nil"/>
              <w:left w:val="single" w:sz="4" w:space="0" w:color="auto"/>
              <w:bottom w:val="single" w:sz="4" w:space="0" w:color="auto"/>
              <w:right w:val="single" w:sz="8" w:space="0" w:color="auto"/>
            </w:tcBorders>
            <w:vAlign w:val="center"/>
          </w:tcPr>
          <w:p w14:paraId="602FD13A" w14:textId="77777777" w:rsidR="00F6713F" w:rsidRDefault="004A7A82" w:rsidP="00B569A9">
            <w:pPr>
              <w:jc w:val="both"/>
              <w:rPr>
                <w:rFonts w:asciiTheme="minorHAnsi" w:eastAsia="Times New Roman" w:hAnsiTheme="minorHAnsi" w:cstheme="minorHAnsi"/>
              </w:rPr>
            </w:pPr>
            <w:r w:rsidRPr="003567FF">
              <w:rPr>
                <w:rFonts w:asciiTheme="minorHAnsi" w:eastAsia="Times New Roman" w:hAnsiTheme="minorHAnsi" w:cstheme="minorHAnsi"/>
              </w:rPr>
              <w:t xml:space="preserve">CPI across contracts and type of expenditure varies with some areas using an average inflation figure and other having a very specific month's inflation as part of their contractual uplifts. </w:t>
            </w:r>
          </w:p>
          <w:p w14:paraId="6057AA7B" w14:textId="30F272EE" w:rsidR="003567FF" w:rsidRPr="003567FF" w:rsidRDefault="003567FF" w:rsidP="00B569A9">
            <w:pPr>
              <w:jc w:val="both"/>
              <w:rPr>
                <w:rFonts w:asciiTheme="minorHAnsi" w:eastAsia="Times New Roman" w:hAnsiTheme="minorHAnsi" w:cstheme="minorHAnsi"/>
              </w:rPr>
            </w:pPr>
          </w:p>
        </w:tc>
      </w:tr>
      <w:tr w:rsidR="00C92CD8" w14:paraId="71CFEBA6" w14:textId="77777777" w:rsidTr="003567FF">
        <w:trPr>
          <w:trHeight w:val="320"/>
        </w:trPr>
        <w:tc>
          <w:tcPr>
            <w:tcW w:w="25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E22850" w14:textId="77777777" w:rsidR="003567FF" w:rsidRPr="003567FF" w:rsidRDefault="004A7A82">
            <w:pPr>
              <w:rPr>
                <w:rFonts w:asciiTheme="minorHAnsi" w:eastAsia="Times New Roman" w:hAnsiTheme="minorHAnsi" w:cstheme="minorHAnsi"/>
              </w:rPr>
            </w:pPr>
            <w:r w:rsidRPr="003567FF">
              <w:rPr>
                <w:rFonts w:asciiTheme="minorHAnsi" w:eastAsia="Times New Roman" w:hAnsiTheme="minorHAnsi" w:cstheme="minorHAnsi"/>
              </w:rPr>
              <w:lastRenderedPageBreak/>
              <w:t> </w:t>
            </w:r>
          </w:p>
        </w:tc>
        <w:tc>
          <w:tcPr>
            <w:tcW w:w="1084" w:type="dxa"/>
            <w:tcBorders>
              <w:top w:val="single" w:sz="8" w:space="0" w:color="auto"/>
              <w:left w:val="nil"/>
              <w:bottom w:val="single" w:sz="8" w:space="0" w:color="auto"/>
              <w:right w:val="single" w:sz="4" w:space="0" w:color="auto"/>
            </w:tcBorders>
            <w:shd w:val="clear" w:color="auto" w:fill="auto"/>
            <w:vAlign w:val="center"/>
            <w:hideMark/>
          </w:tcPr>
          <w:p w14:paraId="6E316BA3" w14:textId="77777777" w:rsidR="003567FF" w:rsidRPr="003567FF" w:rsidRDefault="004A7A82">
            <w:pPr>
              <w:jc w:val="right"/>
              <w:rPr>
                <w:rFonts w:asciiTheme="minorHAnsi" w:eastAsia="Times New Roman" w:hAnsiTheme="minorHAnsi" w:cstheme="minorHAnsi"/>
                <w:b/>
                <w:bCs/>
              </w:rPr>
            </w:pPr>
            <w:r w:rsidRPr="003567FF">
              <w:rPr>
                <w:rFonts w:asciiTheme="minorHAnsi" w:eastAsia="Times New Roman" w:hAnsiTheme="minorHAnsi" w:cstheme="minorHAnsi"/>
                <w:b/>
                <w:bCs/>
              </w:rPr>
              <w:t>2024/25</w:t>
            </w:r>
          </w:p>
        </w:tc>
        <w:tc>
          <w:tcPr>
            <w:tcW w:w="951" w:type="dxa"/>
            <w:tcBorders>
              <w:top w:val="single" w:sz="8" w:space="0" w:color="auto"/>
              <w:left w:val="nil"/>
              <w:bottom w:val="single" w:sz="8" w:space="0" w:color="auto"/>
              <w:right w:val="single" w:sz="4" w:space="0" w:color="auto"/>
            </w:tcBorders>
            <w:vAlign w:val="center"/>
          </w:tcPr>
          <w:p w14:paraId="78FB3F9A" w14:textId="77777777" w:rsidR="003567FF" w:rsidRPr="003567FF" w:rsidRDefault="004A7A82">
            <w:pPr>
              <w:jc w:val="center"/>
              <w:rPr>
                <w:rFonts w:asciiTheme="minorHAnsi" w:eastAsia="Times New Roman" w:hAnsiTheme="minorHAnsi" w:cstheme="minorHAnsi"/>
                <w:b/>
                <w:bCs/>
              </w:rPr>
            </w:pPr>
            <w:r w:rsidRPr="003567FF">
              <w:rPr>
                <w:rFonts w:asciiTheme="minorHAnsi" w:eastAsia="Times New Roman" w:hAnsiTheme="minorHAnsi" w:cstheme="minorHAnsi"/>
                <w:b/>
                <w:bCs/>
              </w:rPr>
              <w:t>£m</w:t>
            </w:r>
          </w:p>
        </w:tc>
        <w:tc>
          <w:tcPr>
            <w:tcW w:w="108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9C3ECA8" w14:textId="77777777" w:rsidR="003567FF" w:rsidRPr="003567FF" w:rsidRDefault="004A7A82">
            <w:pPr>
              <w:jc w:val="center"/>
              <w:rPr>
                <w:rFonts w:asciiTheme="minorHAnsi" w:eastAsia="Times New Roman" w:hAnsiTheme="minorHAnsi" w:cstheme="minorHAnsi"/>
                <w:b/>
                <w:bCs/>
              </w:rPr>
            </w:pPr>
            <w:r w:rsidRPr="003567FF">
              <w:rPr>
                <w:rFonts w:asciiTheme="minorHAnsi" w:eastAsia="Times New Roman" w:hAnsiTheme="minorHAnsi" w:cstheme="minorHAnsi"/>
                <w:b/>
                <w:bCs/>
              </w:rPr>
              <w:t>2025/26</w:t>
            </w:r>
          </w:p>
        </w:tc>
        <w:tc>
          <w:tcPr>
            <w:tcW w:w="951" w:type="dxa"/>
            <w:tcBorders>
              <w:top w:val="single" w:sz="8" w:space="0" w:color="auto"/>
              <w:left w:val="nil"/>
              <w:bottom w:val="single" w:sz="8" w:space="0" w:color="auto"/>
              <w:right w:val="single" w:sz="4" w:space="0" w:color="auto"/>
            </w:tcBorders>
            <w:vAlign w:val="center"/>
          </w:tcPr>
          <w:p w14:paraId="4C5AD0A8" w14:textId="77777777" w:rsidR="003567FF" w:rsidRPr="003567FF" w:rsidRDefault="004A7A82">
            <w:pPr>
              <w:jc w:val="center"/>
              <w:rPr>
                <w:rFonts w:asciiTheme="minorHAnsi" w:eastAsia="Times New Roman" w:hAnsiTheme="minorHAnsi" w:cstheme="minorHAnsi"/>
                <w:b/>
                <w:bCs/>
              </w:rPr>
            </w:pPr>
            <w:r w:rsidRPr="003567FF">
              <w:rPr>
                <w:rFonts w:asciiTheme="minorHAnsi" w:eastAsia="Times New Roman" w:hAnsiTheme="minorHAnsi" w:cstheme="minorHAnsi"/>
                <w:b/>
                <w:bCs/>
              </w:rPr>
              <w:t>£m</w:t>
            </w:r>
          </w:p>
        </w:tc>
        <w:tc>
          <w:tcPr>
            <w:tcW w:w="108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3039EE3" w14:textId="77777777" w:rsidR="003567FF" w:rsidRPr="003567FF" w:rsidRDefault="004A7A82">
            <w:pPr>
              <w:jc w:val="center"/>
              <w:rPr>
                <w:rFonts w:asciiTheme="minorHAnsi" w:eastAsia="Times New Roman" w:hAnsiTheme="minorHAnsi" w:cstheme="minorHAnsi"/>
                <w:b/>
                <w:bCs/>
              </w:rPr>
            </w:pPr>
            <w:r w:rsidRPr="003567FF">
              <w:rPr>
                <w:rFonts w:asciiTheme="minorHAnsi" w:eastAsia="Times New Roman" w:hAnsiTheme="minorHAnsi" w:cstheme="minorHAnsi"/>
                <w:b/>
                <w:bCs/>
              </w:rPr>
              <w:t>2026/27</w:t>
            </w:r>
          </w:p>
        </w:tc>
        <w:tc>
          <w:tcPr>
            <w:tcW w:w="951" w:type="dxa"/>
            <w:tcBorders>
              <w:top w:val="single" w:sz="8" w:space="0" w:color="auto"/>
              <w:left w:val="nil"/>
              <w:bottom w:val="single" w:sz="8" w:space="0" w:color="auto"/>
              <w:right w:val="single" w:sz="4" w:space="0" w:color="auto"/>
            </w:tcBorders>
            <w:vAlign w:val="center"/>
          </w:tcPr>
          <w:p w14:paraId="4CF34CD8" w14:textId="77777777" w:rsidR="003567FF" w:rsidRPr="003567FF" w:rsidRDefault="004A7A82">
            <w:pPr>
              <w:jc w:val="center"/>
              <w:rPr>
                <w:rFonts w:asciiTheme="minorHAnsi" w:eastAsia="Times New Roman" w:hAnsiTheme="minorHAnsi" w:cstheme="minorHAnsi"/>
                <w:b/>
                <w:bCs/>
              </w:rPr>
            </w:pPr>
            <w:r w:rsidRPr="003567FF">
              <w:rPr>
                <w:rFonts w:asciiTheme="minorHAnsi" w:eastAsia="Times New Roman" w:hAnsiTheme="minorHAnsi" w:cstheme="minorHAnsi"/>
                <w:b/>
                <w:bCs/>
              </w:rPr>
              <w:t>£m</w:t>
            </w:r>
          </w:p>
        </w:tc>
        <w:tc>
          <w:tcPr>
            <w:tcW w:w="5518" w:type="dxa"/>
            <w:tcBorders>
              <w:top w:val="single" w:sz="8" w:space="0" w:color="auto"/>
              <w:left w:val="single" w:sz="4" w:space="0" w:color="auto"/>
              <w:bottom w:val="single" w:sz="8" w:space="0" w:color="auto"/>
              <w:right w:val="single" w:sz="8" w:space="0" w:color="auto"/>
            </w:tcBorders>
            <w:vAlign w:val="center"/>
          </w:tcPr>
          <w:p w14:paraId="2CD7E744" w14:textId="77777777" w:rsidR="003567FF" w:rsidRPr="003567FF" w:rsidRDefault="004A7A82">
            <w:pPr>
              <w:jc w:val="center"/>
              <w:rPr>
                <w:rFonts w:asciiTheme="minorHAnsi" w:eastAsia="Times New Roman" w:hAnsiTheme="minorHAnsi" w:cstheme="minorHAnsi"/>
                <w:b/>
                <w:bCs/>
              </w:rPr>
            </w:pPr>
            <w:r w:rsidRPr="003567FF">
              <w:rPr>
                <w:rFonts w:asciiTheme="minorHAnsi" w:eastAsia="Times New Roman" w:hAnsiTheme="minorHAnsi" w:cstheme="minorHAnsi"/>
                <w:b/>
                <w:bCs/>
              </w:rPr>
              <w:t>Description</w:t>
            </w:r>
          </w:p>
        </w:tc>
      </w:tr>
      <w:tr w:rsidR="00C92CD8" w14:paraId="5B82AA62" w14:textId="77777777" w:rsidTr="003567FF">
        <w:trPr>
          <w:trHeight w:val="304"/>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4EFD1769"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Adult Social Care</w:t>
            </w:r>
          </w:p>
        </w:tc>
        <w:tc>
          <w:tcPr>
            <w:tcW w:w="1084" w:type="dxa"/>
            <w:tcBorders>
              <w:top w:val="nil"/>
              <w:left w:val="nil"/>
              <w:bottom w:val="single" w:sz="4" w:space="0" w:color="auto"/>
              <w:right w:val="single" w:sz="4" w:space="0" w:color="auto"/>
            </w:tcBorders>
            <w:shd w:val="clear" w:color="auto" w:fill="auto"/>
            <w:vAlign w:val="center"/>
            <w:hideMark/>
          </w:tcPr>
          <w:p w14:paraId="5E77EDC3"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Various</w:t>
            </w:r>
          </w:p>
        </w:tc>
        <w:tc>
          <w:tcPr>
            <w:tcW w:w="951" w:type="dxa"/>
            <w:tcBorders>
              <w:top w:val="nil"/>
              <w:left w:val="nil"/>
              <w:bottom w:val="single" w:sz="4" w:space="0" w:color="auto"/>
              <w:right w:val="single" w:sz="4" w:space="0" w:color="auto"/>
            </w:tcBorders>
            <w:vAlign w:val="center"/>
          </w:tcPr>
          <w:p w14:paraId="39E92AC8"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37.9</w:t>
            </w:r>
          </w:p>
        </w:tc>
        <w:tc>
          <w:tcPr>
            <w:tcW w:w="1084" w:type="dxa"/>
            <w:tcBorders>
              <w:top w:val="nil"/>
              <w:left w:val="single" w:sz="4" w:space="0" w:color="auto"/>
              <w:bottom w:val="single" w:sz="4" w:space="0" w:color="auto"/>
              <w:right w:val="single" w:sz="4" w:space="0" w:color="auto"/>
            </w:tcBorders>
            <w:shd w:val="clear" w:color="auto" w:fill="auto"/>
            <w:vAlign w:val="center"/>
            <w:hideMark/>
          </w:tcPr>
          <w:p w14:paraId="411B056F"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Various</w:t>
            </w:r>
          </w:p>
        </w:tc>
        <w:tc>
          <w:tcPr>
            <w:tcW w:w="951" w:type="dxa"/>
            <w:tcBorders>
              <w:top w:val="nil"/>
              <w:left w:val="nil"/>
              <w:bottom w:val="single" w:sz="4" w:space="0" w:color="auto"/>
              <w:right w:val="single" w:sz="4" w:space="0" w:color="auto"/>
            </w:tcBorders>
            <w:vAlign w:val="center"/>
          </w:tcPr>
          <w:p w14:paraId="44AC57CE"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45.0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14:paraId="22B14391"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Various</w:t>
            </w:r>
          </w:p>
        </w:tc>
        <w:tc>
          <w:tcPr>
            <w:tcW w:w="951" w:type="dxa"/>
            <w:tcBorders>
              <w:top w:val="nil"/>
              <w:left w:val="nil"/>
              <w:bottom w:val="single" w:sz="4" w:space="0" w:color="auto"/>
              <w:right w:val="single" w:sz="4" w:space="0" w:color="auto"/>
            </w:tcBorders>
            <w:vAlign w:val="center"/>
          </w:tcPr>
          <w:p w14:paraId="0579E154"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26.9</w:t>
            </w:r>
          </w:p>
        </w:tc>
        <w:tc>
          <w:tcPr>
            <w:tcW w:w="5518" w:type="dxa"/>
            <w:tcBorders>
              <w:top w:val="nil"/>
              <w:left w:val="single" w:sz="4" w:space="0" w:color="auto"/>
              <w:bottom w:val="single" w:sz="4" w:space="0" w:color="auto"/>
              <w:right w:val="single" w:sz="8" w:space="0" w:color="auto"/>
            </w:tcBorders>
            <w:vAlign w:val="center"/>
          </w:tcPr>
          <w:p w14:paraId="2FC60A37" w14:textId="77777777" w:rsidR="00F6713F" w:rsidRPr="003567FF" w:rsidRDefault="004A7A82" w:rsidP="00B569A9">
            <w:pPr>
              <w:jc w:val="both"/>
              <w:rPr>
                <w:rFonts w:asciiTheme="minorHAnsi" w:eastAsia="Times New Roman" w:hAnsiTheme="minorHAnsi" w:cstheme="minorHAnsi"/>
              </w:rPr>
            </w:pPr>
            <w:r w:rsidRPr="003567FF">
              <w:rPr>
                <w:rFonts w:asciiTheme="minorHAnsi" w:eastAsia="Times New Roman" w:hAnsiTheme="minorHAnsi" w:cstheme="minorHAnsi"/>
              </w:rPr>
              <w:t xml:space="preserve">Driven largely by National Living Wage increases and CPI which form the basis of the uplifts agreed annually to provider fees.  Increases vary across each type of care provision. </w:t>
            </w:r>
          </w:p>
        </w:tc>
      </w:tr>
      <w:tr w:rsidR="00C92CD8" w14:paraId="6DE70CB6" w14:textId="77777777" w:rsidTr="003567FF">
        <w:trPr>
          <w:trHeight w:val="304"/>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3ECF599A"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Waste</w:t>
            </w:r>
          </w:p>
        </w:tc>
        <w:tc>
          <w:tcPr>
            <w:tcW w:w="1084" w:type="dxa"/>
            <w:tcBorders>
              <w:top w:val="nil"/>
              <w:left w:val="nil"/>
              <w:bottom w:val="single" w:sz="4" w:space="0" w:color="auto"/>
              <w:right w:val="single" w:sz="4" w:space="0" w:color="auto"/>
            </w:tcBorders>
            <w:shd w:val="clear" w:color="auto" w:fill="auto"/>
            <w:vAlign w:val="center"/>
            <w:hideMark/>
          </w:tcPr>
          <w:p w14:paraId="33AD4748"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4.30%</w:t>
            </w:r>
          </w:p>
        </w:tc>
        <w:tc>
          <w:tcPr>
            <w:tcW w:w="951" w:type="dxa"/>
            <w:tcBorders>
              <w:top w:val="nil"/>
              <w:left w:val="nil"/>
              <w:bottom w:val="single" w:sz="4" w:space="0" w:color="auto"/>
              <w:right w:val="single" w:sz="4" w:space="0" w:color="auto"/>
            </w:tcBorders>
            <w:vAlign w:val="center"/>
          </w:tcPr>
          <w:p w14:paraId="199462EF"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3.8</w:t>
            </w:r>
          </w:p>
        </w:tc>
        <w:tc>
          <w:tcPr>
            <w:tcW w:w="1084" w:type="dxa"/>
            <w:tcBorders>
              <w:top w:val="nil"/>
              <w:left w:val="single" w:sz="4" w:space="0" w:color="auto"/>
              <w:bottom w:val="single" w:sz="4" w:space="0" w:color="auto"/>
              <w:right w:val="single" w:sz="4" w:space="0" w:color="auto"/>
            </w:tcBorders>
            <w:shd w:val="clear" w:color="auto" w:fill="auto"/>
            <w:vAlign w:val="center"/>
            <w:hideMark/>
          </w:tcPr>
          <w:p w14:paraId="6CA43321"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2.80%</w:t>
            </w:r>
          </w:p>
        </w:tc>
        <w:tc>
          <w:tcPr>
            <w:tcW w:w="951" w:type="dxa"/>
            <w:tcBorders>
              <w:top w:val="nil"/>
              <w:left w:val="nil"/>
              <w:bottom w:val="single" w:sz="4" w:space="0" w:color="auto"/>
              <w:right w:val="single" w:sz="4" w:space="0" w:color="auto"/>
            </w:tcBorders>
            <w:vAlign w:val="center"/>
          </w:tcPr>
          <w:p w14:paraId="724A5DB0"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2.6</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14:paraId="29F92DF0"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2.80%</w:t>
            </w:r>
          </w:p>
        </w:tc>
        <w:tc>
          <w:tcPr>
            <w:tcW w:w="951" w:type="dxa"/>
            <w:tcBorders>
              <w:top w:val="nil"/>
              <w:left w:val="nil"/>
              <w:bottom w:val="single" w:sz="4" w:space="0" w:color="auto"/>
              <w:right w:val="single" w:sz="4" w:space="0" w:color="auto"/>
            </w:tcBorders>
            <w:vAlign w:val="center"/>
          </w:tcPr>
          <w:p w14:paraId="5764138C"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2.7</w:t>
            </w:r>
          </w:p>
        </w:tc>
        <w:tc>
          <w:tcPr>
            <w:tcW w:w="5518" w:type="dxa"/>
            <w:tcBorders>
              <w:top w:val="nil"/>
              <w:left w:val="single" w:sz="4" w:space="0" w:color="auto"/>
              <w:bottom w:val="single" w:sz="4" w:space="0" w:color="auto"/>
              <w:right w:val="single" w:sz="8" w:space="0" w:color="auto"/>
            </w:tcBorders>
            <w:vAlign w:val="center"/>
          </w:tcPr>
          <w:p w14:paraId="354EC703" w14:textId="77777777" w:rsidR="00F6713F" w:rsidRPr="003567FF" w:rsidRDefault="00F6713F" w:rsidP="00A614A0">
            <w:pPr>
              <w:rPr>
                <w:rFonts w:asciiTheme="minorHAnsi" w:eastAsia="Times New Roman" w:hAnsiTheme="minorHAnsi" w:cstheme="minorHAnsi"/>
              </w:rPr>
            </w:pPr>
          </w:p>
          <w:p w14:paraId="2A35A02C"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Contractual costs increased at RPI.</w:t>
            </w:r>
          </w:p>
          <w:p w14:paraId="664E88E8" w14:textId="77777777" w:rsidR="00F6713F" w:rsidRPr="003567FF" w:rsidRDefault="00F6713F" w:rsidP="00A614A0">
            <w:pPr>
              <w:rPr>
                <w:rFonts w:asciiTheme="minorHAnsi" w:eastAsia="Times New Roman" w:hAnsiTheme="minorHAnsi" w:cstheme="minorHAnsi"/>
              </w:rPr>
            </w:pPr>
          </w:p>
        </w:tc>
      </w:tr>
      <w:tr w:rsidR="00C92CD8" w14:paraId="66609FB3" w14:textId="77777777" w:rsidTr="003567FF">
        <w:trPr>
          <w:trHeight w:val="304"/>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53DF998D"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Highways</w:t>
            </w:r>
          </w:p>
        </w:tc>
        <w:tc>
          <w:tcPr>
            <w:tcW w:w="1084" w:type="dxa"/>
            <w:tcBorders>
              <w:top w:val="nil"/>
              <w:left w:val="nil"/>
              <w:bottom w:val="single" w:sz="4" w:space="0" w:color="auto"/>
              <w:right w:val="single" w:sz="4" w:space="0" w:color="auto"/>
            </w:tcBorders>
            <w:shd w:val="clear" w:color="auto" w:fill="auto"/>
            <w:vAlign w:val="center"/>
            <w:hideMark/>
          </w:tcPr>
          <w:p w14:paraId="4412A4BE"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4.30%</w:t>
            </w:r>
          </w:p>
        </w:tc>
        <w:tc>
          <w:tcPr>
            <w:tcW w:w="951" w:type="dxa"/>
            <w:tcBorders>
              <w:top w:val="nil"/>
              <w:left w:val="nil"/>
              <w:bottom w:val="single" w:sz="4" w:space="0" w:color="auto"/>
              <w:right w:val="single" w:sz="4" w:space="0" w:color="auto"/>
            </w:tcBorders>
            <w:vAlign w:val="center"/>
          </w:tcPr>
          <w:p w14:paraId="1A46E3CB"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0.8</w:t>
            </w:r>
          </w:p>
        </w:tc>
        <w:tc>
          <w:tcPr>
            <w:tcW w:w="1084" w:type="dxa"/>
            <w:tcBorders>
              <w:top w:val="nil"/>
              <w:left w:val="single" w:sz="4" w:space="0" w:color="auto"/>
              <w:bottom w:val="single" w:sz="4" w:space="0" w:color="auto"/>
              <w:right w:val="single" w:sz="4" w:space="0" w:color="auto"/>
            </w:tcBorders>
            <w:shd w:val="clear" w:color="auto" w:fill="auto"/>
            <w:vAlign w:val="center"/>
            <w:hideMark/>
          </w:tcPr>
          <w:p w14:paraId="2C9DA343"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2.80%</w:t>
            </w:r>
          </w:p>
        </w:tc>
        <w:tc>
          <w:tcPr>
            <w:tcW w:w="951" w:type="dxa"/>
            <w:tcBorders>
              <w:top w:val="nil"/>
              <w:left w:val="nil"/>
              <w:bottom w:val="single" w:sz="4" w:space="0" w:color="auto"/>
              <w:right w:val="single" w:sz="4" w:space="0" w:color="auto"/>
            </w:tcBorders>
            <w:vAlign w:val="center"/>
          </w:tcPr>
          <w:p w14:paraId="368D03E1"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0.5</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14:paraId="5ADA8D9A"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2.80%</w:t>
            </w:r>
          </w:p>
        </w:tc>
        <w:tc>
          <w:tcPr>
            <w:tcW w:w="951" w:type="dxa"/>
            <w:tcBorders>
              <w:top w:val="nil"/>
              <w:left w:val="nil"/>
              <w:bottom w:val="single" w:sz="4" w:space="0" w:color="auto"/>
              <w:right w:val="single" w:sz="4" w:space="0" w:color="auto"/>
            </w:tcBorders>
            <w:vAlign w:val="center"/>
          </w:tcPr>
          <w:p w14:paraId="0D773600"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0.5</w:t>
            </w:r>
          </w:p>
        </w:tc>
        <w:tc>
          <w:tcPr>
            <w:tcW w:w="5518" w:type="dxa"/>
            <w:tcBorders>
              <w:top w:val="nil"/>
              <w:left w:val="single" w:sz="4" w:space="0" w:color="auto"/>
              <w:bottom w:val="single" w:sz="4" w:space="0" w:color="auto"/>
              <w:right w:val="single" w:sz="8" w:space="0" w:color="auto"/>
            </w:tcBorders>
            <w:vAlign w:val="center"/>
          </w:tcPr>
          <w:p w14:paraId="315F4470" w14:textId="77777777" w:rsidR="00F6713F" w:rsidRPr="003567FF" w:rsidRDefault="00F6713F" w:rsidP="00A614A0">
            <w:pPr>
              <w:rPr>
                <w:rFonts w:asciiTheme="minorHAnsi" w:eastAsia="Times New Roman" w:hAnsiTheme="minorHAnsi" w:cstheme="minorHAnsi"/>
              </w:rPr>
            </w:pPr>
          </w:p>
          <w:p w14:paraId="2ED15D7F"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Contractual costs increased at RPI.</w:t>
            </w:r>
          </w:p>
          <w:p w14:paraId="30FC9EB0" w14:textId="77777777" w:rsidR="00F6713F" w:rsidRPr="003567FF" w:rsidRDefault="00F6713F" w:rsidP="00A614A0">
            <w:pPr>
              <w:rPr>
                <w:rFonts w:asciiTheme="minorHAnsi" w:eastAsia="Times New Roman" w:hAnsiTheme="minorHAnsi" w:cstheme="minorHAnsi"/>
              </w:rPr>
            </w:pPr>
          </w:p>
        </w:tc>
      </w:tr>
      <w:tr w:rsidR="00C92CD8" w14:paraId="72D1AECB" w14:textId="77777777" w:rsidTr="003567FF">
        <w:trPr>
          <w:trHeight w:val="304"/>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23DB8719"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Transport</w:t>
            </w:r>
          </w:p>
        </w:tc>
        <w:tc>
          <w:tcPr>
            <w:tcW w:w="1084" w:type="dxa"/>
            <w:tcBorders>
              <w:top w:val="nil"/>
              <w:left w:val="nil"/>
              <w:bottom w:val="single" w:sz="4" w:space="0" w:color="auto"/>
              <w:right w:val="single" w:sz="4" w:space="0" w:color="auto"/>
            </w:tcBorders>
            <w:shd w:val="clear" w:color="auto" w:fill="auto"/>
            <w:vAlign w:val="center"/>
            <w:hideMark/>
          </w:tcPr>
          <w:p w14:paraId="37DA813B"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4.30%</w:t>
            </w:r>
          </w:p>
        </w:tc>
        <w:tc>
          <w:tcPr>
            <w:tcW w:w="951" w:type="dxa"/>
            <w:tcBorders>
              <w:top w:val="nil"/>
              <w:left w:val="nil"/>
              <w:bottom w:val="single" w:sz="4" w:space="0" w:color="auto"/>
              <w:right w:val="single" w:sz="4" w:space="0" w:color="auto"/>
            </w:tcBorders>
            <w:vAlign w:val="center"/>
          </w:tcPr>
          <w:p w14:paraId="549C8248"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3.2</w:t>
            </w:r>
          </w:p>
        </w:tc>
        <w:tc>
          <w:tcPr>
            <w:tcW w:w="1084" w:type="dxa"/>
            <w:tcBorders>
              <w:top w:val="nil"/>
              <w:left w:val="single" w:sz="4" w:space="0" w:color="auto"/>
              <w:bottom w:val="single" w:sz="4" w:space="0" w:color="auto"/>
              <w:right w:val="single" w:sz="4" w:space="0" w:color="auto"/>
            </w:tcBorders>
            <w:shd w:val="clear" w:color="auto" w:fill="auto"/>
            <w:vAlign w:val="center"/>
            <w:hideMark/>
          </w:tcPr>
          <w:p w14:paraId="133EF9CC"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2.80%</w:t>
            </w:r>
          </w:p>
        </w:tc>
        <w:tc>
          <w:tcPr>
            <w:tcW w:w="951" w:type="dxa"/>
            <w:tcBorders>
              <w:top w:val="nil"/>
              <w:left w:val="nil"/>
              <w:bottom w:val="single" w:sz="4" w:space="0" w:color="auto"/>
              <w:right w:val="single" w:sz="4" w:space="0" w:color="auto"/>
            </w:tcBorders>
            <w:vAlign w:val="center"/>
          </w:tcPr>
          <w:p w14:paraId="7201C153"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2.0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14:paraId="48629286"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2.80%</w:t>
            </w:r>
          </w:p>
        </w:tc>
        <w:tc>
          <w:tcPr>
            <w:tcW w:w="951" w:type="dxa"/>
            <w:tcBorders>
              <w:top w:val="nil"/>
              <w:left w:val="nil"/>
              <w:bottom w:val="single" w:sz="4" w:space="0" w:color="auto"/>
              <w:right w:val="single" w:sz="4" w:space="0" w:color="auto"/>
            </w:tcBorders>
            <w:vAlign w:val="center"/>
          </w:tcPr>
          <w:p w14:paraId="089C04D0"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2.1</w:t>
            </w:r>
          </w:p>
        </w:tc>
        <w:tc>
          <w:tcPr>
            <w:tcW w:w="5518" w:type="dxa"/>
            <w:tcBorders>
              <w:top w:val="nil"/>
              <w:left w:val="single" w:sz="4" w:space="0" w:color="auto"/>
              <w:bottom w:val="single" w:sz="4" w:space="0" w:color="auto"/>
              <w:right w:val="single" w:sz="8" w:space="0" w:color="auto"/>
            </w:tcBorders>
            <w:vAlign w:val="center"/>
          </w:tcPr>
          <w:p w14:paraId="647142C7" w14:textId="77777777" w:rsidR="00F6713F" w:rsidRPr="003567FF" w:rsidRDefault="00F6713F" w:rsidP="00A614A0">
            <w:pPr>
              <w:rPr>
                <w:rFonts w:asciiTheme="minorHAnsi" w:eastAsia="Times New Roman" w:hAnsiTheme="minorHAnsi" w:cstheme="minorHAnsi"/>
              </w:rPr>
            </w:pPr>
          </w:p>
          <w:p w14:paraId="681BB45E"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Contractual costs increased at RPI.</w:t>
            </w:r>
          </w:p>
          <w:p w14:paraId="09E35F75" w14:textId="77777777" w:rsidR="00F6713F" w:rsidRPr="003567FF" w:rsidRDefault="00F6713F" w:rsidP="00A614A0">
            <w:pPr>
              <w:rPr>
                <w:rFonts w:asciiTheme="minorHAnsi" w:eastAsia="Times New Roman" w:hAnsiTheme="minorHAnsi" w:cstheme="minorHAnsi"/>
              </w:rPr>
            </w:pPr>
          </w:p>
        </w:tc>
      </w:tr>
      <w:tr w:rsidR="00C92CD8" w14:paraId="58A772F3" w14:textId="77777777" w:rsidTr="003567FF">
        <w:trPr>
          <w:trHeight w:val="304"/>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4E14F738"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Electricity</w:t>
            </w:r>
          </w:p>
        </w:tc>
        <w:tc>
          <w:tcPr>
            <w:tcW w:w="1084" w:type="dxa"/>
            <w:tcBorders>
              <w:top w:val="nil"/>
              <w:left w:val="nil"/>
              <w:bottom w:val="single" w:sz="4" w:space="0" w:color="auto"/>
              <w:right w:val="single" w:sz="4" w:space="0" w:color="auto"/>
            </w:tcBorders>
            <w:shd w:val="clear" w:color="auto" w:fill="auto"/>
            <w:vAlign w:val="center"/>
            <w:hideMark/>
          </w:tcPr>
          <w:p w14:paraId="155CEDCC"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4.60%</w:t>
            </w:r>
          </w:p>
        </w:tc>
        <w:tc>
          <w:tcPr>
            <w:tcW w:w="951" w:type="dxa"/>
            <w:tcBorders>
              <w:top w:val="nil"/>
              <w:left w:val="nil"/>
              <w:bottom w:val="single" w:sz="4" w:space="0" w:color="auto"/>
              <w:right w:val="single" w:sz="4" w:space="0" w:color="auto"/>
            </w:tcBorders>
            <w:vAlign w:val="center"/>
          </w:tcPr>
          <w:p w14:paraId="291B6568"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0.2</w:t>
            </w:r>
          </w:p>
        </w:tc>
        <w:tc>
          <w:tcPr>
            <w:tcW w:w="1084" w:type="dxa"/>
            <w:tcBorders>
              <w:top w:val="nil"/>
              <w:left w:val="single" w:sz="4" w:space="0" w:color="auto"/>
              <w:bottom w:val="single" w:sz="4" w:space="0" w:color="auto"/>
              <w:right w:val="single" w:sz="4" w:space="0" w:color="auto"/>
            </w:tcBorders>
            <w:shd w:val="clear" w:color="auto" w:fill="auto"/>
            <w:vAlign w:val="center"/>
            <w:hideMark/>
          </w:tcPr>
          <w:p w14:paraId="1B0E0666"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2.80%</w:t>
            </w:r>
          </w:p>
        </w:tc>
        <w:tc>
          <w:tcPr>
            <w:tcW w:w="951" w:type="dxa"/>
            <w:tcBorders>
              <w:top w:val="nil"/>
              <w:left w:val="nil"/>
              <w:bottom w:val="single" w:sz="4" w:space="0" w:color="auto"/>
              <w:right w:val="single" w:sz="4" w:space="0" w:color="auto"/>
            </w:tcBorders>
            <w:vAlign w:val="center"/>
          </w:tcPr>
          <w:p w14:paraId="041832B4"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0.1</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14:paraId="2F5DC6FC"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2.80%</w:t>
            </w:r>
          </w:p>
        </w:tc>
        <w:tc>
          <w:tcPr>
            <w:tcW w:w="951" w:type="dxa"/>
            <w:tcBorders>
              <w:top w:val="nil"/>
              <w:left w:val="nil"/>
              <w:bottom w:val="single" w:sz="4" w:space="0" w:color="auto"/>
              <w:right w:val="single" w:sz="4" w:space="0" w:color="auto"/>
            </w:tcBorders>
            <w:vAlign w:val="center"/>
          </w:tcPr>
          <w:p w14:paraId="3BA76FBD"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0.1</w:t>
            </w:r>
          </w:p>
        </w:tc>
        <w:tc>
          <w:tcPr>
            <w:tcW w:w="5518" w:type="dxa"/>
            <w:tcBorders>
              <w:top w:val="nil"/>
              <w:left w:val="single" w:sz="4" w:space="0" w:color="auto"/>
              <w:bottom w:val="single" w:sz="4" w:space="0" w:color="auto"/>
              <w:right w:val="single" w:sz="8" w:space="0" w:color="auto"/>
            </w:tcBorders>
            <w:vAlign w:val="center"/>
          </w:tcPr>
          <w:p w14:paraId="2176765C" w14:textId="77777777" w:rsidR="00F6713F" w:rsidRPr="003567FF" w:rsidRDefault="004A7A82" w:rsidP="00B569A9">
            <w:pPr>
              <w:jc w:val="both"/>
              <w:rPr>
                <w:rFonts w:asciiTheme="minorHAnsi" w:eastAsia="Times New Roman" w:hAnsiTheme="minorHAnsi" w:cstheme="minorHAnsi"/>
              </w:rPr>
            </w:pPr>
            <w:r w:rsidRPr="003567FF">
              <w:rPr>
                <w:rFonts w:asciiTheme="minorHAnsi" w:eastAsia="Times New Roman" w:hAnsiTheme="minorHAnsi" w:cstheme="minorHAnsi"/>
              </w:rPr>
              <w:t xml:space="preserve">Electricity purchased in advance for 2024/25, later years increases assumed at RPI. Whilst this table demonstrates the CPI applied, as part of the medium-term financial strategy calculations an arbitrary adjustment to take out 2022/23 and 2023/24 significant levels of inflation have been included – therefore on the summary tables in Appendix A the overall adjustment is a budget reduction. </w:t>
            </w:r>
          </w:p>
        </w:tc>
      </w:tr>
      <w:tr w:rsidR="00C92CD8" w14:paraId="16CBAB97" w14:textId="77777777" w:rsidTr="003567FF">
        <w:trPr>
          <w:trHeight w:val="304"/>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2AF1B1B7"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Gas</w:t>
            </w:r>
          </w:p>
        </w:tc>
        <w:tc>
          <w:tcPr>
            <w:tcW w:w="1084" w:type="dxa"/>
            <w:tcBorders>
              <w:top w:val="nil"/>
              <w:left w:val="nil"/>
              <w:bottom w:val="single" w:sz="4" w:space="0" w:color="auto"/>
              <w:right w:val="single" w:sz="4" w:space="0" w:color="auto"/>
            </w:tcBorders>
            <w:shd w:val="clear" w:color="auto" w:fill="auto"/>
            <w:vAlign w:val="center"/>
            <w:hideMark/>
          </w:tcPr>
          <w:p w14:paraId="153B805E"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-9.50%</w:t>
            </w:r>
          </w:p>
        </w:tc>
        <w:tc>
          <w:tcPr>
            <w:tcW w:w="951" w:type="dxa"/>
            <w:tcBorders>
              <w:top w:val="nil"/>
              <w:left w:val="nil"/>
              <w:bottom w:val="single" w:sz="4" w:space="0" w:color="auto"/>
              <w:right w:val="single" w:sz="4" w:space="0" w:color="auto"/>
            </w:tcBorders>
            <w:vAlign w:val="center"/>
          </w:tcPr>
          <w:p w14:paraId="26B8432F"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-0.1</w:t>
            </w:r>
          </w:p>
        </w:tc>
        <w:tc>
          <w:tcPr>
            <w:tcW w:w="1084" w:type="dxa"/>
            <w:tcBorders>
              <w:top w:val="nil"/>
              <w:left w:val="single" w:sz="4" w:space="0" w:color="auto"/>
              <w:bottom w:val="single" w:sz="4" w:space="0" w:color="auto"/>
              <w:right w:val="single" w:sz="4" w:space="0" w:color="auto"/>
            </w:tcBorders>
            <w:shd w:val="clear" w:color="auto" w:fill="auto"/>
            <w:vAlign w:val="center"/>
            <w:hideMark/>
          </w:tcPr>
          <w:p w14:paraId="05F61BEC"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2.80%</w:t>
            </w:r>
          </w:p>
        </w:tc>
        <w:tc>
          <w:tcPr>
            <w:tcW w:w="951" w:type="dxa"/>
            <w:tcBorders>
              <w:top w:val="nil"/>
              <w:left w:val="nil"/>
              <w:bottom w:val="single" w:sz="4" w:space="0" w:color="auto"/>
              <w:right w:val="single" w:sz="4" w:space="0" w:color="auto"/>
            </w:tcBorders>
            <w:vAlign w:val="center"/>
          </w:tcPr>
          <w:p w14:paraId="4D99E8E7"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0.1</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14:paraId="2488BA4A"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2.80%</w:t>
            </w:r>
          </w:p>
        </w:tc>
        <w:tc>
          <w:tcPr>
            <w:tcW w:w="951" w:type="dxa"/>
            <w:tcBorders>
              <w:top w:val="nil"/>
              <w:left w:val="nil"/>
              <w:bottom w:val="single" w:sz="4" w:space="0" w:color="auto"/>
              <w:right w:val="single" w:sz="4" w:space="0" w:color="auto"/>
            </w:tcBorders>
            <w:vAlign w:val="center"/>
          </w:tcPr>
          <w:p w14:paraId="2C5F7097"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0.1</w:t>
            </w:r>
          </w:p>
        </w:tc>
        <w:tc>
          <w:tcPr>
            <w:tcW w:w="5518" w:type="dxa"/>
            <w:tcBorders>
              <w:top w:val="nil"/>
              <w:left w:val="single" w:sz="4" w:space="0" w:color="auto"/>
              <w:bottom w:val="single" w:sz="4" w:space="0" w:color="auto"/>
              <w:right w:val="single" w:sz="8" w:space="0" w:color="auto"/>
            </w:tcBorders>
            <w:vAlign w:val="center"/>
          </w:tcPr>
          <w:p w14:paraId="646F242D" w14:textId="77777777" w:rsidR="00F6713F" w:rsidRPr="003567FF" w:rsidRDefault="004A7A82" w:rsidP="00B569A9">
            <w:pPr>
              <w:jc w:val="both"/>
              <w:rPr>
                <w:rFonts w:asciiTheme="minorHAnsi" w:eastAsia="Times New Roman" w:hAnsiTheme="minorHAnsi" w:cstheme="minorHAnsi"/>
              </w:rPr>
            </w:pPr>
            <w:r w:rsidRPr="003567FF">
              <w:rPr>
                <w:rFonts w:asciiTheme="minorHAnsi" w:eastAsia="Times New Roman" w:hAnsiTheme="minorHAnsi" w:cstheme="minorHAnsi"/>
              </w:rPr>
              <w:t>Gas purchased in advance for 2024/25, later years increases assumed at RPI. Whilst this table demonstrates the CPI applied, as part of the medium-term financial strategy calculations an arbitrary adjustment to take out 2022/23 and 2023/24 significant levels of inflation have been included – therefore on the summary tables in Appendix A the overall adjustment is a budget reduction.</w:t>
            </w:r>
          </w:p>
        </w:tc>
      </w:tr>
      <w:tr w:rsidR="00C92CD8" w14:paraId="07CC20EE" w14:textId="77777777">
        <w:trPr>
          <w:trHeight w:val="320"/>
        </w:trPr>
        <w:tc>
          <w:tcPr>
            <w:tcW w:w="25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43D474" w14:textId="77777777" w:rsidR="003567FF" w:rsidRPr="003567FF" w:rsidRDefault="004A7A82">
            <w:pPr>
              <w:rPr>
                <w:rFonts w:asciiTheme="minorHAnsi" w:eastAsia="Times New Roman" w:hAnsiTheme="minorHAnsi" w:cstheme="minorHAnsi"/>
              </w:rPr>
            </w:pPr>
            <w:r w:rsidRPr="003567FF">
              <w:rPr>
                <w:rFonts w:asciiTheme="minorHAnsi" w:eastAsia="Times New Roman" w:hAnsiTheme="minorHAnsi" w:cstheme="minorHAnsi"/>
              </w:rPr>
              <w:lastRenderedPageBreak/>
              <w:t> </w:t>
            </w:r>
          </w:p>
        </w:tc>
        <w:tc>
          <w:tcPr>
            <w:tcW w:w="1084" w:type="dxa"/>
            <w:tcBorders>
              <w:top w:val="single" w:sz="8" w:space="0" w:color="auto"/>
              <w:left w:val="nil"/>
              <w:bottom w:val="single" w:sz="8" w:space="0" w:color="auto"/>
              <w:right w:val="single" w:sz="4" w:space="0" w:color="auto"/>
            </w:tcBorders>
            <w:shd w:val="clear" w:color="auto" w:fill="auto"/>
            <w:vAlign w:val="center"/>
            <w:hideMark/>
          </w:tcPr>
          <w:p w14:paraId="243A4706" w14:textId="77777777" w:rsidR="003567FF" w:rsidRPr="003567FF" w:rsidRDefault="004A7A82">
            <w:pPr>
              <w:jc w:val="right"/>
              <w:rPr>
                <w:rFonts w:asciiTheme="minorHAnsi" w:eastAsia="Times New Roman" w:hAnsiTheme="minorHAnsi" w:cstheme="minorHAnsi"/>
                <w:b/>
                <w:bCs/>
              </w:rPr>
            </w:pPr>
            <w:r w:rsidRPr="003567FF">
              <w:rPr>
                <w:rFonts w:asciiTheme="minorHAnsi" w:eastAsia="Times New Roman" w:hAnsiTheme="minorHAnsi" w:cstheme="minorHAnsi"/>
                <w:b/>
                <w:bCs/>
              </w:rPr>
              <w:t>2024/25</w:t>
            </w:r>
          </w:p>
        </w:tc>
        <w:tc>
          <w:tcPr>
            <w:tcW w:w="951" w:type="dxa"/>
            <w:tcBorders>
              <w:top w:val="single" w:sz="8" w:space="0" w:color="auto"/>
              <w:left w:val="nil"/>
              <w:bottom w:val="single" w:sz="8" w:space="0" w:color="auto"/>
              <w:right w:val="single" w:sz="4" w:space="0" w:color="auto"/>
            </w:tcBorders>
            <w:vAlign w:val="center"/>
          </w:tcPr>
          <w:p w14:paraId="6AC385C5" w14:textId="77777777" w:rsidR="003567FF" w:rsidRPr="003567FF" w:rsidRDefault="004A7A82">
            <w:pPr>
              <w:jc w:val="center"/>
              <w:rPr>
                <w:rFonts w:asciiTheme="minorHAnsi" w:eastAsia="Times New Roman" w:hAnsiTheme="minorHAnsi" w:cstheme="minorHAnsi"/>
                <w:b/>
                <w:bCs/>
              </w:rPr>
            </w:pPr>
            <w:r w:rsidRPr="003567FF">
              <w:rPr>
                <w:rFonts w:asciiTheme="minorHAnsi" w:eastAsia="Times New Roman" w:hAnsiTheme="minorHAnsi" w:cstheme="minorHAnsi"/>
                <w:b/>
                <w:bCs/>
              </w:rPr>
              <w:t>£m</w:t>
            </w:r>
          </w:p>
        </w:tc>
        <w:tc>
          <w:tcPr>
            <w:tcW w:w="108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9EFD98A" w14:textId="77777777" w:rsidR="003567FF" w:rsidRPr="003567FF" w:rsidRDefault="004A7A82">
            <w:pPr>
              <w:jc w:val="center"/>
              <w:rPr>
                <w:rFonts w:asciiTheme="minorHAnsi" w:eastAsia="Times New Roman" w:hAnsiTheme="minorHAnsi" w:cstheme="minorHAnsi"/>
                <w:b/>
                <w:bCs/>
              </w:rPr>
            </w:pPr>
            <w:r w:rsidRPr="003567FF">
              <w:rPr>
                <w:rFonts w:asciiTheme="minorHAnsi" w:eastAsia="Times New Roman" w:hAnsiTheme="minorHAnsi" w:cstheme="minorHAnsi"/>
                <w:b/>
                <w:bCs/>
              </w:rPr>
              <w:t>2025/26</w:t>
            </w:r>
          </w:p>
        </w:tc>
        <w:tc>
          <w:tcPr>
            <w:tcW w:w="951" w:type="dxa"/>
            <w:tcBorders>
              <w:top w:val="single" w:sz="8" w:space="0" w:color="auto"/>
              <w:left w:val="nil"/>
              <w:bottom w:val="single" w:sz="8" w:space="0" w:color="auto"/>
              <w:right w:val="single" w:sz="4" w:space="0" w:color="auto"/>
            </w:tcBorders>
            <w:vAlign w:val="center"/>
          </w:tcPr>
          <w:p w14:paraId="31797074" w14:textId="77777777" w:rsidR="003567FF" w:rsidRPr="003567FF" w:rsidRDefault="004A7A82">
            <w:pPr>
              <w:jc w:val="center"/>
              <w:rPr>
                <w:rFonts w:asciiTheme="minorHAnsi" w:eastAsia="Times New Roman" w:hAnsiTheme="minorHAnsi" w:cstheme="minorHAnsi"/>
                <w:b/>
                <w:bCs/>
              </w:rPr>
            </w:pPr>
            <w:r w:rsidRPr="003567FF">
              <w:rPr>
                <w:rFonts w:asciiTheme="minorHAnsi" w:eastAsia="Times New Roman" w:hAnsiTheme="minorHAnsi" w:cstheme="minorHAnsi"/>
                <w:b/>
                <w:bCs/>
              </w:rPr>
              <w:t>£m</w:t>
            </w:r>
          </w:p>
        </w:tc>
        <w:tc>
          <w:tcPr>
            <w:tcW w:w="108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ADBEC82" w14:textId="77777777" w:rsidR="003567FF" w:rsidRPr="003567FF" w:rsidRDefault="004A7A82">
            <w:pPr>
              <w:jc w:val="center"/>
              <w:rPr>
                <w:rFonts w:asciiTheme="minorHAnsi" w:eastAsia="Times New Roman" w:hAnsiTheme="minorHAnsi" w:cstheme="minorHAnsi"/>
                <w:b/>
                <w:bCs/>
              </w:rPr>
            </w:pPr>
            <w:r w:rsidRPr="003567FF">
              <w:rPr>
                <w:rFonts w:asciiTheme="minorHAnsi" w:eastAsia="Times New Roman" w:hAnsiTheme="minorHAnsi" w:cstheme="minorHAnsi"/>
                <w:b/>
                <w:bCs/>
              </w:rPr>
              <w:t>2026/27</w:t>
            </w:r>
          </w:p>
        </w:tc>
        <w:tc>
          <w:tcPr>
            <w:tcW w:w="951" w:type="dxa"/>
            <w:tcBorders>
              <w:top w:val="single" w:sz="8" w:space="0" w:color="auto"/>
              <w:left w:val="nil"/>
              <w:bottom w:val="single" w:sz="8" w:space="0" w:color="auto"/>
              <w:right w:val="single" w:sz="4" w:space="0" w:color="auto"/>
            </w:tcBorders>
            <w:vAlign w:val="center"/>
          </w:tcPr>
          <w:p w14:paraId="020CECF4" w14:textId="77777777" w:rsidR="003567FF" w:rsidRPr="003567FF" w:rsidRDefault="004A7A82">
            <w:pPr>
              <w:jc w:val="center"/>
              <w:rPr>
                <w:rFonts w:asciiTheme="minorHAnsi" w:eastAsia="Times New Roman" w:hAnsiTheme="minorHAnsi" w:cstheme="minorHAnsi"/>
                <w:b/>
                <w:bCs/>
              </w:rPr>
            </w:pPr>
            <w:r w:rsidRPr="003567FF">
              <w:rPr>
                <w:rFonts w:asciiTheme="minorHAnsi" w:eastAsia="Times New Roman" w:hAnsiTheme="minorHAnsi" w:cstheme="minorHAnsi"/>
                <w:b/>
                <w:bCs/>
              </w:rPr>
              <w:t>£m</w:t>
            </w:r>
          </w:p>
        </w:tc>
        <w:tc>
          <w:tcPr>
            <w:tcW w:w="5518" w:type="dxa"/>
            <w:tcBorders>
              <w:top w:val="single" w:sz="8" w:space="0" w:color="auto"/>
              <w:left w:val="single" w:sz="4" w:space="0" w:color="auto"/>
              <w:bottom w:val="single" w:sz="8" w:space="0" w:color="auto"/>
              <w:right w:val="single" w:sz="8" w:space="0" w:color="auto"/>
            </w:tcBorders>
            <w:vAlign w:val="center"/>
          </w:tcPr>
          <w:p w14:paraId="44EB092F" w14:textId="77777777" w:rsidR="003567FF" w:rsidRPr="003567FF" w:rsidRDefault="004A7A82">
            <w:pPr>
              <w:jc w:val="center"/>
              <w:rPr>
                <w:rFonts w:asciiTheme="minorHAnsi" w:eastAsia="Times New Roman" w:hAnsiTheme="minorHAnsi" w:cstheme="minorHAnsi"/>
                <w:b/>
                <w:bCs/>
              </w:rPr>
            </w:pPr>
            <w:r w:rsidRPr="003567FF">
              <w:rPr>
                <w:rFonts w:asciiTheme="minorHAnsi" w:eastAsia="Times New Roman" w:hAnsiTheme="minorHAnsi" w:cstheme="minorHAnsi"/>
                <w:b/>
                <w:bCs/>
              </w:rPr>
              <w:t>Description</w:t>
            </w:r>
          </w:p>
        </w:tc>
      </w:tr>
      <w:tr w:rsidR="00C92CD8" w14:paraId="3C2D2F9C" w14:textId="77777777" w:rsidTr="003567FF">
        <w:trPr>
          <w:trHeight w:val="304"/>
        </w:trPr>
        <w:tc>
          <w:tcPr>
            <w:tcW w:w="254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E828025"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Other Premises Costs</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0F7ADF70"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4.30%</w:t>
            </w:r>
          </w:p>
        </w:tc>
        <w:tc>
          <w:tcPr>
            <w:tcW w:w="951" w:type="dxa"/>
            <w:tcBorders>
              <w:top w:val="single" w:sz="4" w:space="0" w:color="auto"/>
              <w:left w:val="nil"/>
              <w:bottom w:val="single" w:sz="4" w:space="0" w:color="auto"/>
              <w:right w:val="single" w:sz="4" w:space="0" w:color="auto"/>
            </w:tcBorders>
            <w:vAlign w:val="center"/>
          </w:tcPr>
          <w:p w14:paraId="77DA96EA"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0.7</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C76F0"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2.80%</w:t>
            </w:r>
          </w:p>
        </w:tc>
        <w:tc>
          <w:tcPr>
            <w:tcW w:w="951" w:type="dxa"/>
            <w:tcBorders>
              <w:top w:val="single" w:sz="4" w:space="0" w:color="auto"/>
              <w:left w:val="nil"/>
              <w:bottom w:val="single" w:sz="4" w:space="0" w:color="auto"/>
              <w:right w:val="single" w:sz="4" w:space="0" w:color="auto"/>
            </w:tcBorders>
            <w:vAlign w:val="center"/>
          </w:tcPr>
          <w:p w14:paraId="7FCB8643"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0.5</w:t>
            </w:r>
          </w:p>
        </w:tc>
        <w:tc>
          <w:tcPr>
            <w:tcW w:w="1084"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DEAB792"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2.80%</w:t>
            </w:r>
          </w:p>
        </w:tc>
        <w:tc>
          <w:tcPr>
            <w:tcW w:w="951" w:type="dxa"/>
            <w:tcBorders>
              <w:top w:val="single" w:sz="4" w:space="0" w:color="auto"/>
              <w:left w:val="nil"/>
              <w:bottom w:val="single" w:sz="4" w:space="0" w:color="auto"/>
              <w:right w:val="single" w:sz="4" w:space="0" w:color="auto"/>
            </w:tcBorders>
            <w:vAlign w:val="center"/>
          </w:tcPr>
          <w:p w14:paraId="70911FFF"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0.5</w:t>
            </w:r>
          </w:p>
        </w:tc>
        <w:tc>
          <w:tcPr>
            <w:tcW w:w="5518" w:type="dxa"/>
            <w:tcBorders>
              <w:top w:val="single" w:sz="4" w:space="0" w:color="auto"/>
              <w:left w:val="single" w:sz="4" w:space="0" w:color="auto"/>
              <w:bottom w:val="single" w:sz="4" w:space="0" w:color="auto"/>
              <w:right w:val="single" w:sz="8" w:space="0" w:color="auto"/>
            </w:tcBorders>
            <w:vAlign w:val="center"/>
          </w:tcPr>
          <w:p w14:paraId="0A85702D"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 xml:space="preserve">Running costs of building assumed increase at RPI. </w:t>
            </w:r>
          </w:p>
        </w:tc>
      </w:tr>
      <w:tr w:rsidR="00C92CD8" w14:paraId="6F89182D" w14:textId="77777777" w:rsidTr="003567FF">
        <w:trPr>
          <w:trHeight w:val="304"/>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2C885588"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Digital</w:t>
            </w:r>
          </w:p>
        </w:tc>
        <w:tc>
          <w:tcPr>
            <w:tcW w:w="1084" w:type="dxa"/>
            <w:tcBorders>
              <w:top w:val="nil"/>
              <w:left w:val="nil"/>
              <w:bottom w:val="single" w:sz="4" w:space="0" w:color="auto"/>
              <w:right w:val="single" w:sz="4" w:space="0" w:color="auto"/>
            </w:tcBorders>
            <w:shd w:val="clear" w:color="auto" w:fill="auto"/>
            <w:vAlign w:val="center"/>
            <w:hideMark/>
          </w:tcPr>
          <w:p w14:paraId="0545FE6D"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4.30%</w:t>
            </w:r>
          </w:p>
        </w:tc>
        <w:tc>
          <w:tcPr>
            <w:tcW w:w="951" w:type="dxa"/>
            <w:tcBorders>
              <w:top w:val="nil"/>
              <w:left w:val="nil"/>
              <w:bottom w:val="single" w:sz="4" w:space="0" w:color="auto"/>
              <w:right w:val="single" w:sz="4" w:space="0" w:color="auto"/>
            </w:tcBorders>
            <w:vAlign w:val="center"/>
          </w:tcPr>
          <w:p w14:paraId="693E6207"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1.0</w:t>
            </w:r>
          </w:p>
        </w:tc>
        <w:tc>
          <w:tcPr>
            <w:tcW w:w="1084" w:type="dxa"/>
            <w:tcBorders>
              <w:top w:val="nil"/>
              <w:left w:val="single" w:sz="4" w:space="0" w:color="auto"/>
              <w:bottom w:val="single" w:sz="4" w:space="0" w:color="auto"/>
              <w:right w:val="single" w:sz="4" w:space="0" w:color="auto"/>
            </w:tcBorders>
            <w:shd w:val="clear" w:color="auto" w:fill="auto"/>
            <w:vAlign w:val="center"/>
            <w:hideMark/>
          </w:tcPr>
          <w:p w14:paraId="19439CDC"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2.80%</w:t>
            </w:r>
          </w:p>
        </w:tc>
        <w:tc>
          <w:tcPr>
            <w:tcW w:w="951" w:type="dxa"/>
            <w:tcBorders>
              <w:top w:val="nil"/>
              <w:left w:val="nil"/>
              <w:bottom w:val="single" w:sz="4" w:space="0" w:color="auto"/>
              <w:right w:val="single" w:sz="4" w:space="0" w:color="auto"/>
            </w:tcBorders>
            <w:vAlign w:val="center"/>
          </w:tcPr>
          <w:p w14:paraId="51E55021"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0.4</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14:paraId="653FE245"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2.80%</w:t>
            </w:r>
          </w:p>
        </w:tc>
        <w:tc>
          <w:tcPr>
            <w:tcW w:w="951" w:type="dxa"/>
            <w:tcBorders>
              <w:top w:val="nil"/>
              <w:left w:val="nil"/>
              <w:bottom w:val="single" w:sz="4" w:space="0" w:color="auto"/>
              <w:right w:val="single" w:sz="4" w:space="0" w:color="auto"/>
            </w:tcBorders>
            <w:vAlign w:val="center"/>
          </w:tcPr>
          <w:p w14:paraId="5ED85A90"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0.6</w:t>
            </w:r>
          </w:p>
        </w:tc>
        <w:tc>
          <w:tcPr>
            <w:tcW w:w="5518" w:type="dxa"/>
            <w:tcBorders>
              <w:top w:val="nil"/>
              <w:left w:val="single" w:sz="4" w:space="0" w:color="auto"/>
              <w:bottom w:val="single" w:sz="4" w:space="0" w:color="auto"/>
              <w:right w:val="single" w:sz="8" w:space="0" w:color="auto"/>
            </w:tcBorders>
            <w:vAlign w:val="center"/>
          </w:tcPr>
          <w:p w14:paraId="2D173CED"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 xml:space="preserve">Contractual costs increased at RPI. </w:t>
            </w:r>
          </w:p>
        </w:tc>
      </w:tr>
      <w:tr w:rsidR="00C92CD8" w14:paraId="59F66F44" w14:textId="77777777" w:rsidTr="003567FF">
        <w:trPr>
          <w:trHeight w:val="304"/>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79716C82"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 </w:t>
            </w:r>
          </w:p>
        </w:tc>
        <w:tc>
          <w:tcPr>
            <w:tcW w:w="1084" w:type="dxa"/>
            <w:tcBorders>
              <w:top w:val="nil"/>
              <w:left w:val="nil"/>
              <w:bottom w:val="single" w:sz="4" w:space="0" w:color="auto"/>
              <w:right w:val="single" w:sz="4" w:space="0" w:color="auto"/>
            </w:tcBorders>
            <w:shd w:val="clear" w:color="auto" w:fill="auto"/>
            <w:vAlign w:val="center"/>
            <w:hideMark/>
          </w:tcPr>
          <w:p w14:paraId="0F5CA24D"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 </w:t>
            </w:r>
          </w:p>
        </w:tc>
        <w:tc>
          <w:tcPr>
            <w:tcW w:w="951" w:type="dxa"/>
            <w:tcBorders>
              <w:top w:val="nil"/>
              <w:left w:val="nil"/>
              <w:bottom w:val="single" w:sz="4" w:space="0" w:color="auto"/>
              <w:right w:val="single" w:sz="4" w:space="0" w:color="auto"/>
            </w:tcBorders>
            <w:vAlign w:val="center"/>
          </w:tcPr>
          <w:p w14:paraId="6FCB2D2D" w14:textId="77777777" w:rsidR="00F6713F" w:rsidRPr="003567FF" w:rsidRDefault="00F6713F" w:rsidP="00A614A0">
            <w:pPr>
              <w:jc w:val="right"/>
              <w:rPr>
                <w:rFonts w:asciiTheme="minorHAnsi" w:eastAsia="Times New Roman" w:hAnsiTheme="minorHAnsi" w:cstheme="minorHAnsi"/>
              </w:rPr>
            </w:pPr>
          </w:p>
        </w:tc>
        <w:tc>
          <w:tcPr>
            <w:tcW w:w="1084" w:type="dxa"/>
            <w:tcBorders>
              <w:top w:val="nil"/>
              <w:left w:val="single" w:sz="4" w:space="0" w:color="auto"/>
              <w:bottom w:val="single" w:sz="4" w:space="0" w:color="auto"/>
              <w:right w:val="single" w:sz="4" w:space="0" w:color="auto"/>
            </w:tcBorders>
            <w:shd w:val="clear" w:color="auto" w:fill="auto"/>
            <w:vAlign w:val="center"/>
            <w:hideMark/>
          </w:tcPr>
          <w:p w14:paraId="609102F1"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 </w:t>
            </w:r>
          </w:p>
        </w:tc>
        <w:tc>
          <w:tcPr>
            <w:tcW w:w="951" w:type="dxa"/>
            <w:tcBorders>
              <w:top w:val="nil"/>
              <w:left w:val="nil"/>
              <w:bottom w:val="single" w:sz="4" w:space="0" w:color="auto"/>
              <w:right w:val="single" w:sz="4" w:space="0" w:color="auto"/>
            </w:tcBorders>
            <w:vAlign w:val="center"/>
          </w:tcPr>
          <w:p w14:paraId="362AD176" w14:textId="77777777" w:rsidR="00F6713F" w:rsidRPr="003567FF" w:rsidRDefault="00F6713F" w:rsidP="00A614A0">
            <w:pPr>
              <w:jc w:val="right"/>
              <w:rPr>
                <w:rFonts w:asciiTheme="minorHAnsi" w:eastAsia="Times New Roman" w:hAnsiTheme="minorHAnsi" w:cstheme="minorHAnsi"/>
              </w:rPr>
            </w:pPr>
          </w:p>
        </w:tc>
        <w:tc>
          <w:tcPr>
            <w:tcW w:w="1084" w:type="dxa"/>
            <w:tcBorders>
              <w:top w:val="nil"/>
              <w:left w:val="single" w:sz="4" w:space="0" w:color="auto"/>
              <w:bottom w:val="single" w:sz="4" w:space="0" w:color="auto"/>
              <w:right w:val="single" w:sz="8" w:space="0" w:color="auto"/>
            </w:tcBorders>
            <w:shd w:val="clear" w:color="auto" w:fill="auto"/>
            <w:vAlign w:val="center"/>
            <w:hideMark/>
          </w:tcPr>
          <w:p w14:paraId="23B263A7"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 </w:t>
            </w:r>
          </w:p>
        </w:tc>
        <w:tc>
          <w:tcPr>
            <w:tcW w:w="951" w:type="dxa"/>
            <w:tcBorders>
              <w:top w:val="nil"/>
              <w:left w:val="nil"/>
              <w:bottom w:val="single" w:sz="4" w:space="0" w:color="auto"/>
              <w:right w:val="single" w:sz="4" w:space="0" w:color="auto"/>
            </w:tcBorders>
            <w:vAlign w:val="center"/>
          </w:tcPr>
          <w:p w14:paraId="0DA5B199" w14:textId="77777777" w:rsidR="00F6713F" w:rsidRPr="003567FF" w:rsidRDefault="00F6713F" w:rsidP="00A614A0">
            <w:pPr>
              <w:jc w:val="right"/>
              <w:rPr>
                <w:rFonts w:asciiTheme="minorHAnsi" w:eastAsia="Times New Roman" w:hAnsiTheme="minorHAnsi" w:cstheme="minorHAnsi"/>
              </w:rPr>
            </w:pPr>
          </w:p>
        </w:tc>
        <w:tc>
          <w:tcPr>
            <w:tcW w:w="5518" w:type="dxa"/>
            <w:tcBorders>
              <w:top w:val="nil"/>
              <w:left w:val="single" w:sz="4" w:space="0" w:color="auto"/>
              <w:bottom w:val="single" w:sz="4" w:space="0" w:color="auto"/>
              <w:right w:val="single" w:sz="8" w:space="0" w:color="auto"/>
            </w:tcBorders>
            <w:vAlign w:val="center"/>
          </w:tcPr>
          <w:p w14:paraId="289AE957" w14:textId="77777777" w:rsidR="00F6713F" w:rsidRPr="003567FF" w:rsidRDefault="00F6713F" w:rsidP="00A614A0">
            <w:pPr>
              <w:rPr>
                <w:rFonts w:asciiTheme="minorHAnsi" w:eastAsia="Times New Roman" w:hAnsiTheme="minorHAnsi" w:cstheme="minorHAnsi"/>
              </w:rPr>
            </w:pPr>
          </w:p>
        </w:tc>
      </w:tr>
      <w:tr w:rsidR="00C92CD8" w14:paraId="006C449B" w14:textId="77777777" w:rsidTr="003567FF">
        <w:trPr>
          <w:trHeight w:val="304"/>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5E177A8A" w14:textId="77777777" w:rsidR="00F6713F" w:rsidRPr="003567FF" w:rsidRDefault="004A7A82" w:rsidP="00A614A0">
            <w:pPr>
              <w:rPr>
                <w:rFonts w:asciiTheme="minorHAnsi" w:eastAsia="Times New Roman" w:hAnsiTheme="minorHAnsi" w:cstheme="minorHAnsi"/>
                <w:b/>
                <w:bCs/>
              </w:rPr>
            </w:pPr>
            <w:r w:rsidRPr="003567FF">
              <w:rPr>
                <w:rFonts w:asciiTheme="minorHAnsi" w:eastAsia="Times New Roman" w:hAnsiTheme="minorHAnsi" w:cstheme="minorHAnsi"/>
                <w:b/>
                <w:bCs/>
              </w:rPr>
              <w:t>Demand</w:t>
            </w:r>
          </w:p>
        </w:tc>
        <w:tc>
          <w:tcPr>
            <w:tcW w:w="1084" w:type="dxa"/>
            <w:tcBorders>
              <w:top w:val="nil"/>
              <w:left w:val="nil"/>
              <w:bottom w:val="single" w:sz="4" w:space="0" w:color="auto"/>
              <w:right w:val="single" w:sz="4" w:space="0" w:color="auto"/>
            </w:tcBorders>
            <w:shd w:val="clear" w:color="auto" w:fill="auto"/>
            <w:vAlign w:val="center"/>
            <w:hideMark/>
          </w:tcPr>
          <w:p w14:paraId="45C4DD1E"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 </w:t>
            </w:r>
          </w:p>
        </w:tc>
        <w:tc>
          <w:tcPr>
            <w:tcW w:w="951" w:type="dxa"/>
            <w:tcBorders>
              <w:top w:val="nil"/>
              <w:left w:val="nil"/>
              <w:bottom w:val="single" w:sz="4" w:space="0" w:color="auto"/>
              <w:right w:val="single" w:sz="4" w:space="0" w:color="auto"/>
            </w:tcBorders>
            <w:vAlign w:val="center"/>
          </w:tcPr>
          <w:p w14:paraId="2C63B1B3" w14:textId="77777777" w:rsidR="00F6713F" w:rsidRPr="003567FF" w:rsidRDefault="00F6713F" w:rsidP="00A614A0">
            <w:pPr>
              <w:jc w:val="right"/>
              <w:rPr>
                <w:rFonts w:asciiTheme="minorHAnsi" w:eastAsia="Times New Roman" w:hAnsiTheme="minorHAnsi" w:cstheme="minorHAnsi"/>
              </w:rPr>
            </w:pPr>
          </w:p>
        </w:tc>
        <w:tc>
          <w:tcPr>
            <w:tcW w:w="1084" w:type="dxa"/>
            <w:tcBorders>
              <w:top w:val="nil"/>
              <w:left w:val="single" w:sz="4" w:space="0" w:color="auto"/>
              <w:bottom w:val="single" w:sz="4" w:space="0" w:color="auto"/>
              <w:right w:val="single" w:sz="4" w:space="0" w:color="auto"/>
            </w:tcBorders>
            <w:shd w:val="clear" w:color="auto" w:fill="auto"/>
            <w:vAlign w:val="center"/>
            <w:hideMark/>
          </w:tcPr>
          <w:p w14:paraId="07A4E5CA"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 </w:t>
            </w:r>
          </w:p>
        </w:tc>
        <w:tc>
          <w:tcPr>
            <w:tcW w:w="951" w:type="dxa"/>
            <w:tcBorders>
              <w:top w:val="nil"/>
              <w:left w:val="nil"/>
              <w:bottom w:val="single" w:sz="4" w:space="0" w:color="auto"/>
              <w:right w:val="single" w:sz="4" w:space="0" w:color="auto"/>
            </w:tcBorders>
            <w:vAlign w:val="center"/>
          </w:tcPr>
          <w:p w14:paraId="5C102DFA" w14:textId="77777777" w:rsidR="00F6713F" w:rsidRPr="003567FF" w:rsidRDefault="00F6713F" w:rsidP="00A614A0">
            <w:pPr>
              <w:jc w:val="right"/>
              <w:rPr>
                <w:rFonts w:asciiTheme="minorHAnsi" w:eastAsia="Times New Roman" w:hAnsiTheme="minorHAnsi" w:cstheme="minorHAnsi"/>
              </w:rPr>
            </w:pPr>
          </w:p>
        </w:tc>
        <w:tc>
          <w:tcPr>
            <w:tcW w:w="1084" w:type="dxa"/>
            <w:tcBorders>
              <w:top w:val="nil"/>
              <w:left w:val="single" w:sz="4" w:space="0" w:color="auto"/>
              <w:bottom w:val="single" w:sz="4" w:space="0" w:color="auto"/>
              <w:right w:val="single" w:sz="8" w:space="0" w:color="auto"/>
            </w:tcBorders>
            <w:shd w:val="clear" w:color="auto" w:fill="auto"/>
            <w:vAlign w:val="center"/>
            <w:hideMark/>
          </w:tcPr>
          <w:p w14:paraId="73C0C77A"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 </w:t>
            </w:r>
          </w:p>
        </w:tc>
        <w:tc>
          <w:tcPr>
            <w:tcW w:w="951" w:type="dxa"/>
            <w:tcBorders>
              <w:top w:val="nil"/>
              <w:left w:val="nil"/>
              <w:bottom w:val="single" w:sz="4" w:space="0" w:color="auto"/>
              <w:right w:val="single" w:sz="4" w:space="0" w:color="auto"/>
            </w:tcBorders>
            <w:vAlign w:val="center"/>
          </w:tcPr>
          <w:p w14:paraId="45B19698" w14:textId="77777777" w:rsidR="00F6713F" w:rsidRPr="003567FF" w:rsidRDefault="00F6713F" w:rsidP="00A614A0">
            <w:pPr>
              <w:jc w:val="right"/>
              <w:rPr>
                <w:rFonts w:asciiTheme="minorHAnsi" w:eastAsia="Times New Roman" w:hAnsiTheme="minorHAnsi" w:cstheme="minorHAnsi"/>
              </w:rPr>
            </w:pPr>
          </w:p>
        </w:tc>
        <w:tc>
          <w:tcPr>
            <w:tcW w:w="5518" w:type="dxa"/>
            <w:tcBorders>
              <w:top w:val="nil"/>
              <w:left w:val="single" w:sz="4" w:space="0" w:color="auto"/>
              <w:bottom w:val="single" w:sz="4" w:space="0" w:color="auto"/>
              <w:right w:val="single" w:sz="8" w:space="0" w:color="auto"/>
            </w:tcBorders>
            <w:vAlign w:val="center"/>
          </w:tcPr>
          <w:p w14:paraId="48EB280D" w14:textId="77777777" w:rsidR="00F6713F" w:rsidRPr="003567FF" w:rsidRDefault="00F6713F" w:rsidP="00A614A0">
            <w:pPr>
              <w:rPr>
                <w:rFonts w:asciiTheme="minorHAnsi" w:eastAsia="Times New Roman" w:hAnsiTheme="minorHAnsi" w:cstheme="minorHAnsi"/>
              </w:rPr>
            </w:pPr>
          </w:p>
        </w:tc>
      </w:tr>
      <w:tr w:rsidR="00C92CD8" w14:paraId="0CEED55C" w14:textId="77777777" w:rsidTr="003567FF">
        <w:trPr>
          <w:trHeight w:val="304"/>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5490A588"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CSC Placements</w:t>
            </w:r>
          </w:p>
        </w:tc>
        <w:tc>
          <w:tcPr>
            <w:tcW w:w="1084" w:type="dxa"/>
            <w:tcBorders>
              <w:top w:val="nil"/>
              <w:left w:val="nil"/>
              <w:bottom w:val="single" w:sz="4" w:space="0" w:color="auto"/>
              <w:right w:val="single" w:sz="4" w:space="0" w:color="auto"/>
            </w:tcBorders>
            <w:shd w:val="clear" w:color="auto" w:fill="auto"/>
            <w:vAlign w:val="center"/>
            <w:hideMark/>
          </w:tcPr>
          <w:p w14:paraId="4C2B273A"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3.50%</w:t>
            </w:r>
          </w:p>
        </w:tc>
        <w:tc>
          <w:tcPr>
            <w:tcW w:w="951" w:type="dxa"/>
            <w:tcBorders>
              <w:top w:val="nil"/>
              <w:left w:val="nil"/>
              <w:bottom w:val="single" w:sz="4" w:space="0" w:color="auto"/>
              <w:right w:val="single" w:sz="4" w:space="0" w:color="auto"/>
            </w:tcBorders>
            <w:vAlign w:val="center"/>
          </w:tcPr>
          <w:p w14:paraId="2E8CB2B0"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3.9</w:t>
            </w:r>
          </w:p>
        </w:tc>
        <w:tc>
          <w:tcPr>
            <w:tcW w:w="1084" w:type="dxa"/>
            <w:tcBorders>
              <w:top w:val="nil"/>
              <w:left w:val="single" w:sz="4" w:space="0" w:color="auto"/>
              <w:bottom w:val="single" w:sz="4" w:space="0" w:color="auto"/>
              <w:right w:val="single" w:sz="4" w:space="0" w:color="auto"/>
            </w:tcBorders>
            <w:shd w:val="clear" w:color="auto" w:fill="auto"/>
            <w:vAlign w:val="center"/>
            <w:hideMark/>
          </w:tcPr>
          <w:p w14:paraId="66AFE2E0"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0.83%</w:t>
            </w:r>
          </w:p>
        </w:tc>
        <w:tc>
          <w:tcPr>
            <w:tcW w:w="951" w:type="dxa"/>
            <w:tcBorders>
              <w:top w:val="nil"/>
              <w:left w:val="nil"/>
              <w:bottom w:val="single" w:sz="4" w:space="0" w:color="auto"/>
              <w:right w:val="single" w:sz="4" w:space="0" w:color="auto"/>
            </w:tcBorders>
            <w:vAlign w:val="center"/>
          </w:tcPr>
          <w:p w14:paraId="049F9C85"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1.1</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14:paraId="7A44586E"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-0.54%</w:t>
            </w:r>
          </w:p>
        </w:tc>
        <w:tc>
          <w:tcPr>
            <w:tcW w:w="951" w:type="dxa"/>
            <w:tcBorders>
              <w:top w:val="nil"/>
              <w:left w:val="nil"/>
              <w:bottom w:val="single" w:sz="4" w:space="0" w:color="auto"/>
              <w:right w:val="single" w:sz="4" w:space="0" w:color="auto"/>
            </w:tcBorders>
            <w:vAlign w:val="center"/>
          </w:tcPr>
          <w:p w14:paraId="2B01640E"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-0.3</w:t>
            </w:r>
          </w:p>
        </w:tc>
        <w:tc>
          <w:tcPr>
            <w:tcW w:w="5518" w:type="dxa"/>
            <w:tcBorders>
              <w:top w:val="nil"/>
              <w:left w:val="single" w:sz="4" w:space="0" w:color="auto"/>
              <w:bottom w:val="single" w:sz="4" w:space="0" w:color="auto"/>
              <w:right w:val="single" w:sz="8" w:space="0" w:color="auto"/>
            </w:tcBorders>
            <w:vAlign w:val="center"/>
          </w:tcPr>
          <w:p w14:paraId="6F683CBB" w14:textId="77777777" w:rsidR="00F6713F" w:rsidRPr="003567FF" w:rsidRDefault="004A7A82" w:rsidP="00B569A9">
            <w:pPr>
              <w:jc w:val="both"/>
              <w:rPr>
                <w:rFonts w:asciiTheme="minorHAnsi" w:eastAsia="Times New Roman" w:hAnsiTheme="minorHAnsi" w:cstheme="minorHAnsi"/>
              </w:rPr>
            </w:pPr>
            <w:r w:rsidRPr="003567FF">
              <w:rPr>
                <w:rFonts w:asciiTheme="minorHAnsi" w:eastAsia="Times New Roman" w:hAnsiTheme="minorHAnsi" w:cstheme="minorHAnsi"/>
              </w:rPr>
              <w:t xml:space="preserve">Based on historical trends with assumption that demand will reduce in later years. </w:t>
            </w:r>
          </w:p>
        </w:tc>
      </w:tr>
      <w:tr w:rsidR="00C92CD8" w14:paraId="6EE5DBCD" w14:textId="77777777" w:rsidTr="003567FF">
        <w:trPr>
          <w:trHeight w:val="304"/>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417BF4FA"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CSC Special Guardianship Orders</w:t>
            </w:r>
          </w:p>
        </w:tc>
        <w:tc>
          <w:tcPr>
            <w:tcW w:w="1084" w:type="dxa"/>
            <w:tcBorders>
              <w:top w:val="nil"/>
              <w:left w:val="nil"/>
              <w:bottom w:val="single" w:sz="4" w:space="0" w:color="auto"/>
              <w:right w:val="single" w:sz="4" w:space="0" w:color="auto"/>
            </w:tcBorders>
            <w:shd w:val="clear" w:color="auto" w:fill="auto"/>
            <w:vAlign w:val="center"/>
            <w:hideMark/>
          </w:tcPr>
          <w:p w14:paraId="4B71EA65"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7.00%</w:t>
            </w:r>
          </w:p>
        </w:tc>
        <w:tc>
          <w:tcPr>
            <w:tcW w:w="951" w:type="dxa"/>
            <w:tcBorders>
              <w:top w:val="nil"/>
              <w:left w:val="nil"/>
              <w:bottom w:val="single" w:sz="4" w:space="0" w:color="auto"/>
              <w:right w:val="single" w:sz="4" w:space="0" w:color="auto"/>
            </w:tcBorders>
            <w:vAlign w:val="center"/>
          </w:tcPr>
          <w:p w14:paraId="6C39FAC8"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0.9</w:t>
            </w:r>
          </w:p>
        </w:tc>
        <w:tc>
          <w:tcPr>
            <w:tcW w:w="1084" w:type="dxa"/>
            <w:tcBorders>
              <w:top w:val="nil"/>
              <w:left w:val="single" w:sz="4" w:space="0" w:color="auto"/>
              <w:bottom w:val="single" w:sz="4" w:space="0" w:color="auto"/>
              <w:right w:val="single" w:sz="4" w:space="0" w:color="auto"/>
            </w:tcBorders>
            <w:shd w:val="clear" w:color="auto" w:fill="auto"/>
            <w:vAlign w:val="center"/>
            <w:hideMark/>
          </w:tcPr>
          <w:p w14:paraId="0756BF8C"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7.00%</w:t>
            </w:r>
          </w:p>
        </w:tc>
        <w:tc>
          <w:tcPr>
            <w:tcW w:w="951" w:type="dxa"/>
            <w:tcBorders>
              <w:top w:val="nil"/>
              <w:left w:val="nil"/>
              <w:bottom w:val="single" w:sz="4" w:space="0" w:color="auto"/>
              <w:right w:val="single" w:sz="4" w:space="0" w:color="auto"/>
            </w:tcBorders>
            <w:vAlign w:val="center"/>
          </w:tcPr>
          <w:p w14:paraId="25FF1F20"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1.0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14:paraId="4759CA1E"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7.00%</w:t>
            </w:r>
          </w:p>
        </w:tc>
        <w:tc>
          <w:tcPr>
            <w:tcW w:w="951" w:type="dxa"/>
            <w:tcBorders>
              <w:top w:val="nil"/>
              <w:left w:val="nil"/>
              <w:bottom w:val="single" w:sz="4" w:space="0" w:color="auto"/>
              <w:right w:val="single" w:sz="4" w:space="0" w:color="auto"/>
            </w:tcBorders>
            <w:vAlign w:val="center"/>
          </w:tcPr>
          <w:p w14:paraId="5AABC347"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1.1</w:t>
            </w:r>
          </w:p>
        </w:tc>
        <w:tc>
          <w:tcPr>
            <w:tcW w:w="5518" w:type="dxa"/>
            <w:tcBorders>
              <w:top w:val="nil"/>
              <w:left w:val="single" w:sz="4" w:space="0" w:color="auto"/>
              <w:bottom w:val="single" w:sz="4" w:space="0" w:color="auto"/>
              <w:right w:val="single" w:sz="8" w:space="0" w:color="auto"/>
            </w:tcBorders>
            <w:vAlign w:val="center"/>
          </w:tcPr>
          <w:p w14:paraId="0A6F6798" w14:textId="77777777" w:rsidR="00F6713F" w:rsidRPr="003567FF" w:rsidRDefault="004A7A82" w:rsidP="00B569A9">
            <w:pPr>
              <w:jc w:val="both"/>
              <w:rPr>
                <w:rFonts w:asciiTheme="minorHAnsi" w:eastAsia="Times New Roman" w:hAnsiTheme="minorHAnsi" w:cstheme="minorHAnsi"/>
              </w:rPr>
            </w:pPr>
            <w:r w:rsidRPr="003567FF">
              <w:rPr>
                <w:rFonts w:asciiTheme="minorHAnsi" w:eastAsia="Times New Roman" w:hAnsiTheme="minorHAnsi" w:cstheme="minorHAnsi"/>
              </w:rPr>
              <w:t xml:space="preserve">SGOs have continued to rise over recent years, therefore a historical average has been used to project demand. </w:t>
            </w:r>
          </w:p>
        </w:tc>
      </w:tr>
      <w:tr w:rsidR="00C92CD8" w14:paraId="065353F7" w14:textId="77777777" w:rsidTr="003567FF">
        <w:trPr>
          <w:trHeight w:val="304"/>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032E4069"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ASC</w:t>
            </w:r>
          </w:p>
        </w:tc>
        <w:tc>
          <w:tcPr>
            <w:tcW w:w="1084" w:type="dxa"/>
            <w:tcBorders>
              <w:top w:val="nil"/>
              <w:left w:val="nil"/>
              <w:bottom w:val="single" w:sz="4" w:space="0" w:color="auto"/>
              <w:right w:val="single" w:sz="4" w:space="0" w:color="auto"/>
            </w:tcBorders>
            <w:shd w:val="clear" w:color="auto" w:fill="auto"/>
            <w:vAlign w:val="center"/>
            <w:hideMark/>
          </w:tcPr>
          <w:p w14:paraId="2069B637"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2.90%</w:t>
            </w:r>
          </w:p>
        </w:tc>
        <w:tc>
          <w:tcPr>
            <w:tcW w:w="951" w:type="dxa"/>
            <w:tcBorders>
              <w:top w:val="nil"/>
              <w:left w:val="nil"/>
              <w:bottom w:val="single" w:sz="4" w:space="0" w:color="auto"/>
              <w:right w:val="single" w:sz="4" w:space="0" w:color="auto"/>
            </w:tcBorders>
            <w:vAlign w:val="center"/>
          </w:tcPr>
          <w:p w14:paraId="12802D0F"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11.3</w:t>
            </w:r>
          </w:p>
        </w:tc>
        <w:tc>
          <w:tcPr>
            <w:tcW w:w="1084" w:type="dxa"/>
            <w:tcBorders>
              <w:top w:val="nil"/>
              <w:left w:val="single" w:sz="4" w:space="0" w:color="auto"/>
              <w:bottom w:val="single" w:sz="4" w:space="0" w:color="auto"/>
              <w:right w:val="single" w:sz="4" w:space="0" w:color="auto"/>
            </w:tcBorders>
            <w:shd w:val="clear" w:color="auto" w:fill="auto"/>
            <w:vAlign w:val="center"/>
            <w:hideMark/>
          </w:tcPr>
          <w:p w14:paraId="5A4D5118"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2.90%</w:t>
            </w:r>
          </w:p>
        </w:tc>
        <w:tc>
          <w:tcPr>
            <w:tcW w:w="951" w:type="dxa"/>
            <w:tcBorders>
              <w:top w:val="nil"/>
              <w:left w:val="nil"/>
              <w:bottom w:val="single" w:sz="4" w:space="0" w:color="auto"/>
              <w:right w:val="single" w:sz="4" w:space="0" w:color="auto"/>
            </w:tcBorders>
            <w:vAlign w:val="center"/>
          </w:tcPr>
          <w:p w14:paraId="632CEBD8"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11.3</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14:paraId="4D60AD69"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2.90%</w:t>
            </w:r>
          </w:p>
        </w:tc>
        <w:tc>
          <w:tcPr>
            <w:tcW w:w="951" w:type="dxa"/>
            <w:tcBorders>
              <w:top w:val="nil"/>
              <w:left w:val="nil"/>
              <w:bottom w:val="single" w:sz="4" w:space="0" w:color="auto"/>
              <w:right w:val="single" w:sz="4" w:space="0" w:color="auto"/>
            </w:tcBorders>
            <w:vAlign w:val="center"/>
          </w:tcPr>
          <w:p w14:paraId="10E97D39"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11.8</w:t>
            </w:r>
          </w:p>
        </w:tc>
        <w:tc>
          <w:tcPr>
            <w:tcW w:w="5518" w:type="dxa"/>
            <w:tcBorders>
              <w:top w:val="nil"/>
              <w:left w:val="single" w:sz="4" w:space="0" w:color="auto"/>
              <w:bottom w:val="single" w:sz="4" w:space="0" w:color="auto"/>
              <w:right w:val="single" w:sz="8" w:space="0" w:color="auto"/>
            </w:tcBorders>
            <w:vAlign w:val="center"/>
          </w:tcPr>
          <w:p w14:paraId="6875B2A5" w14:textId="77777777" w:rsidR="00F6713F" w:rsidRPr="003567FF" w:rsidRDefault="004A7A82" w:rsidP="00B569A9">
            <w:pPr>
              <w:jc w:val="both"/>
              <w:rPr>
                <w:rFonts w:asciiTheme="minorHAnsi" w:eastAsia="Times New Roman" w:hAnsiTheme="minorHAnsi" w:cstheme="minorHAnsi"/>
              </w:rPr>
            </w:pPr>
            <w:r w:rsidRPr="003567FF">
              <w:rPr>
                <w:rFonts w:asciiTheme="minorHAnsi" w:eastAsia="Times New Roman" w:hAnsiTheme="minorHAnsi" w:cstheme="minorHAnsi"/>
              </w:rPr>
              <w:t xml:space="preserve">Based on older people population increases, with variations applied across different types of service provision. </w:t>
            </w:r>
          </w:p>
        </w:tc>
      </w:tr>
      <w:tr w:rsidR="00C92CD8" w14:paraId="2D2EAC0E" w14:textId="77777777" w:rsidTr="003567FF">
        <w:trPr>
          <w:trHeight w:val="609"/>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45C8CD0C"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Waste</w:t>
            </w:r>
          </w:p>
        </w:tc>
        <w:tc>
          <w:tcPr>
            <w:tcW w:w="1084" w:type="dxa"/>
            <w:tcBorders>
              <w:top w:val="nil"/>
              <w:left w:val="nil"/>
              <w:bottom w:val="single" w:sz="4" w:space="0" w:color="auto"/>
              <w:right w:val="single" w:sz="4" w:space="0" w:color="auto"/>
            </w:tcBorders>
            <w:shd w:val="clear" w:color="auto" w:fill="auto"/>
            <w:vAlign w:val="center"/>
            <w:hideMark/>
          </w:tcPr>
          <w:p w14:paraId="436F268B"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0%</w:t>
            </w:r>
          </w:p>
        </w:tc>
        <w:tc>
          <w:tcPr>
            <w:tcW w:w="951" w:type="dxa"/>
            <w:tcBorders>
              <w:top w:val="nil"/>
              <w:left w:val="nil"/>
              <w:bottom w:val="single" w:sz="4" w:space="0" w:color="auto"/>
              <w:right w:val="single" w:sz="4" w:space="0" w:color="auto"/>
            </w:tcBorders>
            <w:vAlign w:val="center"/>
          </w:tcPr>
          <w:p w14:paraId="1A266C87"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0.0</w:t>
            </w:r>
          </w:p>
        </w:tc>
        <w:tc>
          <w:tcPr>
            <w:tcW w:w="1084" w:type="dxa"/>
            <w:tcBorders>
              <w:top w:val="nil"/>
              <w:left w:val="single" w:sz="4" w:space="0" w:color="auto"/>
              <w:bottom w:val="single" w:sz="4" w:space="0" w:color="auto"/>
              <w:right w:val="single" w:sz="4" w:space="0" w:color="auto"/>
            </w:tcBorders>
            <w:shd w:val="clear" w:color="auto" w:fill="auto"/>
            <w:vAlign w:val="center"/>
            <w:hideMark/>
          </w:tcPr>
          <w:p w14:paraId="4F1E3C34"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0%</w:t>
            </w:r>
          </w:p>
        </w:tc>
        <w:tc>
          <w:tcPr>
            <w:tcW w:w="951" w:type="dxa"/>
            <w:tcBorders>
              <w:top w:val="nil"/>
              <w:left w:val="nil"/>
              <w:bottom w:val="single" w:sz="4" w:space="0" w:color="auto"/>
              <w:right w:val="single" w:sz="4" w:space="0" w:color="auto"/>
            </w:tcBorders>
            <w:vAlign w:val="center"/>
          </w:tcPr>
          <w:p w14:paraId="55F86377"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14:paraId="350CBE7F"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0%</w:t>
            </w:r>
          </w:p>
        </w:tc>
        <w:tc>
          <w:tcPr>
            <w:tcW w:w="951" w:type="dxa"/>
            <w:tcBorders>
              <w:top w:val="nil"/>
              <w:left w:val="nil"/>
              <w:bottom w:val="single" w:sz="4" w:space="0" w:color="auto"/>
              <w:right w:val="single" w:sz="4" w:space="0" w:color="auto"/>
            </w:tcBorders>
            <w:vAlign w:val="center"/>
          </w:tcPr>
          <w:p w14:paraId="44F4E80D"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0.0</w:t>
            </w:r>
          </w:p>
        </w:tc>
        <w:tc>
          <w:tcPr>
            <w:tcW w:w="5518" w:type="dxa"/>
            <w:tcBorders>
              <w:top w:val="nil"/>
              <w:left w:val="single" w:sz="4" w:space="0" w:color="auto"/>
              <w:bottom w:val="single" w:sz="4" w:space="0" w:color="auto"/>
              <w:right w:val="single" w:sz="8" w:space="0" w:color="auto"/>
            </w:tcBorders>
            <w:vAlign w:val="center"/>
          </w:tcPr>
          <w:p w14:paraId="0277135E" w14:textId="77777777" w:rsidR="00F6713F" w:rsidRPr="003567FF" w:rsidRDefault="004A7A82" w:rsidP="00B569A9">
            <w:pPr>
              <w:jc w:val="both"/>
              <w:rPr>
                <w:rFonts w:asciiTheme="minorHAnsi" w:eastAsia="Times New Roman" w:hAnsiTheme="minorHAnsi" w:cstheme="minorHAnsi"/>
              </w:rPr>
            </w:pPr>
            <w:r w:rsidRPr="003567FF">
              <w:rPr>
                <w:rFonts w:asciiTheme="minorHAnsi" w:eastAsia="Times New Roman" w:hAnsiTheme="minorHAnsi" w:cstheme="minorHAnsi"/>
              </w:rPr>
              <w:t xml:space="preserve">Assumed growth remains the same as in 2023/24 at 400,000 tonnes per year. </w:t>
            </w:r>
          </w:p>
        </w:tc>
      </w:tr>
      <w:tr w:rsidR="00C92CD8" w14:paraId="12672048" w14:textId="77777777" w:rsidTr="003567FF">
        <w:trPr>
          <w:trHeight w:val="3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28B63AF" w14:textId="77777777" w:rsidR="00F6713F" w:rsidRPr="003567FF" w:rsidRDefault="004A7A82" w:rsidP="00A614A0">
            <w:pPr>
              <w:rPr>
                <w:rFonts w:asciiTheme="minorHAnsi" w:eastAsia="Times New Roman" w:hAnsiTheme="minorHAnsi" w:cstheme="minorHAnsi"/>
              </w:rPr>
            </w:pPr>
            <w:r w:rsidRPr="003567FF">
              <w:rPr>
                <w:rFonts w:asciiTheme="minorHAnsi" w:eastAsia="Times New Roman" w:hAnsiTheme="minorHAnsi" w:cstheme="minorHAnsi"/>
              </w:rPr>
              <w:t>SEND Transport</w:t>
            </w:r>
          </w:p>
        </w:tc>
        <w:tc>
          <w:tcPr>
            <w:tcW w:w="1084" w:type="dxa"/>
            <w:tcBorders>
              <w:top w:val="nil"/>
              <w:left w:val="nil"/>
              <w:bottom w:val="single" w:sz="8" w:space="0" w:color="auto"/>
              <w:right w:val="single" w:sz="4" w:space="0" w:color="auto"/>
            </w:tcBorders>
            <w:shd w:val="clear" w:color="auto" w:fill="auto"/>
            <w:vAlign w:val="center"/>
            <w:hideMark/>
          </w:tcPr>
          <w:p w14:paraId="687C362B"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14%</w:t>
            </w:r>
          </w:p>
        </w:tc>
        <w:tc>
          <w:tcPr>
            <w:tcW w:w="951" w:type="dxa"/>
            <w:tcBorders>
              <w:top w:val="nil"/>
              <w:left w:val="nil"/>
              <w:bottom w:val="single" w:sz="8" w:space="0" w:color="auto"/>
              <w:right w:val="single" w:sz="4" w:space="0" w:color="auto"/>
            </w:tcBorders>
            <w:vAlign w:val="center"/>
          </w:tcPr>
          <w:p w14:paraId="00370ABC"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11.5</w:t>
            </w:r>
          </w:p>
        </w:tc>
        <w:tc>
          <w:tcPr>
            <w:tcW w:w="1084" w:type="dxa"/>
            <w:tcBorders>
              <w:top w:val="nil"/>
              <w:left w:val="single" w:sz="4" w:space="0" w:color="auto"/>
              <w:bottom w:val="single" w:sz="8" w:space="0" w:color="auto"/>
              <w:right w:val="single" w:sz="4" w:space="0" w:color="auto"/>
            </w:tcBorders>
            <w:shd w:val="clear" w:color="auto" w:fill="auto"/>
            <w:vAlign w:val="center"/>
            <w:hideMark/>
          </w:tcPr>
          <w:p w14:paraId="5AA36C1E"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11%</w:t>
            </w:r>
          </w:p>
        </w:tc>
        <w:tc>
          <w:tcPr>
            <w:tcW w:w="951" w:type="dxa"/>
            <w:tcBorders>
              <w:top w:val="nil"/>
              <w:left w:val="nil"/>
              <w:bottom w:val="single" w:sz="8" w:space="0" w:color="auto"/>
              <w:right w:val="single" w:sz="4" w:space="0" w:color="auto"/>
            </w:tcBorders>
            <w:vAlign w:val="center"/>
          </w:tcPr>
          <w:p w14:paraId="4A779FFA"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4.4</w:t>
            </w:r>
          </w:p>
        </w:tc>
        <w:tc>
          <w:tcPr>
            <w:tcW w:w="1084" w:type="dxa"/>
            <w:tcBorders>
              <w:top w:val="nil"/>
              <w:left w:val="single" w:sz="4" w:space="0" w:color="auto"/>
              <w:bottom w:val="single" w:sz="8" w:space="0" w:color="auto"/>
              <w:right w:val="single" w:sz="8" w:space="0" w:color="auto"/>
            </w:tcBorders>
            <w:shd w:val="clear" w:color="auto" w:fill="auto"/>
            <w:vAlign w:val="center"/>
            <w:hideMark/>
          </w:tcPr>
          <w:p w14:paraId="6A412351" w14:textId="77777777" w:rsidR="00F6713F" w:rsidRPr="003567FF" w:rsidRDefault="004A7A82" w:rsidP="003567FF">
            <w:pPr>
              <w:jc w:val="right"/>
              <w:rPr>
                <w:rFonts w:asciiTheme="minorHAnsi" w:eastAsia="Times New Roman" w:hAnsiTheme="minorHAnsi" w:cstheme="minorHAnsi"/>
              </w:rPr>
            </w:pPr>
            <w:r w:rsidRPr="003567FF">
              <w:rPr>
                <w:rFonts w:asciiTheme="minorHAnsi" w:eastAsia="Times New Roman" w:hAnsiTheme="minorHAnsi" w:cstheme="minorHAnsi"/>
              </w:rPr>
              <w:t>8%</w:t>
            </w:r>
          </w:p>
        </w:tc>
        <w:tc>
          <w:tcPr>
            <w:tcW w:w="951" w:type="dxa"/>
            <w:tcBorders>
              <w:top w:val="nil"/>
              <w:left w:val="nil"/>
              <w:bottom w:val="single" w:sz="8" w:space="0" w:color="auto"/>
              <w:right w:val="single" w:sz="4" w:space="0" w:color="auto"/>
            </w:tcBorders>
            <w:vAlign w:val="center"/>
          </w:tcPr>
          <w:p w14:paraId="5FF4D109" w14:textId="77777777" w:rsidR="00F6713F" w:rsidRPr="003567FF" w:rsidRDefault="004A7A82" w:rsidP="00A614A0">
            <w:pPr>
              <w:jc w:val="right"/>
              <w:rPr>
                <w:rFonts w:asciiTheme="minorHAnsi" w:eastAsia="Times New Roman" w:hAnsiTheme="minorHAnsi" w:cstheme="minorHAnsi"/>
              </w:rPr>
            </w:pPr>
            <w:r w:rsidRPr="003567FF">
              <w:rPr>
                <w:rFonts w:asciiTheme="minorHAnsi" w:eastAsia="Times New Roman" w:hAnsiTheme="minorHAnsi" w:cstheme="minorHAnsi"/>
              </w:rPr>
              <w:t>3.4</w:t>
            </w:r>
          </w:p>
        </w:tc>
        <w:tc>
          <w:tcPr>
            <w:tcW w:w="5518" w:type="dxa"/>
            <w:tcBorders>
              <w:top w:val="nil"/>
              <w:left w:val="single" w:sz="4" w:space="0" w:color="auto"/>
              <w:bottom w:val="single" w:sz="8" w:space="0" w:color="auto"/>
              <w:right w:val="single" w:sz="8" w:space="0" w:color="auto"/>
            </w:tcBorders>
            <w:vAlign w:val="center"/>
          </w:tcPr>
          <w:p w14:paraId="4E0434B7" w14:textId="77777777" w:rsidR="00F6713F" w:rsidRPr="003567FF" w:rsidRDefault="004A7A82" w:rsidP="00B569A9">
            <w:pPr>
              <w:jc w:val="both"/>
              <w:rPr>
                <w:rFonts w:asciiTheme="minorHAnsi" w:eastAsia="Times New Roman" w:hAnsiTheme="minorHAnsi" w:cstheme="minorHAnsi"/>
              </w:rPr>
            </w:pPr>
            <w:r w:rsidRPr="003567FF">
              <w:rPr>
                <w:rFonts w:asciiTheme="minorHAnsi" w:eastAsia="Times New Roman" w:hAnsiTheme="minorHAnsi" w:cstheme="minorHAnsi"/>
              </w:rPr>
              <w:t xml:space="preserve">Projected growth across Special Educational Needs and Disability service is 14%, which is currently forecast to be the peak of demand post-pandemic. It is then forecast that growth gradually reduces over later years. </w:t>
            </w:r>
          </w:p>
        </w:tc>
      </w:tr>
    </w:tbl>
    <w:p w14:paraId="610120AE" w14:textId="1297568B" w:rsidR="000A65E3" w:rsidRDefault="000A65E3" w:rsidP="00320643">
      <w:pPr>
        <w:autoSpaceDE w:val="0"/>
        <w:autoSpaceDN w:val="0"/>
        <w:adjustRightInd w:val="0"/>
        <w:jc w:val="both"/>
        <w:rPr>
          <w:rFonts w:eastAsia="Calibri" w:cs="Helvetica-Light"/>
          <w:b/>
          <w:bCs/>
          <w:color w:val="000000"/>
          <w:u w:val="single"/>
        </w:rPr>
      </w:pPr>
    </w:p>
    <w:p w14:paraId="52DFBBB5" w14:textId="6C30E4D8" w:rsidR="00F6713F" w:rsidRDefault="00F6713F" w:rsidP="00320643">
      <w:pPr>
        <w:autoSpaceDE w:val="0"/>
        <w:autoSpaceDN w:val="0"/>
        <w:adjustRightInd w:val="0"/>
        <w:jc w:val="both"/>
        <w:rPr>
          <w:rFonts w:eastAsia="Calibri" w:cs="Helvetica-Light"/>
          <w:b/>
          <w:bCs/>
          <w:color w:val="000000"/>
          <w:u w:val="single"/>
        </w:rPr>
      </w:pPr>
    </w:p>
    <w:p w14:paraId="2AC8275C" w14:textId="5B9AB5AF" w:rsidR="00F6713F" w:rsidRDefault="00F6713F" w:rsidP="00320643">
      <w:pPr>
        <w:autoSpaceDE w:val="0"/>
        <w:autoSpaceDN w:val="0"/>
        <w:adjustRightInd w:val="0"/>
        <w:jc w:val="both"/>
        <w:rPr>
          <w:rFonts w:eastAsia="Calibri" w:cs="Helvetica-Light"/>
          <w:b/>
          <w:bCs/>
          <w:color w:val="000000"/>
          <w:u w:val="single"/>
        </w:rPr>
      </w:pPr>
    </w:p>
    <w:p w14:paraId="5938DC6E" w14:textId="756D4A57" w:rsidR="00F6713F" w:rsidRDefault="00F6713F" w:rsidP="00320643">
      <w:pPr>
        <w:autoSpaceDE w:val="0"/>
        <w:autoSpaceDN w:val="0"/>
        <w:adjustRightInd w:val="0"/>
        <w:jc w:val="both"/>
        <w:rPr>
          <w:rFonts w:eastAsia="Calibri" w:cs="Helvetica-Light"/>
          <w:b/>
          <w:bCs/>
          <w:color w:val="000000"/>
          <w:u w:val="single"/>
        </w:rPr>
      </w:pPr>
    </w:p>
    <w:p w14:paraId="7CC9D866" w14:textId="667FB75D" w:rsidR="00F6713F" w:rsidRDefault="00F6713F" w:rsidP="00320643">
      <w:pPr>
        <w:autoSpaceDE w:val="0"/>
        <w:autoSpaceDN w:val="0"/>
        <w:adjustRightInd w:val="0"/>
        <w:jc w:val="both"/>
        <w:rPr>
          <w:rFonts w:eastAsia="Calibri" w:cs="Helvetica-Light"/>
          <w:b/>
          <w:bCs/>
          <w:color w:val="000000"/>
          <w:u w:val="single"/>
        </w:rPr>
      </w:pPr>
    </w:p>
    <w:p w14:paraId="66686260" w14:textId="77777777" w:rsidR="009B4568" w:rsidRDefault="009B4568" w:rsidP="00320643">
      <w:pPr>
        <w:autoSpaceDE w:val="0"/>
        <w:autoSpaceDN w:val="0"/>
        <w:adjustRightInd w:val="0"/>
        <w:jc w:val="both"/>
        <w:rPr>
          <w:rFonts w:eastAsia="Calibri" w:cs="Helvetica-Light"/>
          <w:b/>
          <w:bCs/>
          <w:color w:val="000000"/>
          <w:u w:val="single"/>
        </w:rPr>
        <w:sectPr w:rsidR="009B4568" w:rsidSect="00724CCB">
          <w:pgSz w:w="16838" w:h="11906" w:orient="landscape" w:code="9"/>
          <w:pgMar w:top="1418" w:right="1418" w:bottom="1418" w:left="1418" w:header="454" w:footer="689" w:gutter="0"/>
          <w:cols w:space="708"/>
          <w:docGrid w:linePitch="360"/>
        </w:sectPr>
      </w:pPr>
    </w:p>
    <w:p w14:paraId="4CAA63CB" w14:textId="2E52A54E" w:rsidR="00F6713F" w:rsidRDefault="004A7A82" w:rsidP="00320643">
      <w:pPr>
        <w:autoSpaceDE w:val="0"/>
        <w:autoSpaceDN w:val="0"/>
        <w:adjustRightInd w:val="0"/>
        <w:jc w:val="both"/>
        <w:rPr>
          <w:rFonts w:eastAsia="Calibri" w:cs="Helvetica-Light"/>
          <w:b/>
          <w:bCs/>
          <w:color w:val="000000"/>
          <w:u w:val="single"/>
        </w:rPr>
      </w:pPr>
      <w:r>
        <w:rPr>
          <w:rFonts w:eastAsia="Calibri" w:cs="Helvetica-Light"/>
          <w:b/>
          <w:bCs/>
          <w:color w:val="000000"/>
          <w:u w:val="single"/>
        </w:rPr>
        <w:lastRenderedPageBreak/>
        <w:t xml:space="preserve">Annex </w:t>
      </w:r>
      <w:r w:rsidR="00AB423D">
        <w:rPr>
          <w:rFonts w:eastAsia="Calibri" w:cs="Helvetica-Light"/>
          <w:b/>
          <w:bCs/>
          <w:color w:val="000000"/>
          <w:u w:val="single"/>
        </w:rPr>
        <w:t>C – Policy Savings Proposals</w:t>
      </w:r>
    </w:p>
    <w:p w14:paraId="3FF1F210" w14:textId="77777777" w:rsidR="00D7158C" w:rsidRDefault="00D7158C" w:rsidP="00320643">
      <w:pPr>
        <w:autoSpaceDE w:val="0"/>
        <w:autoSpaceDN w:val="0"/>
        <w:adjustRightInd w:val="0"/>
        <w:jc w:val="both"/>
        <w:rPr>
          <w:rFonts w:eastAsia="Calibri" w:cs="Helvetica-Light"/>
          <w:b/>
          <w:bCs/>
          <w:color w:val="000000"/>
          <w:u w:val="single"/>
        </w:rPr>
      </w:pPr>
    </w:p>
    <w:tbl>
      <w:tblPr>
        <w:tblW w:w="14421" w:type="dxa"/>
        <w:tblInd w:w="118" w:type="dxa"/>
        <w:tblLook w:val="04A0" w:firstRow="1" w:lastRow="0" w:firstColumn="1" w:lastColumn="0" w:noHBand="0" w:noVBand="1"/>
      </w:tblPr>
      <w:tblGrid>
        <w:gridCol w:w="1270"/>
        <w:gridCol w:w="2539"/>
        <w:gridCol w:w="1857"/>
        <w:gridCol w:w="4129"/>
        <w:gridCol w:w="1567"/>
        <w:gridCol w:w="1418"/>
        <w:gridCol w:w="1641"/>
      </w:tblGrid>
      <w:tr w:rsidR="00C92CD8" w14:paraId="4278E012" w14:textId="77777777" w:rsidTr="00C52870">
        <w:trPr>
          <w:trHeight w:val="520"/>
        </w:trPr>
        <w:tc>
          <w:tcPr>
            <w:tcW w:w="1270" w:type="dxa"/>
            <w:tcBorders>
              <w:top w:val="single" w:sz="8" w:space="0" w:color="auto"/>
              <w:left w:val="single" w:sz="8" w:space="0" w:color="auto"/>
              <w:bottom w:val="nil"/>
              <w:right w:val="single" w:sz="4" w:space="0" w:color="auto"/>
            </w:tcBorders>
            <w:shd w:val="clear" w:color="000000" w:fill="C6E0B4"/>
            <w:vAlign w:val="bottom"/>
            <w:hideMark/>
          </w:tcPr>
          <w:p w14:paraId="22BB98D3" w14:textId="77777777" w:rsidR="008178AA" w:rsidRPr="00C52870" w:rsidRDefault="004A7A82" w:rsidP="00A614A0">
            <w:pPr>
              <w:jc w:val="center"/>
              <w:rPr>
                <w:rFonts w:asciiTheme="minorHAnsi" w:eastAsia="Times New Roman" w:hAnsiTheme="minorHAnsi" w:cstheme="minorHAnsi"/>
                <w:b/>
                <w:bCs/>
              </w:rPr>
            </w:pPr>
            <w:r w:rsidRPr="00C52870">
              <w:rPr>
                <w:rFonts w:asciiTheme="minorHAnsi" w:eastAsia="Times New Roman" w:hAnsiTheme="minorHAnsi" w:cstheme="minorHAnsi"/>
                <w:b/>
                <w:bCs/>
              </w:rPr>
              <w:t xml:space="preserve">Template </w:t>
            </w:r>
            <w:r w:rsidRPr="00C52870">
              <w:rPr>
                <w:rFonts w:asciiTheme="minorHAnsi" w:eastAsia="Times New Roman" w:hAnsiTheme="minorHAnsi" w:cstheme="minorHAnsi"/>
                <w:b/>
                <w:bCs/>
              </w:rPr>
              <w:br/>
              <w:t>Ref</w:t>
            </w:r>
          </w:p>
        </w:tc>
        <w:tc>
          <w:tcPr>
            <w:tcW w:w="2539" w:type="dxa"/>
            <w:tcBorders>
              <w:top w:val="single" w:sz="8" w:space="0" w:color="auto"/>
              <w:left w:val="nil"/>
              <w:bottom w:val="nil"/>
              <w:right w:val="single" w:sz="4" w:space="0" w:color="auto"/>
            </w:tcBorders>
            <w:shd w:val="clear" w:color="000000" w:fill="C6E0B4"/>
            <w:vAlign w:val="bottom"/>
            <w:hideMark/>
          </w:tcPr>
          <w:p w14:paraId="11E2AE52" w14:textId="77777777" w:rsidR="008178AA" w:rsidRPr="00C52870" w:rsidRDefault="004A7A82" w:rsidP="00A614A0">
            <w:pPr>
              <w:jc w:val="center"/>
              <w:rPr>
                <w:rFonts w:asciiTheme="minorHAnsi" w:eastAsia="Times New Roman" w:hAnsiTheme="minorHAnsi" w:cstheme="minorHAnsi"/>
                <w:b/>
                <w:bCs/>
              </w:rPr>
            </w:pPr>
            <w:r w:rsidRPr="00C52870">
              <w:rPr>
                <w:rFonts w:asciiTheme="minorHAnsi" w:eastAsia="Times New Roman" w:hAnsiTheme="minorHAnsi" w:cstheme="minorHAnsi"/>
                <w:b/>
                <w:bCs/>
              </w:rPr>
              <w:t>Directorate</w:t>
            </w:r>
          </w:p>
        </w:tc>
        <w:tc>
          <w:tcPr>
            <w:tcW w:w="1857" w:type="dxa"/>
            <w:tcBorders>
              <w:top w:val="single" w:sz="8" w:space="0" w:color="auto"/>
              <w:left w:val="nil"/>
              <w:bottom w:val="nil"/>
              <w:right w:val="single" w:sz="4" w:space="0" w:color="auto"/>
            </w:tcBorders>
            <w:shd w:val="clear" w:color="000000" w:fill="C6E0B4"/>
            <w:vAlign w:val="bottom"/>
            <w:hideMark/>
          </w:tcPr>
          <w:p w14:paraId="40464732" w14:textId="77777777" w:rsidR="008178AA" w:rsidRPr="00C52870" w:rsidRDefault="004A7A82" w:rsidP="00A614A0">
            <w:pPr>
              <w:jc w:val="center"/>
              <w:rPr>
                <w:rFonts w:asciiTheme="minorHAnsi" w:eastAsia="Times New Roman" w:hAnsiTheme="minorHAnsi" w:cstheme="minorHAnsi"/>
                <w:b/>
                <w:bCs/>
              </w:rPr>
            </w:pPr>
            <w:r w:rsidRPr="00C52870">
              <w:rPr>
                <w:rFonts w:asciiTheme="minorHAnsi" w:eastAsia="Times New Roman" w:hAnsiTheme="minorHAnsi" w:cstheme="minorHAnsi"/>
                <w:b/>
                <w:bCs/>
              </w:rPr>
              <w:t>Service Area</w:t>
            </w:r>
          </w:p>
        </w:tc>
        <w:tc>
          <w:tcPr>
            <w:tcW w:w="4129" w:type="dxa"/>
            <w:tcBorders>
              <w:top w:val="single" w:sz="8" w:space="0" w:color="auto"/>
              <w:left w:val="nil"/>
              <w:bottom w:val="nil"/>
              <w:right w:val="single" w:sz="4" w:space="0" w:color="auto"/>
            </w:tcBorders>
            <w:shd w:val="clear" w:color="000000" w:fill="C6E0B4"/>
            <w:vAlign w:val="bottom"/>
            <w:hideMark/>
          </w:tcPr>
          <w:p w14:paraId="632626F9" w14:textId="77777777" w:rsidR="008178AA" w:rsidRPr="00C52870" w:rsidRDefault="004A7A82" w:rsidP="00A614A0">
            <w:pPr>
              <w:jc w:val="center"/>
              <w:rPr>
                <w:rFonts w:asciiTheme="minorHAnsi" w:eastAsia="Times New Roman" w:hAnsiTheme="minorHAnsi" w:cstheme="minorHAnsi"/>
                <w:b/>
                <w:bCs/>
              </w:rPr>
            </w:pPr>
            <w:r w:rsidRPr="00C52870">
              <w:rPr>
                <w:rFonts w:asciiTheme="minorHAnsi" w:eastAsia="Times New Roman" w:hAnsiTheme="minorHAnsi" w:cstheme="minorHAnsi"/>
                <w:b/>
                <w:bCs/>
              </w:rPr>
              <w:t>Brief Description</w:t>
            </w:r>
          </w:p>
        </w:tc>
        <w:tc>
          <w:tcPr>
            <w:tcW w:w="1567" w:type="dxa"/>
            <w:tcBorders>
              <w:top w:val="single" w:sz="8" w:space="0" w:color="auto"/>
              <w:left w:val="nil"/>
              <w:bottom w:val="nil"/>
              <w:right w:val="single" w:sz="4" w:space="0" w:color="auto"/>
            </w:tcBorders>
            <w:shd w:val="clear" w:color="000000" w:fill="C6E0B4"/>
            <w:vAlign w:val="bottom"/>
            <w:hideMark/>
          </w:tcPr>
          <w:p w14:paraId="49B2082E" w14:textId="77777777" w:rsidR="008178AA" w:rsidRPr="00C52870" w:rsidRDefault="004A7A82" w:rsidP="00A614A0">
            <w:pPr>
              <w:jc w:val="center"/>
              <w:rPr>
                <w:rFonts w:asciiTheme="minorHAnsi" w:eastAsia="Times New Roman" w:hAnsiTheme="minorHAnsi" w:cstheme="minorHAnsi"/>
                <w:b/>
                <w:bCs/>
              </w:rPr>
            </w:pPr>
            <w:r w:rsidRPr="00C52870">
              <w:rPr>
                <w:rFonts w:asciiTheme="minorHAnsi" w:eastAsia="Times New Roman" w:hAnsiTheme="minorHAnsi" w:cstheme="minorHAnsi"/>
                <w:b/>
                <w:bCs/>
              </w:rPr>
              <w:t>2024/25</w:t>
            </w:r>
          </w:p>
        </w:tc>
        <w:tc>
          <w:tcPr>
            <w:tcW w:w="1418" w:type="dxa"/>
            <w:tcBorders>
              <w:top w:val="single" w:sz="8" w:space="0" w:color="auto"/>
              <w:left w:val="nil"/>
              <w:bottom w:val="nil"/>
              <w:right w:val="single" w:sz="4" w:space="0" w:color="auto"/>
            </w:tcBorders>
            <w:shd w:val="clear" w:color="000000" w:fill="C6E0B4"/>
            <w:vAlign w:val="bottom"/>
            <w:hideMark/>
          </w:tcPr>
          <w:p w14:paraId="4DF0B1DD" w14:textId="77777777" w:rsidR="008178AA" w:rsidRPr="00C52870" w:rsidRDefault="004A7A82" w:rsidP="00A614A0">
            <w:pPr>
              <w:jc w:val="center"/>
              <w:rPr>
                <w:rFonts w:asciiTheme="minorHAnsi" w:eastAsia="Times New Roman" w:hAnsiTheme="minorHAnsi" w:cstheme="minorHAnsi"/>
                <w:b/>
                <w:bCs/>
              </w:rPr>
            </w:pPr>
            <w:r w:rsidRPr="00C52870">
              <w:rPr>
                <w:rFonts w:asciiTheme="minorHAnsi" w:eastAsia="Times New Roman" w:hAnsiTheme="minorHAnsi" w:cstheme="minorHAnsi"/>
                <w:b/>
                <w:bCs/>
              </w:rPr>
              <w:t>2025/26</w:t>
            </w:r>
          </w:p>
        </w:tc>
        <w:tc>
          <w:tcPr>
            <w:tcW w:w="1641" w:type="dxa"/>
            <w:tcBorders>
              <w:top w:val="single" w:sz="8" w:space="0" w:color="auto"/>
              <w:left w:val="nil"/>
              <w:bottom w:val="nil"/>
              <w:right w:val="single" w:sz="8" w:space="0" w:color="auto"/>
            </w:tcBorders>
            <w:shd w:val="clear" w:color="000000" w:fill="C6E0B4"/>
            <w:vAlign w:val="bottom"/>
            <w:hideMark/>
          </w:tcPr>
          <w:p w14:paraId="25E44D5E" w14:textId="77777777" w:rsidR="008178AA" w:rsidRPr="00C52870" w:rsidRDefault="004A7A82" w:rsidP="00A614A0">
            <w:pPr>
              <w:jc w:val="center"/>
              <w:rPr>
                <w:rFonts w:asciiTheme="minorHAnsi" w:eastAsia="Times New Roman" w:hAnsiTheme="minorHAnsi" w:cstheme="minorHAnsi"/>
                <w:b/>
                <w:bCs/>
              </w:rPr>
            </w:pPr>
            <w:r w:rsidRPr="00C52870">
              <w:rPr>
                <w:rFonts w:asciiTheme="minorHAnsi" w:eastAsia="Times New Roman" w:hAnsiTheme="minorHAnsi" w:cstheme="minorHAnsi"/>
                <w:b/>
                <w:bCs/>
              </w:rPr>
              <w:t>2026/27</w:t>
            </w:r>
          </w:p>
        </w:tc>
      </w:tr>
      <w:tr w:rsidR="00C92CD8" w14:paraId="1070F199" w14:textId="77777777" w:rsidTr="00C52870">
        <w:trPr>
          <w:trHeight w:val="260"/>
        </w:trPr>
        <w:tc>
          <w:tcPr>
            <w:tcW w:w="1270" w:type="dxa"/>
            <w:tcBorders>
              <w:top w:val="nil"/>
              <w:left w:val="single" w:sz="8" w:space="0" w:color="auto"/>
              <w:bottom w:val="single" w:sz="4" w:space="0" w:color="auto"/>
              <w:right w:val="single" w:sz="4" w:space="0" w:color="auto"/>
            </w:tcBorders>
            <w:shd w:val="clear" w:color="000000" w:fill="C6E0B4"/>
            <w:noWrap/>
            <w:hideMark/>
          </w:tcPr>
          <w:p w14:paraId="3238F2F9" w14:textId="77777777" w:rsidR="008178AA" w:rsidRPr="00C52870" w:rsidRDefault="004A7A82" w:rsidP="00A614A0">
            <w:pPr>
              <w:jc w:val="center"/>
              <w:rPr>
                <w:rFonts w:asciiTheme="minorHAnsi" w:eastAsia="Times New Roman" w:hAnsiTheme="minorHAnsi" w:cstheme="minorHAnsi"/>
                <w:b/>
                <w:bCs/>
              </w:rPr>
            </w:pPr>
            <w:r w:rsidRPr="00C52870">
              <w:rPr>
                <w:rFonts w:asciiTheme="minorHAnsi" w:eastAsia="Times New Roman" w:hAnsiTheme="minorHAnsi" w:cstheme="minorHAnsi"/>
                <w:b/>
                <w:bCs/>
              </w:rPr>
              <w:t> </w:t>
            </w:r>
          </w:p>
        </w:tc>
        <w:tc>
          <w:tcPr>
            <w:tcW w:w="2539" w:type="dxa"/>
            <w:tcBorders>
              <w:top w:val="nil"/>
              <w:left w:val="nil"/>
              <w:bottom w:val="single" w:sz="4" w:space="0" w:color="auto"/>
              <w:right w:val="single" w:sz="4" w:space="0" w:color="auto"/>
            </w:tcBorders>
            <w:shd w:val="clear" w:color="000000" w:fill="C6E0B4"/>
            <w:noWrap/>
            <w:hideMark/>
          </w:tcPr>
          <w:p w14:paraId="4DCE0B87" w14:textId="77777777" w:rsidR="008178AA" w:rsidRPr="00C52870" w:rsidRDefault="004A7A82" w:rsidP="00A614A0">
            <w:pPr>
              <w:jc w:val="center"/>
              <w:rPr>
                <w:rFonts w:asciiTheme="minorHAnsi" w:eastAsia="Times New Roman" w:hAnsiTheme="minorHAnsi" w:cstheme="minorHAnsi"/>
                <w:b/>
                <w:bCs/>
              </w:rPr>
            </w:pPr>
            <w:r w:rsidRPr="00C52870">
              <w:rPr>
                <w:rFonts w:asciiTheme="minorHAnsi" w:eastAsia="Times New Roman" w:hAnsiTheme="minorHAnsi" w:cstheme="minorHAnsi"/>
                <w:b/>
                <w:bCs/>
              </w:rPr>
              <w:t> </w:t>
            </w:r>
          </w:p>
        </w:tc>
        <w:tc>
          <w:tcPr>
            <w:tcW w:w="1857" w:type="dxa"/>
            <w:tcBorders>
              <w:top w:val="nil"/>
              <w:left w:val="nil"/>
              <w:bottom w:val="single" w:sz="4" w:space="0" w:color="auto"/>
              <w:right w:val="single" w:sz="4" w:space="0" w:color="auto"/>
            </w:tcBorders>
            <w:shd w:val="clear" w:color="000000" w:fill="C6E0B4"/>
            <w:noWrap/>
            <w:hideMark/>
          </w:tcPr>
          <w:p w14:paraId="749D2869" w14:textId="77777777" w:rsidR="008178AA" w:rsidRPr="00C52870" w:rsidRDefault="004A7A82" w:rsidP="00A614A0">
            <w:pPr>
              <w:jc w:val="center"/>
              <w:rPr>
                <w:rFonts w:asciiTheme="minorHAnsi" w:eastAsia="Times New Roman" w:hAnsiTheme="minorHAnsi" w:cstheme="minorHAnsi"/>
                <w:b/>
                <w:bCs/>
              </w:rPr>
            </w:pPr>
            <w:r w:rsidRPr="00C52870">
              <w:rPr>
                <w:rFonts w:asciiTheme="minorHAnsi" w:eastAsia="Times New Roman" w:hAnsiTheme="minorHAnsi" w:cstheme="minorHAnsi"/>
                <w:b/>
                <w:bCs/>
              </w:rPr>
              <w:t> </w:t>
            </w:r>
          </w:p>
        </w:tc>
        <w:tc>
          <w:tcPr>
            <w:tcW w:w="4129" w:type="dxa"/>
            <w:tcBorders>
              <w:top w:val="nil"/>
              <w:left w:val="nil"/>
              <w:bottom w:val="single" w:sz="4" w:space="0" w:color="auto"/>
              <w:right w:val="single" w:sz="4" w:space="0" w:color="auto"/>
            </w:tcBorders>
            <w:shd w:val="clear" w:color="000000" w:fill="C6E0B4"/>
            <w:noWrap/>
            <w:hideMark/>
          </w:tcPr>
          <w:p w14:paraId="4C243356" w14:textId="77777777" w:rsidR="008178AA" w:rsidRPr="00C52870" w:rsidRDefault="004A7A82" w:rsidP="00A614A0">
            <w:pPr>
              <w:jc w:val="center"/>
              <w:rPr>
                <w:rFonts w:asciiTheme="minorHAnsi" w:eastAsia="Times New Roman" w:hAnsiTheme="minorHAnsi" w:cstheme="minorHAnsi"/>
                <w:b/>
                <w:bCs/>
              </w:rPr>
            </w:pPr>
            <w:r w:rsidRPr="00C52870">
              <w:rPr>
                <w:rFonts w:asciiTheme="minorHAnsi" w:eastAsia="Times New Roman" w:hAnsiTheme="minorHAnsi" w:cstheme="minorHAnsi"/>
                <w:b/>
                <w:bCs/>
              </w:rPr>
              <w:t> </w:t>
            </w:r>
          </w:p>
        </w:tc>
        <w:tc>
          <w:tcPr>
            <w:tcW w:w="1567" w:type="dxa"/>
            <w:tcBorders>
              <w:top w:val="nil"/>
              <w:left w:val="nil"/>
              <w:bottom w:val="single" w:sz="4" w:space="0" w:color="auto"/>
              <w:right w:val="single" w:sz="4" w:space="0" w:color="auto"/>
            </w:tcBorders>
            <w:shd w:val="clear" w:color="000000" w:fill="C6E0B4"/>
            <w:noWrap/>
            <w:hideMark/>
          </w:tcPr>
          <w:p w14:paraId="23D2595D" w14:textId="77777777" w:rsidR="008178AA" w:rsidRPr="00C52870" w:rsidRDefault="004A7A82" w:rsidP="00A614A0">
            <w:pPr>
              <w:jc w:val="center"/>
              <w:rPr>
                <w:rFonts w:asciiTheme="minorHAnsi" w:eastAsia="Times New Roman" w:hAnsiTheme="minorHAnsi" w:cstheme="minorHAnsi"/>
                <w:b/>
                <w:bCs/>
              </w:rPr>
            </w:pPr>
            <w:r w:rsidRPr="00C52870">
              <w:rPr>
                <w:rFonts w:asciiTheme="minorHAnsi" w:eastAsia="Times New Roman" w:hAnsiTheme="minorHAnsi" w:cstheme="minorHAnsi"/>
                <w:b/>
                <w:bCs/>
              </w:rPr>
              <w:t>£</w:t>
            </w:r>
          </w:p>
        </w:tc>
        <w:tc>
          <w:tcPr>
            <w:tcW w:w="1418" w:type="dxa"/>
            <w:tcBorders>
              <w:top w:val="nil"/>
              <w:left w:val="nil"/>
              <w:bottom w:val="single" w:sz="4" w:space="0" w:color="auto"/>
              <w:right w:val="single" w:sz="4" w:space="0" w:color="auto"/>
            </w:tcBorders>
            <w:shd w:val="clear" w:color="000000" w:fill="C6E0B4"/>
            <w:noWrap/>
            <w:hideMark/>
          </w:tcPr>
          <w:p w14:paraId="57BB0692" w14:textId="77777777" w:rsidR="008178AA" w:rsidRPr="00C52870" w:rsidRDefault="004A7A82" w:rsidP="00A614A0">
            <w:pPr>
              <w:jc w:val="center"/>
              <w:rPr>
                <w:rFonts w:asciiTheme="minorHAnsi" w:eastAsia="Times New Roman" w:hAnsiTheme="minorHAnsi" w:cstheme="minorHAnsi"/>
                <w:b/>
                <w:bCs/>
              </w:rPr>
            </w:pPr>
            <w:r w:rsidRPr="00C52870">
              <w:rPr>
                <w:rFonts w:asciiTheme="minorHAnsi" w:eastAsia="Times New Roman" w:hAnsiTheme="minorHAnsi" w:cstheme="minorHAnsi"/>
                <w:b/>
                <w:bCs/>
              </w:rPr>
              <w:t>£</w:t>
            </w:r>
          </w:p>
        </w:tc>
        <w:tc>
          <w:tcPr>
            <w:tcW w:w="1641" w:type="dxa"/>
            <w:tcBorders>
              <w:top w:val="nil"/>
              <w:left w:val="nil"/>
              <w:bottom w:val="single" w:sz="4" w:space="0" w:color="auto"/>
              <w:right w:val="single" w:sz="8" w:space="0" w:color="auto"/>
            </w:tcBorders>
            <w:shd w:val="clear" w:color="000000" w:fill="C6E0B4"/>
            <w:noWrap/>
            <w:hideMark/>
          </w:tcPr>
          <w:p w14:paraId="3CF7FB50" w14:textId="77777777" w:rsidR="008178AA" w:rsidRPr="00C52870" w:rsidRDefault="004A7A82" w:rsidP="00A614A0">
            <w:pPr>
              <w:jc w:val="center"/>
              <w:rPr>
                <w:rFonts w:asciiTheme="minorHAnsi" w:eastAsia="Times New Roman" w:hAnsiTheme="minorHAnsi" w:cstheme="minorHAnsi"/>
                <w:b/>
                <w:bCs/>
              </w:rPr>
            </w:pPr>
            <w:r w:rsidRPr="00C52870">
              <w:rPr>
                <w:rFonts w:asciiTheme="minorHAnsi" w:eastAsia="Times New Roman" w:hAnsiTheme="minorHAnsi" w:cstheme="minorHAnsi"/>
                <w:b/>
                <w:bCs/>
              </w:rPr>
              <w:t>£</w:t>
            </w:r>
          </w:p>
        </w:tc>
      </w:tr>
      <w:tr w:rsidR="00C92CD8" w14:paraId="5E121F90" w14:textId="77777777" w:rsidTr="00C52870">
        <w:trPr>
          <w:trHeight w:val="52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57F143A3"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ECS001</w:t>
            </w:r>
          </w:p>
        </w:tc>
        <w:tc>
          <w:tcPr>
            <w:tcW w:w="2539" w:type="dxa"/>
            <w:tcBorders>
              <w:top w:val="nil"/>
              <w:left w:val="nil"/>
              <w:bottom w:val="single" w:sz="4" w:space="0" w:color="auto"/>
              <w:right w:val="single" w:sz="4" w:space="0" w:color="auto"/>
            </w:tcBorders>
            <w:shd w:val="clear" w:color="auto" w:fill="auto"/>
            <w:vAlign w:val="center"/>
            <w:hideMark/>
          </w:tcPr>
          <w:p w14:paraId="5DBCA1E0"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Education and Children's Services</w:t>
            </w:r>
          </w:p>
        </w:tc>
        <w:tc>
          <w:tcPr>
            <w:tcW w:w="1857" w:type="dxa"/>
            <w:tcBorders>
              <w:top w:val="nil"/>
              <w:left w:val="nil"/>
              <w:bottom w:val="single" w:sz="4" w:space="0" w:color="auto"/>
              <w:right w:val="single" w:sz="4" w:space="0" w:color="auto"/>
            </w:tcBorders>
            <w:shd w:val="clear" w:color="auto" w:fill="auto"/>
            <w:vAlign w:val="center"/>
            <w:hideMark/>
          </w:tcPr>
          <w:p w14:paraId="289AEA2A"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Education Improvement</w:t>
            </w:r>
          </w:p>
        </w:tc>
        <w:tc>
          <w:tcPr>
            <w:tcW w:w="4129" w:type="dxa"/>
            <w:tcBorders>
              <w:top w:val="nil"/>
              <w:left w:val="nil"/>
              <w:bottom w:val="single" w:sz="4" w:space="0" w:color="auto"/>
              <w:right w:val="single" w:sz="4" w:space="0" w:color="auto"/>
            </w:tcBorders>
            <w:shd w:val="clear" w:color="auto" w:fill="auto"/>
            <w:vAlign w:val="center"/>
            <w:hideMark/>
          </w:tcPr>
          <w:p w14:paraId="5A16144A"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Additional income from consultation and advisory work</w:t>
            </w:r>
          </w:p>
        </w:tc>
        <w:tc>
          <w:tcPr>
            <w:tcW w:w="1567" w:type="dxa"/>
            <w:tcBorders>
              <w:top w:val="nil"/>
              <w:left w:val="nil"/>
              <w:bottom w:val="single" w:sz="4" w:space="0" w:color="auto"/>
              <w:right w:val="single" w:sz="4" w:space="0" w:color="auto"/>
            </w:tcBorders>
            <w:shd w:val="clear" w:color="auto" w:fill="auto"/>
            <w:hideMark/>
          </w:tcPr>
          <w:p w14:paraId="1C153C38"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-492,000</w:t>
            </w:r>
          </w:p>
        </w:tc>
        <w:tc>
          <w:tcPr>
            <w:tcW w:w="1418" w:type="dxa"/>
            <w:tcBorders>
              <w:top w:val="nil"/>
              <w:left w:val="nil"/>
              <w:bottom w:val="single" w:sz="4" w:space="0" w:color="auto"/>
              <w:right w:val="single" w:sz="4" w:space="0" w:color="auto"/>
            </w:tcBorders>
            <w:shd w:val="clear" w:color="auto" w:fill="auto"/>
            <w:hideMark/>
          </w:tcPr>
          <w:p w14:paraId="75B3E1F1"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-400,000</w:t>
            </w:r>
          </w:p>
        </w:tc>
        <w:tc>
          <w:tcPr>
            <w:tcW w:w="1641" w:type="dxa"/>
            <w:tcBorders>
              <w:top w:val="nil"/>
              <w:left w:val="nil"/>
              <w:bottom w:val="single" w:sz="4" w:space="0" w:color="auto"/>
              <w:right w:val="single" w:sz="8" w:space="0" w:color="auto"/>
            </w:tcBorders>
            <w:shd w:val="clear" w:color="auto" w:fill="auto"/>
            <w:hideMark/>
          </w:tcPr>
          <w:p w14:paraId="10EFE432"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-300,000</w:t>
            </w:r>
          </w:p>
        </w:tc>
      </w:tr>
      <w:tr w:rsidR="00C92CD8" w14:paraId="5ABF40C2" w14:textId="77777777" w:rsidTr="00C52870">
        <w:trPr>
          <w:trHeight w:val="52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7851C980"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ECS002</w:t>
            </w:r>
          </w:p>
        </w:tc>
        <w:tc>
          <w:tcPr>
            <w:tcW w:w="2539" w:type="dxa"/>
            <w:tcBorders>
              <w:top w:val="nil"/>
              <w:left w:val="nil"/>
              <w:bottom w:val="single" w:sz="4" w:space="0" w:color="auto"/>
              <w:right w:val="single" w:sz="4" w:space="0" w:color="auto"/>
            </w:tcBorders>
            <w:shd w:val="clear" w:color="auto" w:fill="auto"/>
            <w:vAlign w:val="center"/>
            <w:hideMark/>
          </w:tcPr>
          <w:p w14:paraId="74AC2CCE"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Education and Children's Services</w:t>
            </w:r>
          </w:p>
        </w:tc>
        <w:tc>
          <w:tcPr>
            <w:tcW w:w="1857" w:type="dxa"/>
            <w:tcBorders>
              <w:top w:val="nil"/>
              <w:left w:val="nil"/>
              <w:bottom w:val="single" w:sz="4" w:space="0" w:color="auto"/>
              <w:right w:val="single" w:sz="4" w:space="0" w:color="auto"/>
            </w:tcBorders>
            <w:shd w:val="clear" w:color="auto" w:fill="auto"/>
            <w:vAlign w:val="center"/>
            <w:hideMark/>
          </w:tcPr>
          <w:p w14:paraId="0C3FDE0A"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Children's Social Care</w:t>
            </w:r>
          </w:p>
        </w:tc>
        <w:tc>
          <w:tcPr>
            <w:tcW w:w="4129" w:type="dxa"/>
            <w:tcBorders>
              <w:top w:val="nil"/>
              <w:left w:val="nil"/>
              <w:bottom w:val="single" w:sz="4" w:space="0" w:color="auto"/>
              <w:right w:val="single" w:sz="4" w:space="0" w:color="auto"/>
            </w:tcBorders>
            <w:shd w:val="clear" w:color="auto" w:fill="auto"/>
            <w:vAlign w:val="center"/>
            <w:hideMark/>
          </w:tcPr>
          <w:p w14:paraId="0935DB36"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Children and Young People's Joint Funding</w:t>
            </w:r>
          </w:p>
        </w:tc>
        <w:tc>
          <w:tcPr>
            <w:tcW w:w="1567" w:type="dxa"/>
            <w:tcBorders>
              <w:top w:val="nil"/>
              <w:left w:val="nil"/>
              <w:bottom w:val="single" w:sz="4" w:space="0" w:color="auto"/>
              <w:right w:val="single" w:sz="4" w:space="0" w:color="auto"/>
            </w:tcBorders>
            <w:shd w:val="clear" w:color="auto" w:fill="auto"/>
            <w:hideMark/>
          </w:tcPr>
          <w:p w14:paraId="72275538"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-800,000</w:t>
            </w:r>
          </w:p>
        </w:tc>
        <w:tc>
          <w:tcPr>
            <w:tcW w:w="1418" w:type="dxa"/>
            <w:tcBorders>
              <w:top w:val="nil"/>
              <w:left w:val="nil"/>
              <w:bottom w:val="single" w:sz="4" w:space="0" w:color="auto"/>
              <w:right w:val="single" w:sz="4" w:space="0" w:color="auto"/>
            </w:tcBorders>
            <w:shd w:val="clear" w:color="auto" w:fill="auto"/>
            <w:hideMark/>
          </w:tcPr>
          <w:p w14:paraId="69FD44CB"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-800,000</w:t>
            </w:r>
          </w:p>
        </w:tc>
        <w:tc>
          <w:tcPr>
            <w:tcW w:w="1641" w:type="dxa"/>
            <w:tcBorders>
              <w:top w:val="nil"/>
              <w:left w:val="nil"/>
              <w:bottom w:val="single" w:sz="4" w:space="0" w:color="auto"/>
              <w:right w:val="single" w:sz="8" w:space="0" w:color="auto"/>
            </w:tcBorders>
            <w:shd w:val="clear" w:color="auto" w:fill="auto"/>
            <w:hideMark/>
          </w:tcPr>
          <w:p w14:paraId="34451EE7"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-800,000</w:t>
            </w:r>
          </w:p>
        </w:tc>
      </w:tr>
      <w:tr w:rsidR="00C92CD8" w14:paraId="3F2E97C8" w14:textId="77777777" w:rsidTr="00C52870">
        <w:trPr>
          <w:trHeight w:val="688"/>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76243F32"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ECS012</w:t>
            </w:r>
          </w:p>
        </w:tc>
        <w:tc>
          <w:tcPr>
            <w:tcW w:w="2539" w:type="dxa"/>
            <w:tcBorders>
              <w:top w:val="nil"/>
              <w:left w:val="nil"/>
              <w:bottom w:val="single" w:sz="4" w:space="0" w:color="auto"/>
              <w:right w:val="single" w:sz="4" w:space="0" w:color="auto"/>
            </w:tcBorders>
            <w:shd w:val="clear" w:color="auto" w:fill="auto"/>
            <w:vAlign w:val="center"/>
            <w:hideMark/>
          </w:tcPr>
          <w:p w14:paraId="67995081"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Education and Children's Services</w:t>
            </w:r>
          </w:p>
        </w:tc>
        <w:tc>
          <w:tcPr>
            <w:tcW w:w="1857" w:type="dxa"/>
            <w:tcBorders>
              <w:top w:val="nil"/>
              <w:left w:val="nil"/>
              <w:bottom w:val="single" w:sz="4" w:space="0" w:color="auto"/>
              <w:right w:val="single" w:sz="4" w:space="0" w:color="auto"/>
            </w:tcBorders>
            <w:shd w:val="clear" w:color="auto" w:fill="auto"/>
            <w:vAlign w:val="center"/>
            <w:hideMark/>
          </w:tcPr>
          <w:p w14:paraId="7FB26211"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Cultural Services</w:t>
            </w:r>
          </w:p>
        </w:tc>
        <w:tc>
          <w:tcPr>
            <w:tcW w:w="4129" w:type="dxa"/>
            <w:tcBorders>
              <w:top w:val="nil"/>
              <w:left w:val="nil"/>
              <w:bottom w:val="single" w:sz="4" w:space="0" w:color="auto"/>
              <w:right w:val="single" w:sz="4" w:space="0" w:color="auto"/>
            </w:tcBorders>
            <w:shd w:val="clear" w:color="auto" w:fill="auto"/>
            <w:vAlign w:val="center"/>
            <w:hideMark/>
          </w:tcPr>
          <w:p w14:paraId="79691404"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Using Collection HQ technology to improve collection management and performance</w:t>
            </w:r>
          </w:p>
        </w:tc>
        <w:tc>
          <w:tcPr>
            <w:tcW w:w="1567" w:type="dxa"/>
            <w:tcBorders>
              <w:top w:val="nil"/>
              <w:left w:val="nil"/>
              <w:bottom w:val="single" w:sz="4" w:space="0" w:color="auto"/>
              <w:right w:val="single" w:sz="4" w:space="0" w:color="auto"/>
            </w:tcBorders>
            <w:shd w:val="clear" w:color="auto" w:fill="auto"/>
            <w:hideMark/>
          </w:tcPr>
          <w:p w14:paraId="4F31E8BF"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-200,000</w:t>
            </w:r>
          </w:p>
        </w:tc>
        <w:tc>
          <w:tcPr>
            <w:tcW w:w="1418" w:type="dxa"/>
            <w:tcBorders>
              <w:top w:val="nil"/>
              <w:left w:val="nil"/>
              <w:bottom w:val="single" w:sz="4" w:space="0" w:color="auto"/>
              <w:right w:val="single" w:sz="4" w:space="0" w:color="auto"/>
            </w:tcBorders>
            <w:shd w:val="clear" w:color="auto" w:fill="auto"/>
            <w:hideMark/>
          </w:tcPr>
          <w:p w14:paraId="48BAB4A3"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-200,000</w:t>
            </w:r>
          </w:p>
        </w:tc>
        <w:tc>
          <w:tcPr>
            <w:tcW w:w="1641" w:type="dxa"/>
            <w:tcBorders>
              <w:top w:val="nil"/>
              <w:left w:val="nil"/>
              <w:bottom w:val="single" w:sz="4" w:space="0" w:color="auto"/>
              <w:right w:val="single" w:sz="8" w:space="0" w:color="auto"/>
            </w:tcBorders>
            <w:shd w:val="clear" w:color="auto" w:fill="auto"/>
            <w:hideMark/>
          </w:tcPr>
          <w:p w14:paraId="3DB0B578"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-200,000</w:t>
            </w:r>
          </w:p>
        </w:tc>
      </w:tr>
      <w:tr w:rsidR="00C92CD8" w14:paraId="3C6B4ADF" w14:textId="77777777" w:rsidTr="00C52870">
        <w:trPr>
          <w:trHeight w:val="596"/>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7981AFAA"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GET005</w:t>
            </w:r>
          </w:p>
        </w:tc>
        <w:tc>
          <w:tcPr>
            <w:tcW w:w="2539" w:type="dxa"/>
            <w:tcBorders>
              <w:top w:val="nil"/>
              <w:left w:val="nil"/>
              <w:bottom w:val="single" w:sz="4" w:space="0" w:color="auto"/>
              <w:right w:val="single" w:sz="4" w:space="0" w:color="auto"/>
            </w:tcBorders>
            <w:shd w:val="clear" w:color="auto" w:fill="auto"/>
            <w:vAlign w:val="center"/>
            <w:hideMark/>
          </w:tcPr>
          <w:p w14:paraId="7F3D0F0E"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Growth Environment and Transport</w:t>
            </w:r>
          </w:p>
        </w:tc>
        <w:tc>
          <w:tcPr>
            <w:tcW w:w="1857" w:type="dxa"/>
            <w:tcBorders>
              <w:top w:val="nil"/>
              <w:left w:val="nil"/>
              <w:bottom w:val="single" w:sz="4" w:space="0" w:color="auto"/>
              <w:right w:val="single" w:sz="4" w:space="0" w:color="auto"/>
            </w:tcBorders>
            <w:shd w:val="clear" w:color="auto" w:fill="auto"/>
            <w:vAlign w:val="center"/>
            <w:hideMark/>
          </w:tcPr>
          <w:p w14:paraId="6477877E"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Highways</w:t>
            </w:r>
          </w:p>
        </w:tc>
        <w:tc>
          <w:tcPr>
            <w:tcW w:w="4129" w:type="dxa"/>
            <w:tcBorders>
              <w:top w:val="nil"/>
              <w:left w:val="nil"/>
              <w:bottom w:val="single" w:sz="4" w:space="0" w:color="auto"/>
              <w:right w:val="single" w:sz="4" w:space="0" w:color="auto"/>
            </w:tcBorders>
            <w:shd w:val="clear" w:color="auto" w:fill="auto"/>
            <w:vAlign w:val="center"/>
            <w:hideMark/>
          </w:tcPr>
          <w:p w14:paraId="5895CCE8"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Walking and Cycling Routes - Budget Reduction</w:t>
            </w:r>
          </w:p>
        </w:tc>
        <w:tc>
          <w:tcPr>
            <w:tcW w:w="1567" w:type="dxa"/>
            <w:tcBorders>
              <w:top w:val="nil"/>
              <w:left w:val="nil"/>
              <w:bottom w:val="single" w:sz="4" w:space="0" w:color="auto"/>
              <w:right w:val="single" w:sz="4" w:space="0" w:color="auto"/>
            </w:tcBorders>
            <w:shd w:val="clear" w:color="auto" w:fill="auto"/>
            <w:hideMark/>
          </w:tcPr>
          <w:p w14:paraId="05E2BBD9"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-150,000</w:t>
            </w:r>
          </w:p>
        </w:tc>
        <w:tc>
          <w:tcPr>
            <w:tcW w:w="1418" w:type="dxa"/>
            <w:tcBorders>
              <w:top w:val="nil"/>
              <w:left w:val="nil"/>
              <w:bottom w:val="single" w:sz="4" w:space="0" w:color="auto"/>
              <w:right w:val="single" w:sz="4" w:space="0" w:color="auto"/>
            </w:tcBorders>
            <w:shd w:val="clear" w:color="auto" w:fill="auto"/>
            <w:hideMark/>
          </w:tcPr>
          <w:p w14:paraId="664D25F5"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-150,000</w:t>
            </w:r>
          </w:p>
        </w:tc>
        <w:tc>
          <w:tcPr>
            <w:tcW w:w="1641" w:type="dxa"/>
            <w:tcBorders>
              <w:top w:val="nil"/>
              <w:left w:val="nil"/>
              <w:bottom w:val="single" w:sz="4" w:space="0" w:color="auto"/>
              <w:right w:val="single" w:sz="8" w:space="0" w:color="auto"/>
            </w:tcBorders>
            <w:shd w:val="clear" w:color="auto" w:fill="auto"/>
            <w:hideMark/>
          </w:tcPr>
          <w:p w14:paraId="38B615B3"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-150,000</w:t>
            </w:r>
          </w:p>
        </w:tc>
      </w:tr>
      <w:tr w:rsidR="00C92CD8" w14:paraId="654A7F09" w14:textId="77777777" w:rsidTr="00C52870">
        <w:trPr>
          <w:trHeight w:val="52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7B24147D"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GET007</w:t>
            </w:r>
          </w:p>
        </w:tc>
        <w:tc>
          <w:tcPr>
            <w:tcW w:w="2539" w:type="dxa"/>
            <w:tcBorders>
              <w:top w:val="nil"/>
              <w:left w:val="nil"/>
              <w:bottom w:val="single" w:sz="4" w:space="0" w:color="auto"/>
              <w:right w:val="single" w:sz="4" w:space="0" w:color="auto"/>
            </w:tcBorders>
            <w:shd w:val="clear" w:color="auto" w:fill="auto"/>
            <w:vAlign w:val="center"/>
            <w:hideMark/>
          </w:tcPr>
          <w:p w14:paraId="32330A8E"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Growth Environment and Transport</w:t>
            </w:r>
          </w:p>
        </w:tc>
        <w:tc>
          <w:tcPr>
            <w:tcW w:w="1857" w:type="dxa"/>
            <w:tcBorders>
              <w:top w:val="nil"/>
              <w:left w:val="nil"/>
              <w:bottom w:val="single" w:sz="4" w:space="0" w:color="auto"/>
              <w:right w:val="single" w:sz="4" w:space="0" w:color="auto"/>
            </w:tcBorders>
            <w:shd w:val="clear" w:color="auto" w:fill="auto"/>
            <w:vAlign w:val="center"/>
            <w:hideMark/>
          </w:tcPr>
          <w:p w14:paraId="6B28A8E6"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Highways</w:t>
            </w:r>
          </w:p>
        </w:tc>
        <w:tc>
          <w:tcPr>
            <w:tcW w:w="4129" w:type="dxa"/>
            <w:tcBorders>
              <w:top w:val="nil"/>
              <w:left w:val="nil"/>
              <w:bottom w:val="single" w:sz="4" w:space="0" w:color="auto"/>
              <w:right w:val="single" w:sz="4" w:space="0" w:color="auto"/>
            </w:tcBorders>
            <w:shd w:val="clear" w:color="auto" w:fill="auto"/>
            <w:vAlign w:val="center"/>
            <w:hideMark/>
          </w:tcPr>
          <w:p w14:paraId="11E46C0E"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Pay &amp; Display Income</w:t>
            </w:r>
          </w:p>
        </w:tc>
        <w:tc>
          <w:tcPr>
            <w:tcW w:w="1567" w:type="dxa"/>
            <w:tcBorders>
              <w:top w:val="nil"/>
              <w:left w:val="nil"/>
              <w:bottom w:val="single" w:sz="4" w:space="0" w:color="auto"/>
              <w:right w:val="single" w:sz="4" w:space="0" w:color="auto"/>
            </w:tcBorders>
            <w:shd w:val="clear" w:color="auto" w:fill="auto"/>
            <w:hideMark/>
          </w:tcPr>
          <w:p w14:paraId="0312092A" w14:textId="636E269B" w:rsidR="008178AA" w:rsidRPr="00C52870" w:rsidRDefault="004A7A82" w:rsidP="00A614A0">
            <w:pPr>
              <w:jc w:val="right"/>
              <w:rPr>
                <w:rFonts w:asciiTheme="minorHAnsi" w:eastAsia="Times New Roman" w:hAnsiTheme="minorHAnsi" w:cstheme="minorHAnsi"/>
              </w:rPr>
            </w:pPr>
            <w:r>
              <w:rPr>
                <w:rFonts w:asciiTheme="minorHAnsi" w:eastAsia="Times New Roman" w:hAnsiTheme="minorHAnsi" w:cstheme="minorHAnsi"/>
              </w:rPr>
              <w:t>975,000</w:t>
            </w:r>
          </w:p>
        </w:tc>
        <w:tc>
          <w:tcPr>
            <w:tcW w:w="1418" w:type="dxa"/>
            <w:tcBorders>
              <w:top w:val="nil"/>
              <w:left w:val="nil"/>
              <w:bottom w:val="single" w:sz="4" w:space="0" w:color="auto"/>
              <w:right w:val="single" w:sz="4" w:space="0" w:color="auto"/>
            </w:tcBorders>
            <w:shd w:val="clear" w:color="auto" w:fill="auto"/>
            <w:hideMark/>
          </w:tcPr>
          <w:p w14:paraId="65F64CF3" w14:textId="737601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w:t>
            </w:r>
            <w:r w:rsidR="00705626">
              <w:rPr>
                <w:rFonts w:asciiTheme="minorHAnsi" w:eastAsia="Times New Roman" w:hAnsiTheme="minorHAnsi" w:cstheme="minorHAnsi"/>
                <w:color w:val="FF0000"/>
              </w:rPr>
              <w:t>397</w:t>
            </w:r>
            <w:r w:rsidRPr="00C52870">
              <w:rPr>
                <w:rFonts w:asciiTheme="minorHAnsi" w:eastAsia="Times New Roman" w:hAnsiTheme="minorHAnsi" w:cstheme="minorHAnsi"/>
                <w:color w:val="FF0000"/>
              </w:rPr>
              <w:t>,000</w:t>
            </w:r>
          </w:p>
        </w:tc>
        <w:tc>
          <w:tcPr>
            <w:tcW w:w="1641" w:type="dxa"/>
            <w:tcBorders>
              <w:top w:val="nil"/>
              <w:left w:val="nil"/>
              <w:bottom w:val="single" w:sz="4" w:space="0" w:color="auto"/>
              <w:right w:val="single" w:sz="8" w:space="0" w:color="auto"/>
            </w:tcBorders>
            <w:shd w:val="clear" w:color="auto" w:fill="auto"/>
            <w:hideMark/>
          </w:tcPr>
          <w:p w14:paraId="34F2E511" w14:textId="7AD0A6CC"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w:t>
            </w:r>
            <w:r w:rsidR="00705626">
              <w:rPr>
                <w:rFonts w:asciiTheme="minorHAnsi" w:eastAsia="Times New Roman" w:hAnsiTheme="minorHAnsi" w:cstheme="minorHAnsi"/>
                <w:color w:val="FF0000"/>
              </w:rPr>
              <w:t>397</w:t>
            </w:r>
            <w:r w:rsidRPr="00C52870">
              <w:rPr>
                <w:rFonts w:asciiTheme="minorHAnsi" w:eastAsia="Times New Roman" w:hAnsiTheme="minorHAnsi" w:cstheme="minorHAnsi"/>
                <w:color w:val="FF0000"/>
              </w:rPr>
              <w:t>,000</w:t>
            </w:r>
          </w:p>
        </w:tc>
      </w:tr>
      <w:tr w:rsidR="00C92CD8" w14:paraId="620A2D27" w14:textId="77777777" w:rsidTr="00C52870">
        <w:trPr>
          <w:trHeight w:val="55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75F86F82"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GET008</w:t>
            </w:r>
          </w:p>
        </w:tc>
        <w:tc>
          <w:tcPr>
            <w:tcW w:w="2539" w:type="dxa"/>
            <w:tcBorders>
              <w:top w:val="nil"/>
              <w:left w:val="nil"/>
              <w:bottom w:val="single" w:sz="4" w:space="0" w:color="auto"/>
              <w:right w:val="single" w:sz="4" w:space="0" w:color="auto"/>
            </w:tcBorders>
            <w:shd w:val="clear" w:color="auto" w:fill="auto"/>
            <w:vAlign w:val="center"/>
            <w:hideMark/>
          </w:tcPr>
          <w:p w14:paraId="56DAB600"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Growth Environment and Transport</w:t>
            </w:r>
          </w:p>
        </w:tc>
        <w:tc>
          <w:tcPr>
            <w:tcW w:w="1857" w:type="dxa"/>
            <w:tcBorders>
              <w:top w:val="nil"/>
              <w:left w:val="nil"/>
              <w:bottom w:val="single" w:sz="4" w:space="0" w:color="auto"/>
              <w:right w:val="single" w:sz="4" w:space="0" w:color="auto"/>
            </w:tcBorders>
            <w:shd w:val="clear" w:color="auto" w:fill="auto"/>
            <w:vAlign w:val="center"/>
            <w:hideMark/>
          </w:tcPr>
          <w:p w14:paraId="1F850DDF"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Transport</w:t>
            </w:r>
          </w:p>
        </w:tc>
        <w:tc>
          <w:tcPr>
            <w:tcW w:w="4129" w:type="dxa"/>
            <w:tcBorders>
              <w:top w:val="nil"/>
              <w:left w:val="nil"/>
              <w:bottom w:val="single" w:sz="4" w:space="0" w:color="auto"/>
              <w:right w:val="single" w:sz="4" w:space="0" w:color="auto"/>
            </w:tcBorders>
            <w:shd w:val="clear" w:color="auto" w:fill="auto"/>
            <w:vAlign w:val="center"/>
            <w:hideMark/>
          </w:tcPr>
          <w:p w14:paraId="4E71DEC1"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Young Persons Travel - Budget Removal</w:t>
            </w:r>
          </w:p>
        </w:tc>
        <w:tc>
          <w:tcPr>
            <w:tcW w:w="1567" w:type="dxa"/>
            <w:tcBorders>
              <w:top w:val="nil"/>
              <w:left w:val="nil"/>
              <w:bottom w:val="single" w:sz="4" w:space="0" w:color="auto"/>
              <w:right w:val="single" w:sz="4" w:space="0" w:color="auto"/>
            </w:tcBorders>
            <w:shd w:val="clear" w:color="auto" w:fill="auto"/>
            <w:hideMark/>
          </w:tcPr>
          <w:p w14:paraId="017B7B8B"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-155,000</w:t>
            </w:r>
          </w:p>
        </w:tc>
        <w:tc>
          <w:tcPr>
            <w:tcW w:w="1418" w:type="dxa"/>
            <w:tcBorders>
              <w:top w:val="nil"/>
              <w:left w:val="nil"/>
              <w:bottom w:val="single" w:sz="4" w:space="0" w:color="auto"/>
              <w:right w:val="single" w:sz="4" w:space="0" w:color="auto"/>
            </w:tcBorders>
            <w:shd w:val="clear" w:color="auto" w:fill="auto"/>
            <w:hideMark/>
          </w:tcPr>
          <w:p w14:paraId="793F2669"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-155,000</w:t>
            </w:r>
          </w:p>
        </w:tc>
        <w:tc>
          <w:tcPr>
            <w:tcW w:w="1641" w:type="dxa"/>
            <w:tcBorders>
              <w:top w:val="nil"/>
              <w:left w:val="nil"/>
              <w:bottom w:val="single" w:sz="4" w:space="0" w:color="auto"/>
              <w:right w:val="single" w:sz="8" w:space="0" w:color="auto"/>
            </w:tcBorders>
            <w:shd w:val="clear" w:color="auto" w:fill="auto"/>
            <w:hideMark/>
          </w:tcPr>
          <w:p w14:paraId="06B17CB7"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-155,000</w:t>
            </w:r>
          </w:p>
        </w:tc>
      </w:tr>
      <w:tr w:rsidR="00C92CD8" w14:paraId="24827E46" w14:textId="77777777" w:rsidTr="00C52870">
        <w:trPr>
          <w:trHeight w:val="55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3B73259B"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GET009</w:t>
            </w:r>
          </w:p>
        </w:tc>
        <w:tc>
          <w:tcPr>
            <w:tcW w:w="2539" w:type="dxa"/>
            <w:tcBorders>
              <w:top w:val="nil"/>
              <w:left w:val="nil"/>
              <w:bottom w:val="single" w:sz="4" w:space="0" w:color="auto"/>
              <w:right w:val="single" w:sz="4" w:space="0" w:color="auto"/>
            </w:tcBorders>
            <w:shd w:val="clear" w:color="auto" w:fill="auto"/>
            <w:vAlign w:val="center"/>
            <w:hideMark/>
          </w:tcPr>
          <w:p w14:paraId="4B768F7D"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Growth Environment and Transport</w:t>
            </w:r>
          </w:p>
        </w:tc>
        <w:tc>
          <w:tcPr>
            <w:tcW w:w="1857" w:type="dxa"/>
            <w:tcBorders>
              <w:top w:val="nil"/>
              <w:left w:val="nil"/>
              <w:bottom w:val="single" w:sz="4" w:space="0" w:color="auto"/>
              <w:right w:val="single" w:sz="4" w:space="0" w:color="auto"/>
            </w:tcBorders>
            <w:shd w:val="clear" w:color="auto" w:fill="auto"/>
            <w:vAlign w:val="center"/>
            <w:hideMark/>
          </w:tcPr>
          <w:p w14:paraId="1E6B82A2"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Transport</w:t>
            </w:r>
          </w:p>
        </w:tc>
        <w:tc>
          <w:tcPr>
            <w:tcW w:w="4129" w:type="dxa"/>
            <w:tcBorders>
              <w:top w:val="nil"/>
              <w:left w:val="nil"/>
              <w:bottom w:val="single" w:sz="4" w:space="0" w:color="auto"/>
              <w:right w:val="single" w:sz="4" w:space="0" w:color="auto"/>
            </w:tcBorders>
            <w:shd w:val="clear" w:color="auto" w:fill="auto"/>
            <w:vAlign w:val="center"/>
            <w:hideMark/>
          </w:tcPr>
          <w:p w14:paraId="1D7F3AA0"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Discretionary Concessionary Travel - Budget Removal</w:t>
            </w:r>
          </w:p>
        </w:tc>
        <w:tc>
          <w:tcPr>
            <w:tcW w:w="1567" w:type="dxa"/>
            <w:tcBorders>
              <w:top w:val="nil"/>
              <w:left w:val="nil"/>
              <w:bottom w:val="single" w:sz="4" w:space="0" w:color="auto"/>
              <w:right w:val="single" w:sz="4" w:space="0" w:color="auto"/>
            </w:tcBorders>
            <w:shd w:val="clear" w:color="auto" w:fill="auto"/>
            <w:hideMark/>
          </w:tcPr>
          <w:p w14:paraId="34F8C153"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rPr>
              <w:t> </w:t>
            </w:r>
          </w:p>
        </w:tc>
        <w:tc>
          <w:tcPr>
            <w:tcW w:w="1418" w:type="dxa"/>
            <w:tcBorders>
              <w:top w:val="nil"/>
              <w:left w:val="nil"/>
              <w:bottom w:val="single" w:sz="4" w:space="0" w:color="auto"/>
              <w:right w:val="single" w:sz="4" w:space="0" w:color="auto"/>
            </w:tcBorders>
            <w:shd w:val="clear" w:color="auto" w:fill="auto"/>
            <w:hideMark/>
          </w:tcPr>
          <w:p w14:paraId="461D65A5"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-239,000</w:t>
            </w:r>
          </w:p>
        </w:tc>
        <w:tc>
          <w:tcPr>
            <w:tcW w:w="1641" w:type="dxa"/>
            <w:tcBorders>
              <w:top w:val="nil"/>
              <w:left w:val="nil"/>
              <w:bottom w:val="single" w:sz="4" w:space="0" w:color="auto"/>
              <w:right w:val="single" w:sz="8" w:space="0" w:color="auto"/>
            </w:tcBorders>
            <w:shd w:val="clear" w:color="auto" w:fill="auto"/>
            <w:hideMark/>
          </w:tcPr>
          <w:p w14:paraId="70D13245"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-239,000</w:t>
            </w:r>
          </w:p>
        </w:tc>
      </w:tr>
      <w:tr w:rsidR="00C92CD8" w14:paraId="49B90DE7" w14:textId="77777777" w:rsidTr="00C52870">
        <w:trPr>
          <w:trHeight w:val="428"/>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3D330AFD"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GET011</w:t>
            </w:r>
          </w:p>
        </w:tc>
        <w:tc>
          <w:tcPr>
            <w:tcW w:w="2539" w:type="dxa"/>
            <w:tcBorders>
              <w:top w:val="nil"/>
              <w:left w:val="nil"/>
              <w:bottom w:val="single" w:sz="4" w:space="0" w:color="auto"/>
              <w:right w:val="single" w:sz="4" w:space="0" w:color="auto"/>
            </w:tcBorders>
            <w:shd w:val="clear" w:color="auto" w:fill="auto"/>
            <w:vAlign w:val="center"/>
            <w:hideMark/>
          </w:tcPr>
          <w:p w14:paraId="6A39514B"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Growth Environment and Transport</w:t>
            </w:r>
          </w:p>
        </w:tc>
        <w:tc>
          <w:tcPr>
            <w:tcW w:w="1857" w:type="dxa"/>
            <w:tcBorders>
              <w:top w:val="nil"/>
              <w:left w:val="nil"/>
              <w:bottom w:val="single" w:sz="4" w:space="0" w:color="auto"/>
              <w:right w:val="single" w:sz="4" w:space="0" w:color="auto"/>
            </w:tcBorders>
            <w:shd w:val="clear" w:color="auto" w:fill="auto"/>
            <w:vAlign w:val="center"/>
            <w:hideMark/>
          </w:tcPr>
          <w:p w14:paraId="33F08BBB"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Waste</w:t>
            </w:r>
          </w:p>
        </w:tc>
        <w:tc>
          <w:tcPr>
            <w:tcW w:w="4129" w:type="dxa"/>
            <w:tcBorders>
              <w:top w:val="nil"/>
              <w:left w:val="nil"/>
              <w:bottom w:val="single" w:sz="4" w:space="0" w:color="auto"/>
              <w:right w:val="single" w:sz="4" w:space="0" w:color="auto"/>
            </w:tcBorders>
            <w:shd w:val="clear" w:color="auto" w:fill="auto"/>
            <w:vAlign w:val="center"/>
            <w:hideMark/>
          </w:tcPr>
          <w:p w14:paraId="2E2D4479"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Anaerobic Digestion - Processing of Food Waste</w:t>
            </w:r>
          </w:p>
        </w:tc>
        <w:tc>
          <w:tcPr>
            <w:tcW w:w="1567" w:type="dxa"/>
            <w:tcBorders>
              <w:top w:val="nil"/>
              <w:left w:val="nil"/>
              <w:bottom w:val="single" w:sz="4" w:space="0" w:color="auto"/>
              <w:right w:val="single" w:sz="4" w:space="0" w:color="auto"/>
            </w:tcBorders>
            <w:shd w:val="clear" w:color="auto" w:fill="auto"/>
            <w:hideMark/>
          </w:tcPr>
          <w:p w14:paraId="19A8B0FF"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rPr>
              <w:t> </w:t>
            </w:r>
          </w:p>
        </w:tc>
        <w:tc>
          <w:tcPr>
            <w:tcW w:w="1418" w:type="dxa"/>
            <w:tcBorders>
              <w:top w:val="nil"/>
              <w:left w:val="nil"/>
              <w:bottom w:val="single" w:sz="4" w:space="0" w:color="auto"/>
              <w:right w:val="single" w:sz="4" w:space="0" w:color="auto"/>
            </w:tcBorders>
            <w:shd w:val="clear" w:color="auto" w:fill="auto"/>
            <w:hideMark/>
          </w:tcPr>
          <w:p w14:paraId="779AF4B5" w14:textId="53B966E3"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rPr>
              <w:t>2,</w:t>
            </w:r>
            <w:r w:rsidR="00D577F2">
              <w:rPr>
                <w:rFonts w:asciiTheme="minorHAnsi" w:eastAsia="Times New Roman" w:hAnsiTheme="minorHAnsi" w:cstheme="minorHAnsi"/>
              </w:rPr>
              <w:t>2</w:t>
            </w:r>
            <w:r w:rsidRPr="00C52870">
              <w:rPr>
                <w:rFonts w:asciiTheme="minorHAnsi" w:eastAsia="Times New Roman" w:hAnsiTheme="minorHAnsi" w:cstheme="minorHAnsi"/>
              </w:rPr>
              <w:t>00,000</w:t>
            </w:r>
          </w:p>
        </w:tc>
        <w:tc>
          <w:tcPr>
            <w:tcW w:w="1641" w:type="dxa"/>
            <w:tcBorders>
              <w:top w:val="nil"/>
              <w:left w:val="nil"/>
              <w:bottom w:val="single" w:sz="4" w:space="0" w:color="auto"/>
              <w:right w:val="single" w:sz="8" w:space="0" w:color="auto"/>
            </w:tcBorders>
            <w:shd w:val="clear" w:color="auto" w:fill="auto"/>
            <w:hideMark/>
          </w:tcPr>
          <w:p w14:paraId="0EAACE4D" w14:textId="2FB520EE"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w:t>
            </w:r>
            <w:r w:rsidR="009702EC">
              <w:rPr>
                <w:rFonts w:asciiTheme="minorHAnsi" w:eastAsia="Times New Roman" w:hAnsiTheme="minorHAnsi" w:cstheme="minorHAnsi"/>
                <w:color w:val="FF0000"/>
              </w:rPr>
              <w:t>5</w:t>
            </w:r>
            <w:r w:rsidRPr="00C52870">
              <w:rPr>
                <w:rFonts w:asciiTheme="minorHAnsi" w:eastAsia="Times New Roman" w:hAnsiTheme="minorHAnsi" w:cstheme="minorHAnsi"/>
                <w:color w:val="FF0000"/>
              </w:rPr>
              <w:t>,</w:t>
            </w:r>
            <w:r w:rsidR="009702EC">
              <w:rPr>
                <w:rFonts w:asciiTheme="minorHAnsi" w:eastAsia="Times New Roman" w:hAnsiTheme="minorHAnsi" w:cstheme="minorHAnsi"/>
                <w:color w:val="FF0000"/>
              </w:rPr>
              <w:t>544</w:t>
            </w:r>
            <w:r w:rsidRPr="00C52870">
              <w:rPr>
                <w:rFonts w:asciiTheme="minorHAnsi" w:eastAsia="Times New Roman" w:hAnsiTheme="minorHAnsi" w:cstheme="minorHAnsi"/>
                <w:color w:val="FF0000"/>
              </w:rPr>
              <w:t>,000</w:t>
            </w:r>
          </w:p>
        </w:tc>
      </w:tr>
      <w:tr w:rsidR="00C92CD8" w14:paraId="18F99AB6" w14:textId="77777777" w:rsidTr="00C52870">
        <w:trPr>
          <w:trHeight w:val="52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5B573E05"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GET015</w:t>
            </w:r>
          </w:p>
        </w:tc>
        <w:tc>
          <w:tcPr>
            <w:tcW w:w="2539" w:type="dxa"/>
            <w:tcBorders>
              <w:top w:val="nil"/>
              <w:left w:val="nil"/>
              <w:bottom w:val="single" w:sz="4" w:space="0" w:color="auto"/>
              <w:right w:val="single" w:sz="4" w:space="0" w:color="auto"/>
            </w:tcBorders>
            <w:shd w:val="clear" w:color="auto" w:fill="auto"/>
            <w:vAlign w:val="center"/>
            <w:hideMark/>
          </w:tcPr>
          <w:p w14:paraId="3CF31D42"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Growth Environment and Transport</w:t>
            </w:r>
          </w:p>
        </w:tc>
        <w:tc>
          <w:tcPr>
            <w:tcW w:w="1857" w:type="dxa"/>
            <w:tcBorders>
              <w:top w:val="nil"/>
              <w:left w:val="nil"/>
              <w:bottom w:val="single" w:sz="4" w:space="0" w:color="auto"/>
              <w:right w:val="single" w:sz="4" w:space="0" w:color="auto"/>
            </w:tcBorders>
            <w:shd w:val="clear" w:color="auto" w:fill="auto"/>
            <w:vAlign w:val="center"/>
            <w:hideMark/>
          </w:tcPr>
          <w:p w14:paraId="55B645D7"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Planning &amp; Environment</w:t>
            </w:r>
          </w:p>
        </w:tc>
        <w:tc>
          <w:tcPr>
            <w:tcW w:w="4129" w:type="dxa"/>
            <w:tcBorders>
              <w:top w:val="nil"/>
              <w:left w:val="nil"/>
              <w:bottom w:val="single" w:sz="4" w:space="0" w:color="auto"/>
              <w:right w:val="single" w:sz="4" w:space="0" w:color="auto"/>
            </w:tcBorders>
            <w:shd w:val="clear" w:color="auto" w:fill="auto"/>
            <w:vAlign w:val="center"/>
            <w:hideMark/>
          </w:tcPr>
          <w:p w14:paraId="4CA23347"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Service Review of Transport Group plus Additional Planning Application Fee Income</w:t>
            </w:r>
          </w:p>
        </w:tc>
        <w:tc>
          <w:tcPr>
            <w:tcW w:w="1567" w:type="dxa"/>
            <w:tcBorders>
              <w:top w:val="nil"/>
              <w:left w:val="nil"/>
              <w:bottom w:val="single" w:sz="4" w:space="0" w:color="auto"/>
              <w:right w:val="single" w:sz="4" w:space="0" w:color="auto"/>
            </w:tcBorders>
            <w:shd w:val="clear" w:color="auto" w:fill="auto"/>
            <w:vAlign w:val="center"/>
            <w:hideMark/>
          </w:tcPr>
          <w:p w14:paraId="05961366"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-176,000</w:t>
            </w:r>
          </w:p>
        </w:tc>
        <w:tc>
          <w:tcPr>
            <w:tcW w:w="1418" w:type="dxa"/>
            <w:tcBorders>
              <w:top w:val="nil"/>
              <w:left w:val="nil"/>
              <w:bottom w:val="single" w:sz="4" w:space="0" w:color="auto"/>
              <w:right w:val="single" w:sz="4" w:space="0" w:color="auto"/>
            </w:tcBorders>
            <w:shd w:val="clear" w:color="auto" w:fill="auto"/>
            <w:vAlign w:val="center"/>
            <w:hideMark/>
          </w:tcPr>
          <w:p w14:paraId="6972D30B"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-176,000</w:t>
            </w:r>
          </w:p>
        </w:tc>
        <w:tc>
          <w:tcPr>
            <w:tcW w:w="1641" w:type="dxa"/>
            <w:tcBorders>
              <w:top w:val="nil"/>
              <w:left w:val="nil"/>
              <w:bottom w:val="single" w:sz="4" w:space="0" w:color="auto"/>
              <w:right w:val="single" w:sz="8" w:space="0" w:color="auto"/>
            </w:tcBorders>
            <w:shd w:val="clear" w:color="auto" w:fill="auto"/>
            <w:vAlign w:val="center"/>
            <w:hideMark/>
          </w:tcPr>
          <w:p w14:paraId="75174687"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-176,000</w:t>
            </w:r>
          </w:p>
        </w:tc>
      </w:tr>
      <w:tr w:rsidR="00C92CD8" w14:paraId="166BE531" w14:textId="77777777" w:rsidTr="00C52870">
        <w:trPr>
          <w:trHeight w:val="52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3AB100B9"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GET019</w:t>
            </w:r>
          </w:p>
        </w:tc>
        <w:tc>
          <w:tcPr>
            <w:tcW w:w="2539" w:type="dxa"/>
            <w:tcBorders>
              <w:top w:val="nil"/>
              <w:left w:val="nil"/>
              <w:bottom w:val="single" w:sz="4" w:space="0" w:color="auto"/>
              <w:right w:val="single" w:sz="4" w:space="0" w:color="auto"/>
            </w:tcBorders>
            <w:shd w:val="clear" w:color="auto" w:fill="auto"/>
            <w:vAlign w:val="center"/>
            <w:hideMark/>
          </w:tcPr>
          <w:p w14:paraId="3375936C"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Growth Environment and Transport</w:t>
            </w:r>
          </w:p>
        </w:tc>
        <w:tc>
          <w:tcPr>
            <w:tcW w:w="1857" w:type="dxa"/>
            <w:tcBorders>
              <w:top w:val="nil"/>
              <w:left w:val="nil"/>
              <w:bottom w:val="single" w:sz="4" w:space="0" w:color="auto"/>
              <w:right w:val="single" w:sz="4" w:space="0" w:color="auto"/>
            </w:tcBorders>
            <w:shd w:val="clear" w:color="auto" w:fill="auto"/>
            <w:vAlign w:val="center"/>
            <w:hideMark/>
          </w:tcPr>
          <w:p w14:paraId="40A56463"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Transport</w:t>
            </w:r>
          </w:p>
        </w:tc>
        <w:tc>
          <w:tcPr>
            <w:tcW w:w="4129" w:type="dxa"/>
            <w:tcBorders>
              <w:top w:val="nil"/>
              <w:left w:val="nil"/>
              <w:bottom w:val="single" w:sz="4" w:space="0" w:color="auto"/>
              <w:right w:val="single" w:sz="4" w:space="0" w:color="auto"/>
            </w:tcBorders>
            <w:shd w:val="clear" w:color="auto" w:fill="auto"/>
            <w:vAlign w:val="center"/>
            <w:hideMark/>
          </w:tcPr>
          <w:p w14:paraId="2408EEC0"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Introduce Pay &amp; Display Charges at Lancaster Park &amp; Ride</w:t>
            </w:r>
          </w:p>
        </w:tc>
        <w:tc>
          <w:tcPr>
            <w:tcW w:w="1567" w:type="dxa"/>
            <w:tcBorders>
              <w:top w:val="nil"/>
              <w:left w:val="nil"/>
              <w:bottom w:val="single" w:sz="4" w:space="0" w:color="auto"/>
              <w:right w:val="single" w:sz="4" w:space="0" w:color="auto"/>
            </w:tcBorders>
            <w:shd w:val="clear" w:color="auto" w:fill="auto"/>
            <w:vAlign w:val="center"/>
            <w:hideMark/>
          </w:tcPr>
          <w:p w14:paraId="05BC0BDA"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rPr>
              <w:t>50,000</w:t>
            </w:r>
          </w:p>
        </w:tc>
        <w:tc>
          <w:tcPr>
            <w:tcW w:w="1418" w:type="dxa"/>
            <w:tcBorders>
              <w:top w:val="nil"/>
              <w:left w:val="nil"/>
              <w:bottom w:val="single" w:sz="4" w:space="0" w:color="auto"/>
              <w:right w:val="single" w:sz="4" w:space="0" w:color="auto"/>
            </w:tcBorders>
            <w:shd w:val="clear" w:color="auto" w:fill="auto"/>
            <w:vAlign w:val="center"/>
            <w:hideMark/>
          </w:tcPr>
          <w:p w14:paraId="1A1F6458"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-10,000</w:t>
            </w:r>
          </w:p>
        </w:tc>
        <w:tc>
          <w:tcPr>
            <w:tcW w:w="1641" w:type="dxa"/>
            <w:tcBorders>
              <w:top w:val="nil"/>
              <w:left w:val="nil"/>
              <w:bottom w:val="single" w:sz="4" w:space="0" w:color="auto"/>
              <w:right w:val="single" w:sz="8" w:space="0" w:color="auto"/>
            </w:tcBorders>
            <w:shd w:val="clear" w:color="auto" w:fill="auto"/>
            <w:vAlign w:val="center"/>
            <w:hideMark/>
          </w:tcPr>
          <w:p w14:paraId="415935A5"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-10,000</w:t>
            </w:r>
          </w:p>
        </w:tc>
      </w:tr>
      <w:tr w:rsidR="00C92CD8" w14:paraId="0C64EBEF" w14:textId="77777777" w:rsidTr="00C52870">
        <w:trPr>
          <w:trHeight w:val="52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44445201"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RES001</w:t>
            </w:r>
          </w:p>
        </w:tc>
        <w:tc>
          <w:tcPr>
            <w:tcW w:w="2539" w:type="dxa"/>
            <w:tcBorders>
              <w:top w:val="nil"/>
              <w:left w:val="nil"/>
              <w:bottom w:val="single" w:sz="4" w:space="0" w:color="auto"/>
              <w:right w:val="single" w:sz="4" w:space="0" w:color="auto"/>
            </w:tcBorders>
            <w:shd w:val="clear" w:color="auto" w:fill="auto"/>
            <w:vAlign w:val="center"/>
            <w:hideMark/>
          </w:tcPr>
          <w:p w14:paraId="0C0ADBF7"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Resources</w:t>
            </w:r>
          </w:p>
        </w:tc>
        <w:tc>
          <w:tcPr>
            <w:tcW w:w="1857" w:type="dxa"/>
            <w:tcBorders>
              <w:top w:val="nil"/>
              <w:left w:val="nil"/>
              <w:bottom w:val="single" w:sz="4" w:space="0" w:color="auto"/>
              <w:right w:val="single" w:sz="4" w:space="0" w:color="auto"/>
            </w:tcBorders>
            <w:shd w:val="clear" w:color="auto" w:fill="auto"/>
            <w:vAlign w:val="center"/>
            <w:hideMark/>
          </w:tcPr>
          <w:p w14:paraId="17A53FEA"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Strategy and Performance</w:t>
            </w:r>
          </w:p>
        </w:tc>
        <w:tc>
          <w:tcPr>
            <w:tcW w:w="4129" w:type="dxa"/>
            <w:tcBorders>
              <w:top w:val="nil"/>
              <w:left w:val="nil"/>
              <w:bottom w:val="single" w:sz="4" w:space="0" w:color="auto"/>
              <w:right w:val="single" w:sz="4" w:space="0" w:color="auto"/>
            </w:tcBorders>
            <w:shd w:val="clear" w:color="auto" w:fill="auto"/>
            <w:vAlign w:val="center"/>
            <w:hideMark/>
          </w:tcPr>
          <w:p w14:paraId="3991BBCA"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Save 10% on property running costs</w:t>
            </w:r>
          </w:p>
        </w:tc>
        <w:tc>
          <w:tcPr>
            <w:tcW w:w="1567" w:type="dxa"/>
            <w:tcBorders>
              <w:top w:val="nil"/>
              <w:left w:val="nil"/>
              <w:bottom w:val="single" w:sz="4" w:space="0" w:color="auto"/>
              <w:right w:val="single" w:sz="4" w:space="0" w:color="auto"/>
            </w:tcBorders>
            <w:shd w:val="clear" w:color="auto" w:fill="auto"/>
            <w:vAlign w:val="center"/>
            <w:hideMark/>
          </w:tcPr>
          <w:p w14:paraId="26DE0EAC"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-250,000</w:t>
            </w:r>
          </w:p>
        </w:tc>
        <w:tc>
          <w:tcPr>
            <w:tcW w:w="1418" w:type="dxa"/>
            <w:tcBorders>
              <w:top w:val="nil"/>
              <w:left w:val="nil"/>
              <w:bottom w:val="single" w:sz="4" w:space="0" w:color="auto"/>
              <w:right w:val="single" w:sz="4" w:space="0" w:color="auto"/>
            </w:tcBorders>
            <w:shd w:val="clear" w:color="auto" w:fill="auto"/>
            <w:vAlign w:val="center"/>
            <w:hideMark/>
          </w:tcPr>
          <w:p w14:paraId="2FE5B19B"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-550,000</w:t>
            </w:r>
          </w:p>
        </w:tc>
        <w:tc>
          <w:tcPr>
            <w:tcW w:w="1641" w:type="dxa"/>
            <w:tcBorders>
              <w:top w:val="nil"/>
              <w:left w:val="nil"/>
              <w:bottom w:val="single" w:sz="4" w:space="0" w:color="auto"/>
              <w:right w:val="single" w:sz="8" w:space="0" w:color="auto"/>
            </w:tcBorders>
            <w:shd w:val="clear" w:color="auto" w:fill="auto"/>
            <w:vAlign w:val="center"/>
            <w:hideMark/>
          </w:tcPr>
          <w:p w14:paraId="19DB47F9"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-1,590,000</w:t>
            </w:r>
          </w:p>
        </w:tc>
      </w:tr>
      <w:tr w:rsidR="00C92CD8" w14:paraId="7E90F47D" w14:textId="77777777" w:rsidTr="00C52870">
        <w:trPr>
          <w:trHeight w:val="52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16BBE673"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RES002</w:t>
            </w:r>
          </w:p>
        </w:tc>
        <w:tc>
          <w:tcPr>
            <w:tcW w:w="2539" w:type="dxa"/>
            <w:tcBorders>
              <w:top w:val="nil"/>
              <w:left w:val="nil"/>
              <w:bottom w:val="single" w:sz="4" w:space="0" w:color="auto"/>
              <w:right w:val="single" w:sz="4" w:space="0" w:color="auto"/>
            </w:tcBorders>
            <w:shd w:val="clear" w:color="auto" w:fill="auto"/>
            <w:vAlign w:val="center"/>
            <w:hideMark/>
          </w:tcPr>
          <w:p w14:paraId="41848D37"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Resources</w:t>
            </w:r>
          </w:p>
        </w:tc>
        <w:tc>
          <w:tcPr>
            <w:tcW w:w="1857" w:type="dxa"/>
            <w:tcBorders>
              <w:top w:val="nil"/>
              <w:left w:val="nil"/>
              <w:bottom w:val="single" w:sz="4" w:space="0" w:color="auto"/>
              <w:right w:val="single" w:sz="4" w:space="0" w:color="auto"/>
            </w:tcBorders>
            <w:shd w:val="clear" w:color="auto" w:fill="auto"/>
            <w:vAlign w:val="center"/>
            <w:hideMark/>
          </w:tcPr>
          <w:p w14:paraId="152A3CBE"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Strategy and Performance</w:t>
            </w:r>
          </w:p>
        </w:tc>
        <w:tc>
          <w:tcPr>
            <w:tcW w:w="4129" w:type="dxa"/>
            <w:tcBorders>
              <w:top w:val="nil"/>
              <w:left w:val="nil"/>
              <w:bottom w:val="single" w:sz="4" w:space="0" w:color="auto"/>
              <w:right w:val="single" w:sz="4" w:space="0" w:color="auto"/>
            </w:tcBorders>
            <w:shd w:val="clear" w:color="auto" w:fill="auto"/>
            <w:vAlign w:val="center"/>
            <w:hideMark/>
          </w:tcPr>
          <w:p w14:paraId="1068FCA0"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Facilities Management - operational changes</w:t>
            </w:r>
          </w:p>
        </w:tc>
        <w:tc>
          <w:tcPr>
            <w:tcW w:w="1567" w:type="dxa"/>
            <w:tcBorders>
              <w:top w:val="nil"/>
              <w:left w:val="nil"/>
              <w:bottom w:val="single" w:sz="4" w:space="0" w:color="auto"/>
              <w:right w:val="single" w:sz="4" w:space="0" w:color="auto"/>
            </w:tcBorders>
            <w:shd w:val="clear" w:color="auto" w:fill="auto"/>
            <w:vAlign w:val="center"/>
            <w:hideMark/>
          </w:tcPr>
          <w:p w14:paraId="26B03110"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-145,000</w:t>
            </w:r>
          </w:p>
        </w:tc>
        <w:tc>
          <w:tcPr>
            <w:tcW w:w="1418" w:type="dxa"/>
            <w:tcBorders>
              <w:top w:val="nil"/>
              <w:left w:val="nil"/>
              <w:bottom w:val="single" w:sz="4" w:space="0" w:color="auto"/>
              <w:right w:val="single" w:sz="4" w:space="0" w:color="auto"/>
            </w:tcBorders>
            <w:shd w:val="clear" w:color="auto" w:fill="auto"/>
            <w:vAlign w:val="center"/>
            <w:hideMark/>
          </w:tcPr>
          <w:p w14:paraId="5056E95C"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-470,000</w:t>
            </w:r>
          </w:p>
        </w:tc>
        <w:tc>
          <w:tcPr>
            <w:tcW w:w="1641" w:type="dxa"/>
            <w:tcBorders>
              <w:top w:val="nil"/>
              <w:left w:val="nil"/>
              <w:bottom w:val="single" w:sz="4" w:space="0" w:color="auto"/>
              <w:right w:val="single" w:sz="8" w:space="0" w:color="auto"/>
            </w:tcBorders>
            <w:shd w:val="clear" w:color="auto" w:fill="auto"/>
            <w:vAlign w:val="center"/>
            <w:hideMark/>
          </w:tcPr>
          <w:p w14:paraId="31435141"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-470,000</w:t>
            </w:r>
          </w:p>
        </w:tc>
      </w:tr>
      <w:tr w:rsidR="00C92CD8" w14:paraId="3C68B893" w14:textId="77777777" w:rsidTr="00C52870">
        <w:trPr>
          <w:trHeight w:val="520"/>
        </w:trPr>
        <w:tc>
          <w:tcPr>
            <w:tcW w:w="1270" w:type="dxa"/>
            <w:tcBorders>
              <w:top w:val="single" w:sz="8" w:space="0" w:color="auto"/>
              <w:left w:val="single" w:sz="8" w:space="0" w:color="auto"/>
              <w:bottom w:val="nil"/>
              <w:right w:val="single" w:sz="4" w:space="0" w:color="auto"/>
            </w:tcBorders>
            <w:shd w:val="clear" w:color="000000" w:fill="C6E0B4"/>
            <w:vAlign w:val="bottom"/>
            <w:hideMark/>
          </w:tcPr>
          <w:p w14:paraId="3FF29404" w14:textId="77777777" w:rsidR="00C52870" w:rsidRPr="00C52870" w:rsidRDefault="004A7A82">
            <w:pPr>
              <w:jc w:val="center"/>
              <w:rPr>
                <w:rFonts w:asciiTheme="minorHAnsi" w:eastAsia="Times New Roman" w:hAnsiTheme="minorHAnsi" w:cstheme="minorHAnsi"/>
                <w:b/>
                <w:bCs/>
              </w:rPr>
            </w:pPr>
            <w:r w:rsidRPr="00C52870">
              <w:rPr>
                <w:rFonts w:asciiTheme="minorHAnsi" w:eastAsia="Times New Roman" w:hAnsiTheme="minorHAnsi" w:cstheme="minorHAnsi"/>
                <w:b/>
                <w:bCs/>
              </w:rPr>
              <w:lastRenderedPageBreak/>
              <w:t xml:space="preserve">Template </w:t>
            </w:r>
            <w:r w:rsidRPr="00C52870">
              <w:rPr>
                <w:rFonts w:asciiTheme="minorHAnsi" w:eastAsia="Times New Roman" w:hAnsiTheme="minorHAnsi" w:cstheme="minorHAnsi"/>
                <w:b/>
                <w:bCs/>
              </w:rPr>
              <w:br/>
              <w:t>Ref</w:t>
            </w:r>
          </w:p>
        </w:tc>
        <w:tc>
          <w:tcPr>
            <w:tcW w:w="2539" w:type="dxa"/>
            <w:tcBorders>
              <w:top w:val="single" w:sz="8" w:space="0" w:color="auto"/>
              <w:left w:val="nil"/>
              <w:bottom w:val="nil"/>
              <w:right w:val="single" w:sz="4" w:space="0" w:color="auto"/>
            </w:tcBorders>
            <w:shd w:val="clear" w:color="000000" w:fill="C6E0B4"/>
            <w:vAlign w:val="bottom"/>
            <w:hideMark/>
          </w:tcPr>
          <w:p w14:paraId="582524DC" w14:textId="77777777" w:rsidR="00C52870" w:rsidRPr="00C52870" w:rsidRDefault="004A7A82">
            <w:pPr>
              <w:jc w:val="center"/>
              <w:rPr>
                <w:rFonts w:asciiTheme="minorHAnsi" w:eastAsia="Times New Roman" w:hAnsiTheme="minorHAnsi" w:cstheme="minorHAnsi"/>
                <w:b/>
                <w:bCs/>
              </w:rPr>
            </w:pPr>
            <w:r w:rsidRPr="00C52870">
              <w:rPr>
                <w:rFonts w:asciiTheme="minorHAnsi" w:eastAsia="Times New Roman" w:hAnsiTheme="minorHAnsi" w:cstheme="minorHAnsi"/>
                <w:b/>
                <w:bCs/>
              </w:rPr>
              <w:t>Directorate</w:t>
            </w:r>
          </w:p>
        </w:tc>
        <w:tc>
          <w:tcPr>
            <w:tcW w:w="1857" w:type="dxa"/>
            <w:tcBorders>
              <w:top w:val="single" w:sz="8" w:space="0" w:color="auto"/>
              <w:left w:val="nil"/>
              <w:bottom w:val="nil"/>
              <w:right w:val="single" w:sz="4" w:space="0" w:color="auto"/>
            </w:tcBorders>
            <w:shd w:val="clear" w:color="000000" w:fill="C6E0B4"/>
            <w:vAlign w:val="bottom"/>
            <w:hideMark/>
          </w:tcPr>
          <w:p w14:paraId="2403E9BC" w14:textId="77777777" w:rsidR="00C52870" w:rsidRPr="00C52870" w:rsidRDefault="004A7A82">
            <w:pPr>
              <w:jc w:val="center"/>
              <w:rPr>
                <w:rFonts w:asciiTheme="minorHAnsi" w:eastAsia="Times New Roman" w:hAnsiTheme="minorHAnsi" w:cstheme="minorHAnsi"/>
                <w:b/>
                <w:bCs/>
              </w:rPr>
            </w:pPr>
            <w:r w:rsidRPr="00C52870">
              <w:rPr>
                <w:rFonts w:asciiTheme="minorHAnsi" w:eastAsia="Times New Roman" w:hAnsiTheme="minorHAnsi" w:cstheme="minorHAnsi"/>
                <w:b/>
                <w:bCs/>
              </w:rPr>
              <w:t>Service Area</w:t>
            </w:r>
          </w:p>
        </w:tc>
        <w:tc>
          <w:tcPr>
            <w:tcW w:w="4129" w:type="dxa"/>
            <w:tcBorders>
              <w:top w:val="single" w:sz="8" w:space="0" w:color="auto"/>
              <w:left w:val="nil"/>
              <w:bottom w:val="nil"/>
              <w:right w:val="single" w:sz="4" w:space="0" w:color="auto"/>
            </w:tcBorders>
            <w:shd w:val="clear" w:color="000000" w:fill="C6E0B4"/>
            <w:vAlign w:val="bottom"/>
            <w:hideMark/>
          </w:tcPr>
          <w:p w14:paraId="452A94A8" w14:textId="77777777" w:rsidR="00C52870" w:rsidRPr="00C52870" w:rsidRDefault="004A7A82">
            <w:pPr>
              <w:jc w:val="center"/>
              <w:rPr>
                <w:rFonts w:asciiTheme="minorHAnsi" w:eastAsia="Times New Roman" w:hAnsiTheme="minorHAnsi" w:cstheme="minorHAnsi"/>
                <w:b/>
                <w:bCs/>
              </w:rPr>
            </w:pPr>
            <w:r w:rsidRPr="00C52870">
              <w:rPr>
                <w:rFonts w:asciiTheme="minorHAnsi" w:eastAsia="Times New Roman" w:hAnsiTheme="minorHAnsi" w:cstheme="minorHAnsi"/>
                <w:b/>
                <w:bCs/>
              </w:rPr>
              <w:t>Brief Description</w:t>
            </w:r>
          </w:p>
        </w:tc>
        <w:tc>
          <w:tcPr>
            <w:tcW w:w="1567" w:type="dxa"/>
            <w:tcBorders>
              <w:top w:val="single" w:sz="8" w:space="0" w:color="auto"/>
              <w:left w:val="nil"/>
              <w:bottom w:val="nil"/>
              <w:right w:val="single" w:sz="4" w:space="0" w:color="auto"/>
            </w:tcBorders>
            <w:shd w:val="clear" w:color="000000" w:fill="C6E0B4"/>
            <w:vAlign w:val="bottom"/>
            <w:hideMark/>
          </w:tcPr>
          <w:p w14:paraId="0D95D630" w14:textId="77777777" w:rsidR="00C52870" w:rsidRPr="00C52870" w:rsidRDefault="004A7A82">
            <w:pPr>
              <w:jc w:val="center"/>
              <w:rPr>
                <w:rFonts w:asciiTheme="minorHAnsi" w:eastAsia="Times New Roman" w:hAnsiTheme="minorHAnsi" w:cstheme="minorHAnsi"/>
                <w:b/>
                <w:bCs/>
              </w:rPr>
            </w:pPr>
            <w:r w:rsidRPr="00C52870">
              <w:rPr>
                <w:rFonts w:asciiTheme="minorHAnsi" w:eastAsia="Times New Roman" w:hAnsiTheme="minorHAnsi" w:cstheme="minorHAnsi"/>
                <w:b/>
                <w:bCs/>
              </w:rPr>
              <w:t>2024/25</w:t>
            </w:r>
          </w:p>
        </w:tc>
        <w:tc>
          <w:tcPr>
            <w:tcW w:w="1418" w:type="dxa"/>
            <w:tcBorders>
              <w:top w:val="single" w:sz="8" w:space="0" w:color="auto"/>
              <w:left w:val="nil"/>
              <w:bottom w:val="nil"/>
              <w:right w:val="single" w:sz="4" w:space="0" w:color="auto"/>
            </w:tcBorders>
            <w:shd w:val="clear" w:color="000000" w:fill="C6E0B4"/>
            <w:vAlign w:val="bottom"/>
            <w:hideMark/>
          </w:tcPr>
          <w:p w14:paraId="4846AB28" w14:textId="77777777" w:rsidR="00C52870" w:rsidRPr="00C52870" w:rsidRDefault="004A7A82">
            <w:pPr>
              <w:jc w:val="center"/>
              <w:rPr>
                <w:rFonts w:asciiTheme="minorHAnsi" w:eastAsia="Times New Roman" w:hAnsiTheme="minorHAnsi" w:cstheme="minorHAnsi"/>
                <w:b/>
                <w:bCs/>
              </w:rPr>
            </w:pPr>
            <w:r w:rsidRPr="00C52870">
              <w:rPr>
                <w:rFonts w:asciiTheme="minorHAnsi" w:eastAsia="Times New Roman" w:hAnsiTheme="minorHAnsi" w:cstheme="minorHAnsi"/>
                <w:b/>
                <w:bCs/>
              </w:rPr>
              <w:t>2025/26</w:t>
            </w:r>
          </w:p>
        </w:tc>
        <w:tc>
          <w:tcPr>
            <w:tcW w:w="1641" w:type="dxa"/>
            <w:tcBorders>
              <w:top w:val="single" w:sz="8" w:space="0" w:color="auto"/>
              <w:left w:val="nil"/>
              <w:bottom w:val="nil"/>
              <w:right w:val="single" w:sz="8" w:space="0" w:color="auto"/>
            </w:tcBorders>
            <w:shd w:val="clear" w:color="000000" w:fill="C6E0B4"/>
            <w:vAlign w:val="bottom"/>
            <w:hideMark/>
          </w:tcPr>
          <w:p w14:paraId="5A20EE74" w14:textId="77777777" w:rsidR="00C52870" w:rsidRPr="00C52870" w:rsidRDefault="004A7A82">
            <w:pPr>
              <w:jc w:val="center"/>
              <w:rPr>
                <w:rFonts w:asciiTheme="minorHAnsi" w:eastAsia="Times New Roman" w:hAnsiTheme="minorHAnsi" w:cstheme="minorHAnsi"/>
                <w:b/>
                <w:bCs/>
              </w:rPr>
            </w:pPr>
            <w:r w:rsidRPr="00C52870">
              <w:rPr>
                <w:rFonts w:asciiTheme="minorHAnsi" w:eastAsia="Times New Roman" w:hAnsiTheme="minorHAnsi" w:cstheme="minorHAnsi"/>
                <w:b/>
                <w:bCs/>
              </w:rPr>
              <w:t>2026/27</w:t>
            </w:r>
          </w:p>
        </w:tc>
      </w:tr>
      <w:tr w:rsidR="00C92CD8" w14:paraId="6740797D" w14:textId="77777777" w:rsidTr="00C52870">
        <w:trPr>
          <w:trHeight w:val="260"/>
        </w:trPr>
        <w:tc>
          <w:tcPr>
            <w:tcW w:w="1270" w:type="dxa"/>
            <w:tcBorders>
              <w:top w:val="nil"/>
              <w:left w:val="single" w:sz="8" w:space="0" w:color="auto"/>
              <w:bottom w:val="single" w:sz="4" w:space="0" w:color="auto"/>
              <w:right w:val="single" w:sz="4" w:space="0" w:color="auto"/>
            </w:tcBorders>
            <w:shd w:val="clear" w:color="000000" w:fill="C6E0B4"/>
            <w:noWrap/>
            <w:hideMark/>
          </w:tcPr>
          <w:p w14:paraId="187DB07A" w14:textId="77777777" w:rsidR="00C52870" w:rsidRPr="00C52870" w:rsidRDefault="004A7A82">
            <w:pPr>
              <w:jc w:val="center"/>
              <w:rPr>
                <w:rFonts w:asciiTheme="minorHAnsi" w:eastAsia="Times New Roman" w:hAnsiTheme="minorHAnsi" w:cstheme="minorHAnsi"/>
                <w:b/>
                <w:bCs/>
              </w:rPr>
            </w:pPr>
            <w:r w:rsidRPr="00C52870">
              <w:rPr>
                <w:rFonts w:asciiTheme="minorHAnsi" w:eastAsia="Times New Roman" w:hAnsiTheme="minorHAnsi" w:cstheme="minorHAnsi"/>
                <w:b/>
                <w:bCs/>
              </w:rPr>
              <w:t> </w:t>
            </w:r>
          </w:p>
        </w:tc>
        <w:tc>
          <w:tcPr>
            <w:tcW w:w="2539" w:type="dxa"/>
            <w:tcBorders>
              <w:top w:val="nil"/>
              <w:left w:val="nil"/>
              <w:bottom w:val="single" w:sz="4" w:space="0" w:color="auto"/>
              <w:right w:val="single" w:sz="4" w:space="0" w:color="auto"/>
            </w:tcBorders>
            <w:shd w:val="clear" w:color="000000" w:fill="C6E0B4"/>
            <w:noWrap/>
            <w:hideMark/>
          </w:tcPr>
          <w:p w14:paraId="28E80054" w14:textId="77777777" w:rsidR="00C52870" w:rsidRPr="00C52870" w:rsidRDefault="004A7A82">
            <w:pPr>
              <w:jc w:val="center"/>
              <w:rPr>
                <w:rFonts w:asciiTheme="minorHAnsi" w:eastAsia="Times New Roman" w:hAnsiTheme="minorHAnsi" w:cstheme="minorHAnsi"/>
                <w:b/>
                <w:bCs/>
              </w:rPr>
            </w:pPr>
            <w:r w:rsidRPr="00C52870">
              <w:rPr>
                <w:rFonts w:asciiTheme="minorHAnsi" w:eastAsia="Times New Roman" w:hAnsiTheme="minorHAnsi" w:cstheme="minorHAnsi"/>
                <w:b/>
                <w:bCs/>
              </w:rPr>
              <w:t> </w:t>
            </w:r>
          </w:p>
        </w:tc>
        <w:tc>
          <w:tcPr>
            <w:tcW w:w="1857" w:type="dxa"/>
            <w:tcBorders>
              <w:top w:val="nil"/>
              <w:left w:val="nil"/>
              <w:bottom w:val="single" w:sz="4" w:space="0" w:color="auto"/>
              <w:right w:val="single" w:sz="4" w:space="0" w:color="auto"/>
            </w:tcBorders>
            <w:shd w:val="clear" w:color="000000" w:fill="C6E0B4"/>
            <w:noWrap/>
            <w:hideMark/>
          </w:tcPr>
          <w:p w14:paraId="67615F58" w14:textId="77777777" w:rsidR="00C52870" w:rsidRPr="00C52870" w:rsidRDefault="004A7A82">
            <w:pPr>
              <w:jc w:val="center"/>
              <w:rPr>
                <w:rFonts w:asciiTheme="minorHAnsi" w:eastAsia="Times New Roman" w:hAnsiTheme="minorHAnsi" w:cstheme="minorHAnsi"/>
                <w:b/>
                <w:bCs/>
              </w:rPr>
            </w:pPr>
            <w:r w:rsidRPr="00C52870">
              <w:rPr>
                <w:rFonts w:asciiTheme="minorHAnsi" w:eastAsia="Times New Roman" w:hAnsiTheme="minorHAnsi" w:cstheme="minorHAnsi"/>
                <w:b/>
                <w:bCs/>
              </w:rPr>
              <w:t> </w:t>
            </w:r>
          </w:p>
        </w:tc>
        <w:tc>
          <w:tcPr>
            <w:tcW w:w="4129" w:type="dxa"/>
            <w:tcBorders>
              <w:top w:val="nil"/>
              <w:left w:val="nil"/>
              <w:bottom w:val="single" w:sz="4" w:space="0" w:color="auto"/>
              <w:right w:val="single" w:sz="4" w:space="0" w:color="auto"/>
            </w:tcBorders>
            <w:shd w:val="clear" w:color="000000" w:fill="C6E0B4"/>
            <w:noWrap/>
            <w:hideMark/>
          </w:tcPr>
          <w:p w14:paraId="1D93A217" w14:textId="77777777" w:rsidR="00C52870" w:rsidRPr="00C52870" w:rsidRDefault="004A7A82">
            <w:pPr>
              <w:jc w:val="center"/>
              <w:rPr>
                <w:rFonts w:asciiTheme="minorHAnsi" w:eastAsia="Times New Roman" w:hAnsiTheme="minorHAnsi" w:cstheme="minorHAnsi"/>
                <w:b/>
                <w:bCs/>
              </w:rPr>
            </w:pPr>
            <w:r w:rsidRPr="00C52870">
              <w:rPr>
                <w:rFonts w:asciiTheme="minorHAnsi" w:eastAsia="Times New Roman" w:hAnsiTheme="minorHAnsi" w:cstheme="minorHAnsi"/>
                <w:b/>
                <w:bCs/>
              </w:rPr>
              <w:t> </w:t>
            </w:r>
          </w:p>
        </w:tc>
        <w:tc>
          <w:tcPr>
            <w:tcW w:w="1567" w:type="dxa"/>
            <w:tcBorders>
              <w:top w:val="nil"/>
              <w:left w:val="nil"/>
              <w:bottom w:val="single" w:sz="4" w:space="0" w:color="auto"/>
              <w:right w:val="single" w:sz="4" w:space="0" w:color="auto"/>
            </w:tcBorders>
            <w:shd w:val="clear" w:color="000000" w:fill="C6E0B4"/>
            <w:noWrap/>
            <w:hideMark/>
          </w:tcPr>
          <w:p w14:paraId="43BE0E25" w14:textId="77777777" w:rsidR="00C52870" w:rsidRPr="00C52870" w:rsidRDefault="004A7A82">
            <w:pPr>
              <w:jc w:val="center"/>
              <w:rPr>
                <w:rFonts w:asciiTheme="minorHAnsi" w:eastAsia="Times New Roman" w:hAnsiTheme="minorHAnsi" w:cstheme="minorHAnsi"/>
                <w:b/>
                <w:bCs/>
              </w:rPr>
            </w:pPr>
            <w:r w:rsidRPr="00C52870">
              <w:rPr>
                <w:rFonts w:asciiTheme="minorHAnsi" w:eastAsia="Times New Roman" w:hAnsiTheme="minorHAnsi" w:cstheme="minorHAnsi"/>
                <w:b/>
                <w:bCs/>
              </w:rPr>
              <w:t>£</w:t>
            </w:r>
          </w:p>
        </w:tc>
        <w:tc>
          <w:tcPr>
            <w:tcW w:w="1418" w:type="dxa"/>
            <w:tcBorders>
              <w:top w:val="nil"/>
              <w:left w:val="nil"/>
              <w:bottom w:val="single" w:sz="4" w:space="0" w:color="auto"/>
              <w:right w:val="single" w:sz="4" w:space="0" w:color="auto"/>
            </w:tcBorders>
            <w:shd w:val="clear" w:color="000000" w:fill="C6E0B4"/>
            <w:noWrap/>
            <w:hideMark/>
          </w:tcPr>
          <w:p w14:paraId="6D316759" w14:textId="77777777" w:rsidR="00C52870" w:rsidRPr="00C52870" w:rsidRDefault="004A7A82">
            <w:pPr>
              <w:jc w:val="center"/>
              <w:rPr>
                <w:rFonts w:asciiTheme="minorHAnsi" w:eastAsia="Times New Roman" w:hAnsiTheme="minorHAnsi" w:cstheme="minorHAnsi"/>
                <w:b/>
                <w:bCs/>
              </w:rPr>
            </w:pPr>
            <w:r w:rsidRPr="00C52870">
              <w:rPr>
                <w:rFonts w:asciiTheme="minorHAnsi" w:eastAsia="Times New Roman" w:hAnsiTheme="minorHAnsi" w:cstheme="minorHAnsi"/>
                <w:b/>
                <w:bCs/>
              </w:rPr>
              <w:t>£</w:t>
            </w:r>
          </w:p>
        </w:tc>
        <w:tc>
          <w:tcPr>
            <w:tcW w:w="1641" w:type="dxa"/>
            <w:tcBorders>
              <w:top w:val="nil"/>
              <w:left w:val="nil"/>
              <w:bottom w:val="single" w:sz="4" w:space="0" w:color="auto"/>
              <w:right w:val="single" w:sz="8" w:space="0" w:color="auto"/>
            </w:tcBorders>
            <w:shd w:val="clear" w:color="000000" w:fill="C6E0B4"/>
            <w:noWrap/>
            <w:hideMark/>
          </w:tcPr>
          <w:p w14:paraId="1B56AD3B" w14:textId="77777777" w:rsidR="00C52870" w:rsidRPr="00C52870" w:rsidRDefault="004A7A82">
            <w:pPr>
              <w:jc w:val="center"/>
              <w:rPr>
                <w:rFonts w:asciiTheme="minorHAnsi" w:eastAsia="Times New Roman" w:hAnsiTheme="minorHAnsi" w:cstheme="minorHAnsi"/>
                <w:b/>
                <w:bCs/>
              </w:rPr>
            </w:pPr>
            <w:r w:rsidRPr="00C52870">
              <w:rPr>
                <w:rFonts w:asciiTheme="minorHAnsi" w:eastAsia="Times New Roman" w:hAnsiTheme="minorHAnsi" w:cstheme="minorHAnsi"/>
                <w:b/>
                <w:bCs/>
              </w:rPr>
              <w:t>£</w:t>
            </w:r>
          </w:p>
        </w:tc>
      </w:tr>
      <w:tr w:rsidR="00C92CD8" w14:paraId="346A4ECC" w14:textId="77777777" w:rsidTr="00C52870">
        <w:trPr>
          <w:trHeight w:val="26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1A00635D"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ASC004</w:t>
            </w:r>
          </w:p>
        </w:tc>
        <w:tc>
          <w:tcPr>
            <w:tcW w:w="2539" w:type="dxa"/>
            <w:tcBorders>
              <w:top w:val="nil"/>
              <w:left w:val="nil"/>
              <w:bottom w:val="single" w:sz="4" w:space="0" w:color="auto"/>
              <w:right w:val="single" w:sz="4" w:space="0" w:color="auto"/>
            </w:tcBorders>
            <w:shd w:val="clear" w:color="auto" w:fill="auto"/>
            <w:vAlign w:val="center"/>
            <w:hideMark/>
          </w:tcPr>
          <w:p w14:paraId="1BF09551"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Adult Services</w:t>
            </w:r>
          </w:p>
        </w:tc>
        <w:tc>
          <w:tcPr>
            <w:tcW w:w="1857" w:type="dxa"/>
            <w:tcBorders>
              <w:top w:val="nil"/>
              <w:left w:val="nil"/>
              <w:bottom w:val="single" w:sz="4" w:space="0" w:color="auto"/>
              <w:right w:val="single" w:sz="4" w:space="0" w:color="auto"/>
            </w:tcBorders>
            <w:shd w:val="clear" w:color="auto" w:fill="auto"/>
            <w:vAlign w:val="center"/>
            <w:hideMark/>
          </w:tcPr>
          <w:p w14:paraId="779D168B"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Learning, Disabilities and Autism</w:t>
            </w:r>
          </w:p>
        </w:tc>
        <w:tc>
          <w:tcPr>
            <w:tcW w:w="4129" w:type="dxa"/>
            <w:tcBorders>
              <w:top w:val="nil"/>
              <w:left w:val="nil"/>
              <w:bottom w:val="single" w:sz="4" w:space="0" w:color="auto"/>
              <w:right w:val="single" w:sz="4" w:space="0" w:color="auto"/>
            </w:tcBorders>
            <w:shd w:val="clear" w:color="auto" w:fill="auto"/>
            <w:vAlign w:val="center"/>
            <w:hideMark/>
          </w:tcPr>
          <w:p w14:paraId="6076D5B2"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 xml:space="preserve">Enablement – Enhanced  </w:t>
            </w:r>
          </w:p>
        </w:tc>
        <w:tc>
          <w:tcPr>
            <w:tcW w:w="1567" w:type="dxa"/>
            <w:tcBorders>
              <w:top w:val="nil"/>
              <w:left w:val="nil"/>
              <w:bottom w:val="single" w:sz="4" w:space="0" w:color="auto"/>
              <w:right w:val="single" w:sz="4" w:space="0" w:color="auto"/>
            </w:tcBorders>
            <w:shd w:val="clear" w:color="auto" w:fill="auto"/>
            <w:vAlign w:val="center"/>
            <w:hideMark/>
          </w:tcPr>
          <w:p w14:paraId="49F0E99A"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-890,000</w:t>
            </w:r>
          </w:p>
        </w:tc>
        <w:tc>
          <w:tcPr>
            <w:tcW w:w="1418" w:type="dxa"/>
            <w:tcBorders>
              <w:top w:val="nil"/>
              <w:left w:val="nil"/>
              <w:bottom w:val="single" w:sz="4" w:space="0" w:color="auto"/>
              <w:right w:val="single" w:sz="4" w:space="0" w:color="auto"/>
            </w:tcBorders>
            <w:shd w:val="clear" w:color="auto" w:fill="auto"/>
            <w:vAlign w:val="center"/>
            <w:hideMark/>
          </w:tcPr>
          <w:p w14:paraId="3A3E8DEA"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-1,662,000</w:t>
            </w:r>
          </w:p>
        </w:tc>
        <w:tc>
          <w:tcPr>
            <w:tcW w:w="1641" w:type="dxa"/>
            <w:tcBorders>
              <w:top w:val="nil"/>
              <w:left w:val="nil"/>
              <w:bottom w:val="single" w:sz="4" w:space="0" w:color="auto"/>
              <w:right w:val="single" w:sz="8" w:space="0" w:color="auto"/>
            </w:tcBorders>
            <w:shd w:val="clear" w:color="auto" w:fill="auto"/>
            <w:vAlign w:val="center"/>
            <w:hideMark/>
          </w:tcPr>
          <w:p w14:paraId="0CD7231A"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-1,662,000</w:t>
            </w:r>
          </w:p>
        </w:tc>
      </w:tr>
      <w:tr w:rsidR="00C92CD8" w14:paraId="6865814B" w14:textId="77777777" w:rsidTr="00C52870">
        <w:trPr>
          <w:trHeight w:val="26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3E9FA003"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ASC006</w:t>
            </w:r>
          </w:p>
        </w:tc>
        <w:tc>
          <w:tcPr>
            <w:tcW w:w="2539" w:type="dxa"/>
            <w:tcBorders>
              <w:top w:val="nil"/>
              <w:left w:val="nil"/>
              <w:bottom w:val="single" w:sz="4" w:space="0" w:color="auto"/>
              <w:right w:val="single" w:sz="4" w:space="0" w:color="auto"/>
            </w:tcBorders>
            <w:shd w:val="clear" w:color="auto" w:fill="auto"/>
            <w:vAlign w:val="center"/>
            <w:hideMark/>
          </w:tcPr>
          <w:p w14:paraId="0CCA67FD"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Adult Services</w:t>
            </w:r>
          </w:p>
        </w:tc>
        <w:tc>
          <w:tcPr>
            <w:tcW w:w="1857" w:type="dxa"/>
            <w:tcBorders>
              <w:top w:val="nil"/>
              <w:left w:val="nil"/>
              <w:bottom w:val="single" w:sz="4" w:space="0" w:color="auto"/>
              <w:right w:val="single" w:sz="4" w:space="0" w:color="auto"/>
            </w:tcBorders>
            <w:shd w:val="clear" w:color="auto" w:fill="auto"/>
            <w:vAlign w:val="center"/>
            <w:hideMark/>
          </w:tcPr>
          <w:p w14:paraId="4C0400AB"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 All Adult Services</w:t>
            </w:r>
          </w:p>
        </w:tc>
        <w:tc>
          <w:tcPr>
            <w:tcW w:w="4129" w:type="dxa"/>
            <w:tcBorders>
              <w:top w:val="nil"/>
              <w:left w:val="nil"/>
              <w:bottom w:val="single" w:sz="4" w:space="0" w:color="auto"/>
              <w:right w:val="single" w:sz="4" w:space="0" w:color="auto"/>
            </w:tcBorders>
            <w:shd w:val="clear" w:color="auto" w:fill="auto"/>
            <w:vAlign w:val="center"/>
            <w:hideMark/>
          </w:tcPr>
          <w:p w14:paraId="509A7CF5"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Offer a chargeable brokerage service for full cost payers</w:t>
            </w:r>
          </w:p>
        </w:tc>
        <w:tc>
          <w:tcPr>
            <w:tcW w:w="1567" w:type="dxa"/>
            <w:tcBorders>
              <w:top w:val="nil"/>
              <w:left w:val="nil"/>
              <w:bottom w:val="single" w:sz="4" w:space="0" w:color="auto"/>
              <w:right w:val="single" w:sz="4" w:space="0" w:color="auto"/>
            </w:tcBorders>
            <w:shd w:val="clear" w:color="auto" w:fill="auto"/>
            <w:vAlign w:val="center"/>
            <w:hideMark/>
          </w:tcPr>
          <w:p w14:paraId="51B89EDE"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-250,000</w:t>
            </w:r>
          </w:p>
        </w:tc>
        <w:tc>
          <w:tcPr>
            <w:tcW w:w="1418" w:type="dxa"/>
            <w:tcBorders>
              <w:top w:val="nil"/>
              <w:left w:val="nil"/>
              <w:bottom w:val="single" w:sz="4" w:space="0" w:color="auto"/>
              <w:right w:val="single" w:sz="4" w:space="0" w:color="auto"/>
            </w:tcBorders>
            <w:shd w:val="clear" w:color="auto" w:fill="auto"/>
            <w:vAlign w:val="center"/>
            <w:hideMark/>
          </w:tcPr>
          <w:p w14:paraId="32B378A6"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-250,000</w:t>
            </w:r>
          </w:p>
        </w:tc>
        <w:tc>
          <w:tcPr>
            <w:tcW w:w="1641" w:type="dxa"/>
            <w:tcBorders>
              <w:top w:val="nil"/>
              <w:left w:val="nil"/>
              <w:bottom w:val="single" w:sz="4" w:space="0" w:color="auto"/>
              <w:right w:val="single" w:sz="8" w:space="0" w:color="auto"/>
            </w:tcBorders>
            <w:shd w:val="clear" w:color="auto" w:fill="auto"/>
            <w:vAlign w:val="center"/>
            <w:hideMark/>
          </w:tcPr>
          <w:p w14:paraId="2A285584"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-250,000</w:t>
            </w:r>
          </w:p>
        </w:tc>
      </w:tr>
      <w:tr w:rsidR="00C92CD8" w14:paraId="3F1B2E11" w14:textId="77777777" w:rsidTr="00C52870">
        <w:trPr>
          <w:trHeight w:val="52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191DFA02"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ASC007</w:t>
            </w:r>
          </w:p>
        </w:tc>
        <w:tc>
          <w:tcPr>
            <w:tcW w:w="2539" w:type="dxa"/>
            <w:tcBorders>
              <w:top w:val="nil"/>
              <w:left w:val="nil"/>
              <w:bottom w:val="single" w:sz="4" w:space="0" w:color="auto"/>
              <w:right w:val="single" w:sz="4" w:space="0" w:color="auto"/>
            </w:tcBorders>
            <w:shd w:val="clear" w:color="auto" w:fill="auto"/>
            <w:vAlign w:val="center"/>
            <w:hideMark/>
          </w:tcPr>
          <w:p w14:paraId="2E0CD773"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Adult Services</w:t>
            </w:r>
          </w:p>
        </w:tc>
        <w:tc>
          <w:tcPr>
            <w:tcW w:w="1857" w:type="dxa"/>
            <w:tcBorders>
              <w:top w:val="nil"/>
              <w:left w:val="nil"/>
              <w:bottom w:val="single" w:sz="4" w:space="0" w:color="auto"/>
              <w:right w:val="single" w:sz="4" w:space="0" w:color="auto"/>
            </w:tcBorders>
            <w:shd w:val="clear" w:color="auto" w:fill="auto"/>
            <w:vAlign w:val="center"/>
            <w:hideMark/>
          </w:tcPr>
          <w:p w14:paraId="3DB21D83"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 All Adult Services</w:t>
            </w:r>
          </w:p>
        </w:tc>
        <w:tc>
          <w:tcPr>
            <w:tcW w:w="4129" w:type="dxa"/>
            <w:tcBorders>
              <w:top w:val="nil"/>
              <w:left w:val="nil"/>
              <w:bottom w:val="single" w:sz="4" w:space="0" w:color="auto"/>
              <w:right w:val="single" w:sz="4" w:space="0" w:color="auto"/>
            </w:tcBorders>
            <w:shd w:val="clear" w:color="auto" w:fill="auto"/>
            <w:vAlign w:val="center"/>
            <w:hideMark/>
          </w:tcPr>
          <w:p w14:paraId="7522F00C"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Full cost payers moving to self-funding rates rather than LCC rates.</w:t>
            </w:r>
          </w:p>
        </w:tc>
        <w:tc>
          <w:tcPr>
            <w:tcW w:w="1567" w:type="dxa"/>
            <w:tcBorders>
              <w:top w:val="nil"/>
              <w:left w:val="nil"/>
              <w:bottom w:val="single" w:sz="4" w:space="0" w:color="auto"/>
              <w:right w:val="single" w:sz="4" w:space="0" w:color="auto"/>
            </w:tcBorders>
            <w:shd w:val="clear" w:color="auto" w:fill="auto"/>
            <w:vAlign w:val="center"/>
            <w:hideMark/>
          </w:tcPr>
          <w:p w14:paraId="585FE4CF"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-172,000</w:t>
            </w:r>
          </w:p>
        </w:tc>
        <w:tc>
          <w:tcPr>
            <w:tcW w:w="1418" w:type="dxa"/>
            <w:tcBorders>
              <w:top w:val="nil"/>
              <w:left w:val="nil"/>
              <w:bottom w:val="single" w:sz="4" w:space="0" w:color="auto"/>
              <w:right w:val="single" w:sz="4" w:space="0" w:color="auto"/>
            </w:tcBorders>
            <w:shd w:val="clear" w:color="auto" w:fill="auto"/>
            <w:vAlign w:val="center"/>
            <w:hideMark/>
          </w:tcPr>
          <w:p w14:paraId="71D9BB21"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-344,000</w:t>
            </w:r>
          </w:p>
        </w:tc>
        <w:tc>
          <w:tcPr>
            <w:tcW w:w="1641" w:type="dxa"/>
            <w:tcBorders>
              <w:top w:val="nil"/>
              <w:left w:val="nil"/>
              <w:bottom w:val="single" w:sz="4" w:space="0" w:color="auto"/>
              <w:right w:val="single" w:sz="8" w:space="0" w:color="auto"/>
            </w:tcBorders>
            <w:shd w:val="clear" w:color="auto" w:fill="auto"/>
            <w:vAlign w:val="center"/>
            <w:hideMark/>
          </w:tcPr>
          <w:p w14:paraId="48ECCA56"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-344,000</w:t>
            </w:r>
          </w:p>
        </w:tc>
      </w:tr>
      <w:tr w:rsidR="00C92CD8" w14:paraId="657FE066" w14:textId="77777777" w:rsidTr="00C52870">
        <w:trPr>
          <w:trHeight w:val="59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10C32070"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ASC009</w:t>
            </w:r>
          </w:p>
        </w:tc>
        <w:tc>
          <w:tcPr>
            <w:tcW w:w="2539" w:type="dxa"/>
            <w:tcBorders>
              <w:top w:val="nil"/>
              <w:left w:val="nil"/>
              <w:bottom w:val="single" w:sz="4" w:space="0" w:color="auto"/>
              <w:right w:val="single" w:sz="4" w:space="0" w:color="auto"/>
            </w:tcBorders>
            <w:shd w:val="clear" w:color="auto" w:fill="auto"/>
            <w:vAlign w:val="center"/>
            <w:hideMark/>
          </w:tcPr>
          <w:p w14:paraId="28C02F7F"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Adult Services</w:t>
            </w:r>
          </w:p>
        </w:tc>
        <w:tc>
          <w:tcPr>
            <w:tcW w:w="1857" w:type="dxa"/>
            <w:tcBorders>
              <w:top w:val="nil"/>
              <w:left w:val="nil"/>
              <w:bottom w:val="single" w:sz="4" w:space="0" w:color="auto"/>
              <w:right w:val="single" w:sz="4" w:space="0" w:color="auto"/>
            </w:tcBorders>
            <w:shd w:val="clear" w:color="auto" w:fill="auto"/>
            <w:vAlign w:val="center"/>
            <w:hideMark/>
          </w:tcPr>
          <w:p w14:paraId="6FEAE790"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Older People Care Services</w:t>
            </w:r>
          </w:p>
        </w:tc>
        <w:tc>
          <w:tcPr>
            <w:tcW w:w="4129" w:type="dxa"/>
            <w:tcBorders>
              <w:top w:val="nil"/>
              <w:left w:val="nil"/>
              <w:bottom w:val="single" w:sz="4" w:space="0" w:color="auto"/>
              <w:right w:val="single" w:sz="4" w:space="0" w:color="auto"/>
            </w:tcBorders>
            <w:shd w:val="clear" w:color="auto" w:fill="auto"/>
            <w:vAlign w:val="center"/>
            <w:hideMark/>
          </w:tcPr>
          <w:p w14:paraId="21C263A5"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 xml:space="preserve">Reduction in net cost of in-house residential homes </w:t>
            </w:r>
          </w:p>
        </w:tc>
        <w:tc>
          <w:tcPr>
            <w:tcW w:w="1567" w:type="dxa"/>
            <w:tcBorders>
              <w:top w:val="nil"/>
              <w:left w:val="nil"/>
              <w:bottom w:val="single" w:sz="4" w:space="0" w:color="auto"/>
              <w:right w:val="single" w:sz="4" w:space="0" w:color="auto"/>
            </w:tcBorders>
            <w:shd w:val="clear" w:color="auto" w:fill="auto"/>
            <w:vAlign w:val="center"/>
            <w:hideMark/>
          </w:tcPr>
          <w:p w14:paraId="39756CCF"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rPr>
              <w:t>0</w:t>
            </w:r>
          </w:p>
        </w:tc>
        <w:tc>
          <w:tcPr>
            <w:tcW w:w="1418" w:type="dxa"/>
            <w:tcBorders>
              <w:top w:val="nil"/>
              <w:left w:val="nil"/>
              <w:bottom w:val="single" w:sz="4" w:space="0" w:color="auto"/>
              <w:right w:val="single" w:sz="4" w:space="0" w:color="auto"/>
            </w:tcBorders>
            <w:shd w:val="clear" w:color="auto" w:fill="auto"/>
            <w:vAlign w:val="center"/>
            <w:hideMark/>
          </w:tcPr>
          <w:p w14:paraId="68DC200E"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rPr>
              <w:t>0</w:t>
            </w:r>
          </w:p>
        </w:tc>
        <w:tc>
          <w:tcPr>
            <w:tcW w:w="1641" w:type="dxa"/>
            <w:tcBorders>
              <w:top w:val="nil"/>
              <w:left w:val="nil"/>
              <w:bottom w:val="single" w:sz="4" w:space="0" w:color="auto"/>
              <w:right w:val="single" w:sz="8" w:space="0" w:color="auto"/>
            </w:tcBorders>
            <w:shd w:val="clear" w:color="auto" w:fill="auto"/>
            <w:vAlign w:val="center"/>
            <w:hideMark/>
          </w:tcPr>
          <w:p w14:paraId="5FC6B7A3"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-500,000</w:t>
            </w:r>
          </w:p>
        </w:tc>
      </w:tr>
      <w:tr w:rsidR="00C92CD8" w14:paraId="48A0C6F6" w14:textId="77777777" w:rsidTr="00C52870">
        <w:trPr>
          <w:trHeight w:val="556"/>
        </w:trPr>
        <w:tc>
          <w:tcPr>
            <w:tcW w:w="1270" w:type="dxa"/>
            <w:tcBorders>
              <w:top w:val="nil"/>
              <w:left w:val="single" w:sz="8" w:space="0" w:color="auto"/>
              <w:bottom w:val="nil"/>
              <w:right w:val="single" w:sz="4" w:space="0" w:color="auto"/>
            </w:tcBorders>
            <w:shd w:val="clear" w:color="auto" w:fill="auto"/>
            <w:vAlign w:val="center"/>
            <w:hideMark/>
          </w:tcPr>
          <w:p w14:paraId="75D09061"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ASC010</w:t>
            </w:r>
          </w:p>
        </w:tc>
        <w:tc>
          <w:tcPr>
            <w:tcW w:w="2539" w:type="dxa"/>
            <w:tcBorders>
              <w:top w:val="nil"/>
              <w:left w:val="nil"/>
              <w:bottom w:val="nil"/>
              <w:right w:val="single" w:sz="4" w:space="0" w:color="auto"/>
            </w:tcBorders>
            <w:shd w:val="clear" w:color="auto" w:fill="auto"/>
            <w:vAlign w:val="center"/>
            <w:hideMark/>
          </w:tcPr>
          <w:p w14:paraId="5D3FC595"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Adult Services</w:t>
            </w:r>
          </w:p>
        </w:tc>
        <w:tc>
          <w:tcPr>
            <w:tcW w:w="1857" w:type="dxa"/>
            <w:tcBorders>
              <w:top w:val="nil"/>
              <w:left w:val="nil"/>
              <w:bottom w:val="nil"/>
              <w:right w:val="single" w:sz="4" w:space="0" w:color="auto"/>
            </w:tcBorders>
            <w:shd w:val="clear" w:color="auto" w:fill="auto"/>
            <w:vAlign w:val="center"/>
            <w:hideMark/>
          </w:tcPr>
          <w:p w14:paraId="728BD824"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 All Adult Services</w:t>
            </w:r>
          </w:p>
        </w:tc>
        <w:tc>
          <w:tcPr>
            <w:tcW w:w="4129" w:type="dxa"/>
            <w:tcBorders>
              <w:top w:val="nil"/>
              <w:left w:val="nil"/>
              <w:bottom w:val="nil"/>
              <w:right w:val="single" w:sz="4" w:space="0" w:color="auto"/>
            </w:tcBorders>
            <w:shd w:val="clear" w:color="auto" w:fill="auto"/>
            <w:vAlign w:val="center"/>
            <w:hideMark/>
          </w:tcPr>
          <w:p w14:paraId="79EFD64F"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Full application of charging policy</w:t>
            </w:r>
          </w:p>
        </w:tc>
        <w:tc>
          <w:tcPr>
            <w:tcW w:w="1567" w:type="dxa"/>
            <w:tcBorders>
              <w:top w:val="nil"/>
              <w:left w:val="nil"/>
              <w:bottom w:val="nil"/>
              <w:right w:val="single" w:sz="4" w:space="0" w:color="auto"/>
            </w:tcBorders>
            <w:shd w:val="clear" w:color="auto" w:fill="auto"/>
            <w:vAlign w:val="center"/>
            <w:hideMark/>
          </w:tcPr>
          <w:p w14:paraId="00FD9102"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-1,000,000</w:t>
            </w:r>
          </w:p>
        </w:tc>
        <w:tc>
          <w:tcPr>
            <w:tcW w:w="1418" w:type="dxa"/>
            <w:tcBorders>
              <w:top w:val="nil"/>
              <w:left w:val="nil"/>
              <w:bottom w:val="nil"/>
              <w:right w:val="single" w:sz="4" w:space="0" w:color="auto"/>
            </w:tcBorders>
            <w:shd w:val="clear" w:color="auto" w:fill="auto"/>
            <w:vAlign w:val="center"/>
            <w:hideMark/>
          </w:tcPr>
          <w:p w14:paraId="1AB0BA64"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-1,000,000</w:t>
            </w:r>
          </w:p>
        </w:tc>
        <w:tc>
          <w:tcPr>
            <w:tcW w:w="1641" w:type="dxa"/>
            <w:tcBorders>
              <w:top w:val="nil"/>
              <w:left w:val="nil"/>
              <w:bottom w:val="nil"/>
              <w:right w:val="single" w:sz="8" w:space="0" w:color="auto"/>
            </w:tcBorders>
            <w:shd w:val="clear" w:color="auto" w:fill="auto"/>
            <w:vAlign w:val="center"/>
            <w:hideMark/>
          </w:tcPr>
          <w:p w14:paraId="08EB5ECE" w14:textId="77777777" w:rsidR="008178AA" w:rsidRPr="00C52870" w:rsidRDefault="004A7A82" w:rsidP="00A614A0">
            <w:pPr>
              <w:jc w:val="right"/>
              <w:rPr>
                <w:rFonts w:asciiTheme="minorHAnsi" w:eastAsia="Times New Roman" w:hAnsiTheme="minorHAnsi" w:cstheme="minorHAnsi"/>
              </w:rPr>
            </w:pPr>
            <w:r w:rsidRPr="00C52870">
              <w:rPr>
                <w:rFonts w:asciiTheme="minorHAnsi" w:eastAsia="Times New Roman" w:hAnsiTheme="minorHAnsi" w:cstheme="minorHAnsi"/>
                <w:color w:val="FF0000"/>
              </w:rPr>
              <w:t>-1,000,000</w:t>
            </w:r>
          </w:p>
        </w:tc>
      </w:tr>
      <w:tr w:rsidR="00C92CD8" w14:paraId="57D94C22" w14:textId="77777777" w:rsidTr="00C52870">
        <w:trPr>
          <w:trHeight w:val="275"/>
        </w:trPr>
        <w:tc>
          <w:tcPr>
            <w:tcW w:w="1270" w:type="dxa"/>
            <w:tcBorders>
              <w:top w:val="single" w:sz="8" w:space="0" w:color="auto"/>
              <w:left w:val="single" w:sz="8" w:space="0" w:color="auto"/>
              <w:bottom w:val="single" w:sz="8" w:space="0" w:color="auto"/>
              <w:right w:val="single" w:sz="4" w:space="0" w:color="auto"/>
            </w:tcBorders>
            <w:shd w:val="clear" w:color="auto" w:fill="auto"/>
            <w:hideMark/>
          </w:tcPr>
          <w:p w14:paraId="5AFD9D73"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 </w:t>
            </w:r>
          </w:p>
        </w:tc>
        <w:tc>
          <w:tcPr>
            <w:tcW w:w="2539" w:type="dxa"/>
            <w:tcBorders>
              <w:top w:val="single" w:sz="8" w:space="0" w:color="auto"/>
              <w:left w:val="nil"/>
              <w:bottom w:val="single" w:sz="8" w:space="0" w:color="auto"/>
              <w:right w:val="single" w:sz="4" w:space="0" w:color="auto"/>
            </w:tcBorders>
            <w:shd w:val="clear" w:color="auto" w:fill="auto"/>
            <w:hideMark/>
          </w:tcPr>
          <w:p w14:paraId="4E8E3146"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 </w:t>
            </w:r>
          </w:p>
        </w:tc>
        <w:tc>
          <w:tcPr>
            <w:tcW w:w="1857" w:type="dxa"/>
            <w:tcBorders>
              <w:top w:val="single" w:sz="8" w:space="0" w:color="auto"/>
              <w:left w:val="nil"/>
              <w:bottom w:val="single" w:sz="8" w:space="0" w:color="auto"/>
              <w:right w:val="single" w:sz="4" w:space="0" w:color="auto"/>
            </w:tcBorders>
            <w:shd w:val="clear" w:color="auto" w:fill="auto"/>
            <w:hideMark/>
          </w:tcPr>
          <w:p w14:paraId="400524DE" w14:textId="77777777" w:rsidR="008178AA" w:rsidRPr="00C52870" w:rsidRDefault="004A7A82" w:rsidP="00A614A0">
            <w:pPr>
              <w:rPr>
                <w:rFonts w:asciiTheme="minorHAnsi" w:eastAsia="Times New Roman" w:hAnsiTheme="minorHAnsi" w:cstheme="minorHAnsi"/>
              </w:rPr>
            </w:pPr>
            <w:r w:rsidRPr="00C52870">
              <w:rPr>
                <w:rFonts w:asciiTheme="minorHAnsi" w:eastAsia="Times New Roman" w:hAnsiTheme="minorHAnsi" w:cstheme="minorHAnsi"/>
              </w:rPr>
              <w:t> </w:t>
            </w:r>
          </w:p>
        </w:tc>
        <w:tc>
          <w:tcPr>
            <w:tcW w:w="4129" w:type="dxa"/>
            <w:tcBorders>
              <w:top w:val="single" w:sz="8" w:space="0" w:color="auto"/>
              <w:left w:val="nil"/>
              <w:bottom w:val="single" w:sz="8" w:space="0" w:color="auto"/>
              <w:right w:val="single" w:sz="4" w:space="0" w:color="auto"/>
            </w:tcBorders>
            <w:shd w:val="clear" w:color="auto" w:fill="auto"/>
            <w:hideMark/>
          </w:tcPr>
          <w:p w14:paraId="20643BB5" w14:textId="77777777" w:rsidR="008178AA" w:rsidRPr="00C52870" w:rsidRDefault="004A7A82" w:rsidP="00A614A0">
            <w:pPr>
              <w:jc w:val="right"/>
              <w:rPr>
                <w:rFonts w:asciiTheme="minorHAnsi" w:eastAsia="Times New Roman" w:hAnsiTheme="minorHAnsi" w:cstheme="minorHAnsi"/>
                <w:b/>
                <w:bCs/>
              </w:rPr>
            </w:pPr>
            <w:r w:rsidRPr="00C52870">
              <w:rPr>
                <w:rFonts w:asciiTheme="minorHAnsi" w:eastAsia="Times New Roman" w:hAnsiTheme="minorHAnsi" w:cstheme="minorHAnsi"/>
                <w:b/>
                <w:bCs/>
              </w:rPr>
              <w:t>TOTAL</w:t>
            </w:r>
          </w:p>
        </w:tc>
        <w:tc>
          <w:tcPr>
            <w:tcW w:w="1567" w:type="dxa"/>
            <w:tcBorders>
              <w:top w:val="single" w:sz="8" w:space="0" w:color="auto"/>
              <w:left w:val="nil"/>
              <w:bottom w:val="single" w:sz="8" w:space="0" w:color="auto"/>
              <w:right w:val="single" w:sz="4" w:space="0" w:color="auto"/>
            </w:tcBorders>
            <w:shd w:val="clear" w:color="000000" w:fill="FFE699"/>
            <w:vAlign w:val="center"/>
            <w:hideMark/>
          </w:tcPr>
          <w:p w14:paraId="4053472D" w14:textId="1BD41D21" w:rsidR="008178AA" w:rsidRPr="00C52870" w:rsidRDefault="004A7A82" w:rsidP="00A614A0">
            <w:pPr>
              <w:jc w:val="right"/>
              <w:rPr>
                <w:rFonts w:asciiTheme="minorHAnsi" w:eastAsia="Times New Roman" w:hAnsiTheme="minorHAnsi" w:cstheme="minorHAnsi"/>
                <w:b/>
                <w:bCs/>
              </w:rPr>
            </w:pPr>
            <w:r>
              <w:rPr>
                <w:rFonts w:asciiTheme="minorHAnsi" w:eastAsia="Times New Roman" w:hAnsiTheme="minorHAnsi" w:cstheme="minorHAnsi"/>
                <w:b/>
                <w:bCs/>
                <w:color w:val="FF0000"/>
              </w:rPr>
              <w:t>-3,655</w:t>
            </w:r>
            <w:r w:rsidRPr="00C52870">
              <w:rPr>
                <w:rFonts w:asciiTheme="minorHAnsi" w:eastAsia="Times New Roman" w:hAnsiTheme="minorHAnsi" w:cstheme="minorHAnsi"/>
                <w:b/>
                <w:bCs/>
                <w:color w:val="FF0000"/>
              </w:rPr>
              <w:t>,000</w:t>
            </w:r>
          </w:p>
        </w:tc>
        <w:tc>
          <w:tcPr>
            <w:tcW w:w="1418" w:type="dxa"/>
            <w:tcBorders>
              <w:top w:val="single" w:sz="8" w:space="0" w:color="auto"/>
              <w:left w:val="nil"/>
              <w:bottom w:val="single" w:sz="8" w:space="0" w:color="auto"/>
              <w:right w:val="single" w:sz="4" w:space="0" w:color="auto"/>
            </w:tcBorders>
            <w:shd w:val="clear" w:color="000000" w:fill="FFE699"/>
            <w:vAlign w:val="center"/>
            <w:hideMark/>
          </w:tcPr>
          <w:p w14:paraId="55DE5A92" w14:textId="275AB273" w:rsidR="008178AA" w:rsidRPr="00C52870" w:rsidRDefault="004A7A82" w:rsidP="00A614A0">
            <w:pPr>
              <w:jc w:val="right"/>
              <w:rPr>
                <w:rFonts w:asciiTheme="minorHAnsi" w:eastAsia="Times New Roman" w:hAnsiTheme="minorHAnsi" w:cstheme="minorHAnsi"/>
                <w:b/>
                <w:bCs/>
              </w:rPr>
            </w:pPr>
            <w:r>
              <w:rPr>
                <w:rFonts w:asciiTheme="minorHAnsi" w:eastAsia="Times New Roman" w:hAnsiTheme="minorHAnsi" w:cstheme="minorHAnsi"/>
                <w:b/>
                <w:bCs/>
                <w:color w:val="FF0000"/>
              </w:rPr>
              <w:t>-4,603,000</w:t>
            </w:r>
          </w:p>
        </w:tc>
        <w:tc>
          <w:tcPr>
            <w:tcW w:w="1641" w:type="dxa"/>
            <w:tcBorders>
              <w:top w:val="single" w:sz="8" w:space="0" w:color="auto"/>
              <w:left w:val="nil"/>
              <w:bottom w:val="single" w:sz="8" w:space="0" w:color="auto"/>
              <w:right w:val="single" w:sz="8" w:space="0" w:color="auto"/>
            </w:tcBorders>
            <w:shd w:val="clear" w:color="000000" w:fill="FFE699"/>
            <w:vAlign w:val="center"/>
            <w:hideMark/>
          </w:tcPr>
          <w:p w14:paraId="4E4568FB" w14:textId="7998ACE4" w:rsidR="008178AA" w:rsidRPr="00C52870" w:rsidRDefault="004A7A82" w:rsidP="00A614A0">
            <w:pPr>
              <w:jc w:val="right"/>
              <w:rPr>
                <w:rFonts w:asciiTheme="minorHAnsi" w:eastAsia="Times New Roman" w:hAnsiTheme="minorHAnsi" w:cstheme="minorHAnsi"/>
                <w:b/>
                <w:bCs/>
              </w:rPr>
            </w:pPr>
            <w:r>
              <w:rPr>
                <w:rFonts w:asciiTheme="minorHAnsi" w:eastAsia="Times New Roman" w:hAnsiTheme="minorHAnsi" w:cstheme="minorHAnsi"/>
                <w:b/>
                <w:bCs/>
                <w:color w:val="FF0000"/>
              </w:rPr>
              <w:t>-13,787,000</w:t>
            </w:r>
          </w:p>
        </w:tc>
      </w:tr>
    </w:tbl>
    <w:p w14:paraId="12D65DEF" w14:textId="77777777" w:rsidR="00D7158C" w:rsidRDefault="00D7158C" w:rsidP="00320643">
      <w:pPr>
        <w:autoSpaceDE w:val="0"/>
        <w:autoSpaceDN w:val="0"/>
        <w:adjustRightInd w:val="0"/>
        <w:jc w:val="both"/>
        <w:rPr>
          <w:rFonts w:eastAsia="Calibri" w:cs="Helvetica-Light"/>
          <w:b/>
          <w:bCs/>
          <w:color w:val="000000"/>
          <w:u w:val="single"/>
        </w:rPr>
      </w:pPr>
    </w:p>
    <w:p w14:paraId="3CBF662C" w14:textId="77777777" w:rsidR="008178AA" w:rsidRDefault="008178AA" w:rsidP="00320643">
      <w:pPr>
        <w:autoSpaceDE w:val="0"/>
        <w:autoSpaceDN w:val="0"/>
        <w:adjustRightInd w:val="0"/>
        <w:jc w:val="both"/>
        <w:rPr>
          <w:rFonts w:eastAsia="Calibri" w:cs="Helvetica-Light"/>
          <w:b/>
          <w:bCs/>
          <w:color w:val="000000"/>
          <w:u w:val="single"/>
        </w:rPr>
      </w:pPr>
    </w:p>
    <w:p w14:paraId="6C8C6ADC" w14:textId="77777777" w:rsidR="008178AA" w:rsidRDefault="008178AA" w:rsidP="00320643">
      <w:pPr>
        <w:autoSpaceDE w:val="0"/>
        <w:autoSpaceDN w:val="0"/>
        <w:adjustRightInd w:val="0"/>
        <w:jc w:val="both"/>
        <w:rPr>
          <w:rFonts w:eastAsia="Calibri" w:cs="Helvetica-Light"/>
          <w:b/>
          <w:bCs/>
          <w:color w:val="000000"/>
          <w:u w:val="single"/>
        </w:rPr>
      </w:pPr>
    </w:p>
    <w:p w14:paraId="456F8DE5" w14:textId="77777777" w:rsidR="008178AA" w:rsidRDefault="008178AA" w:rsidP="00320643">
      <w:pPr>
        <w:autoSpaceDE w:val="0"/>
        <w:autoSpaceDN w:val="0"/>
        <w:adjustRightInd w:val="0"/>
        <w:jc w:val="both"/>
        <w:rPr>
          <w:rFonts w:eastAsia="Calibri" w:cs="Helvetica-Light"/>
          <w:b/>
          <w:bCs/>
          <w:color w:val="000000"/>
          <w:u w:val="single"/>
        </w:rPr>
      </w:pPr>
    </w:p>
    <w:p w14:paraId="0B811844" w14:textId="77777777" w:rsidR="008178AA" w:rsidRDefault="008178AA" w:rsidP="00320643">
      <w:pPr>
        <w:autoSpaceDE w:val="0"/>
        <w:autoSpaceDN w:val="0"/>
        <w:adjustRightInd w:val="0"/>
        <w:jc w:val="both"/>
        <w:rPr>
          <w:rFonts w:eastAsia="Calibri" w:cs="Helvetica-Light"/>
          <w:b/>
          <w:bCs/>
          <w:color w:val="000000"/>
          <w:u w:val="single"/>
        </w:rPr>
      </w:pPr>
    </w:p>
    <w:p w14:paraId="1913AE15" w14:textId="77777777" w:rsidR="008178AA" w:rsidRDefault="008178AA" w:rsidP="00320643">
      <w:pPr>
        <w:autoSpaceDE w:val="0"/>
        <w:autoSpaceDN w:val="0"/>
        <w:adjustRightInd w:val="0"/>
        <w:jc w:val="both"/>
        <w:rPr>
          <w:rFonts w:eastAsia="Calibri" w:cs="Helvetica-Light"/>
          <w:b/>
          <w:bCs/>
          <w:color w:val="000000"/>
          <w:u w:val="single"/>
        </w:rPr>
      </w:pPr>
    </w:p>
    <w:p w14:paraId="54AA4834" w14:textId="77777777" w:rsidR="008178AA" w:rsidRDefault="008178AA" w:rsidP="00320643">
      <w:pPr>
        <w:autoSpaceDE w:val="0"/>
        <w:autoSpaceDN w:val="0"/>
        <w:adjustRightInd w:val="0"/>
        <w:jc w:val="both"/>
        <w:rPr>
          <w:rFonts w:eastAsia="Calibri" w:cs="Helvetica-Light"/>
          <w:b/>
          <w:bCs/>
          <w:color w:val="000000"/>
          <w:u w:val="single"/>
        </w:rPr>
      </w:pPr>
    </w:p>
    <w:p w14:paraId="6B81AC1A" w14:textId="77777777" w:rsidR="008178AA" w:rsidRDefault="008178AA" w:rsidP="00320643">
      <w:pPr>
        <w:autoSpaceDE w:val="0"/>
        <w:autoSpaceDN w:val="0"/>
        <w:adjustRightInd w:val="0"/>
        <w:jc w:val="both"/>
        <w:rPr>
          <w:rFonts w:eastAsia="Calibri" w:cs="Helvetica-Light"/>
          <w:b/>
          <w:bCs/>
          <w:color w:val="000000"/>
          <w:u w:val="single"/>
        </w:rPr>
      </w:pPr>
    </w:p>
    <w:p w14:paraId="69AE7F16" w14:textId="77777777" w:rsidR="008178AA" w:rsidRDefault="008178AA" w:rsidP="00320643">
      <w:pPr>
        <w:autoSpaceDE w:val="0"/>
        <w:autoSpaceDN w:val="0"/>
        <w:adjustRightInd w:val="0"/>
        <w:jc w:val="both"/>
        <w:rPr>
          <w:rFonts w:eastAsia="Calibri" w:cs="Helvetica-Light"/>
          <w:b/>
          <w:bCs/>
          <w:color w:val="000000"/>
          <w:u w:val="single"/>
        </w:rPr>
      </w:pPr>
    </w:p>
    <w:p w14:paraId="671E6497" w14:textId="77777777" w:rsidR="008178AA" w:rsidRDefault="008178AA" w:rsidP="00320643">
      <w:pPr>
        <w:autoSpaceDE w:val="0"/>
        <w:autoSpaceDN w:val="0"/>
        <w:adjustRightInd w:val="0"/>
        <w:jc w:val="both"/>
        <w:rPr>
          <w:rFonts w:eastAsia="Calibri" w:cs="Helvetica-Light"/>
          <w:b/>
          <w:bCs/>
          <w:color w:val="000000"/>
          <w:u w:val="single"/>
        </w:rPr>
      </w:pPr>
    </w:p>
    <w:p w14:paraId="3DFCB2A8" w14:textId="77777777" w:rsidR="008178AA" w:rsidRDefault="008178AA" w:rsidP="00320643">
      <w:pPr>
        <w:autoSpaceDE w:val="0"/>
        <w:autoSpaceDN w:val="0"/>
        <w:adjustRightInd w:val="0"/>
        <w:jc w:val="both"/>
        <w:rPr>
          <w:rFonts w:eastAsia="Calibri" w:cs="Helvetica-Light"/>
          <w:b/>
          <w:bCs/>
          <w:color w:val="000000"/>
          <w:u w:val="single"/>
        </w:rPr>
      </w:pPr>
    </w:p>
    <w:p w14:paraId="5EB9B1AB" w14:textId="77777777" w:rsidR="008178AA" w:rsidRDefault="008178AA" w:rsidP="00320643">
      <w:pPr>
        <w:autoSpaceDE w:val="0"/>
        <w:autoSpaceDN w:val="0"/>
        <w:adjustRightInd w:val="0"/>
        <w:jc w:val="both"/>
        <w:rPr>
          <w:rFonts w:eastAsia="Calibri" w:cs="Helvetica-Light"/>
          <w:b/>
          <w:bCs/>
          <w:color w:val="000000"/>
          <w:u w:val="single"/>
        </w:rPr>
        <w:sectPr w:rsidR="008178AA" w:rsidSect="00724CCB">
          <w:pgSz w:w="16838" w:h="11906" w:orient="landscape" w:code="9"/>
          <w:pgMar w:top="1418" w:right="1418" w:bottom="1418" w:left="1418" w:header="454" w:footer="689" w:gutter="0"/>
          <w:cols w:space="708"/>
          <w:docGrid w:linePitch="360"/>
        </w:sectPr>
      </w:pPr>
    </w:p>
    <w:p w14:paraId="235B67B7" w14:textId="1C72E44B" w:rsidR="008178AA" w:rsidRDefault="004A7A82" w:rsidP="00320643">
      <w:pPr>
        <w:autoSpaceDE w:val="0"/>
        <w:autoSpaceDN w:val="0"/>
        <w:adjustRightInd w:val="0"/>
        <w:jc w:val="both"/>
        <w:rPr>
          <w:rFonts w:eastAsia="Calibri" w:cs="Helvetica-Light"/>
          <w:b/>
          <w:bCs/>
          <w:color w:val="000000"/>
          <w:u w:val="single"/>
        </w:rPr>
      </w:pPr>
      <w:r>
        <w:rPr>
          <w:rFonts w:eastAsia="Calibri" w:cs="Helvetica-Light"/>
          <w:b/>
          <w:bCs/>
          <w:color w:val="000000"/>
          <w:u w:val="single"/>
        </w:rPr>
        <w:lastRenderedPageBreak/>
        <w:t xml:space="preserve">Annex </w:t>
      </w:r>
      <w:r w:rsidR="00AB423D">
        <w:rPr>
          <w:rFonts w:eastAsia="Calibri" w:cs="Helvetica-Light"/>
          <w:b/>
          <w:bCs/>
          <w:color w:val="000000"/>
          <w:u w:val="single"/>
        </w:rPr>
        <w:t>D</w:t>
      </w:r>
    </w:p>
    <w:p w14:paraId="7B4B6A00" w14:textId="77777777" w:rsidR="007832F6" w:rsidRDefault="007832F6" w:rsidP="00320643">
      <w:pPr>
        <w:autoSpaceDE w:val="0"/>
        <w:autoSpaceDN w:val="0"/>
        <w:adjustRightInd w:val="0"/>
        <w:jc w:val="both"/>
        <w:rPr>
          <w:rFonts w:eastAsia="Calibri" w:cs="Helvetica-Light"/>
          <w:b/>
          <w:bCs/>
          <w:color w:val="000000"/>
          <w:u w:val="single"/>
        </w:rPr>
      </w:pPr>
    </w:p>
    <w:p w14:paraId="318C2138" w14:textId="77777777" w:rsidR="007832F6" w:rsidRPr="007832F6" w:rsidRDefault="004A7A82" w:rsidP="007832F6">
      <w:pPr>
        <w:pStyle w:val="NumberedParaCharCharChar1CharCharCharChar"/>
        <w:numPr>
          <w:ilvl w:val="0"/>
          <w:numId w:val="0"/>
        </w:numPr>
        <w:spacing w:before="0" w:after="0"/>
        <w:jc w:val="left"/>
        <w:rPr>
          <w:b/>
        </w:rPr>
      </w:pPr>
      <w:r w:rsidRPr="007832F6">
        <w:rPr>
          <w:b/>
        </w:rPr>
        <w:t>REPORT OF THE CHIEF FINANCIAL OFFICER ON THE ROBUSTNESS OF THE</w:t>
      </w:r>
    </w:p>
    <w:p w14:paraId="67E33F14" w14:textId="77777777" w:rsidR="007832F6" w:rsidRPr="007832F6" w:rsidRDefault="004A7A82" w:rsidP="007832F6">
      <w:pPr>
        <w:pStyle w:val="NumberedParaCharCharChar1CharCharCharChar"/>
        <w:numPr>
          <w:ilvl w:val="0"/>
          <w:numId w:val="0"/>
        </w:numPr>
        <w:spacing w:before="0" w:after="0"/>
        <w:rPr>
          <w:b/>
        </w:rPr>
      </w:pPr>
      <w:r w:rsidRPr="007832F6">
        <w:rPr>
          <w:b/>
        </w:rPr>
        <w:t>2024-25 BUDGET ESTIMATES AND THE ADEQUACY OF RESERVES</w:t>
      </w:r>
    </w:p>
    <w:p w14:paraId="13F7C506" w14:textId="77777777" w:rsidR="007832F6" w:rsidRPr="007832F6" w:rsidRDefault="007832F6" w:rsidP="007832F6">
      <w:pPr>
        <w:jc w:val="both"/>
      </w:pPr>
    </w:p>
    <w:p w14:paraId="234E3A18" w14:textId="77777777" w:rsidR="007832F6" w:rsidRPr="007832F6" w:rsidRDefault="004A7A82" w:rsidP="007832F6">
      <w:pPr>
        <w:jc w:val="both"/>
      </w:pPr>
      <w:r w:rsidRPr="007832F6">
        <w:rPr>
          <w:b/>
        </w:rPr>
        <w:t>LOCAL GOVERNMENT ACT 2003 – SECTION 25</w:t>
      </w:r>
    </w:p>
    <w:p w14:paraId="0B176611" w14:textId="77777777" w:rsidR="007832F6" w:rsidRPr="007832F6" w:rsidRDefault="007832F6" w:rsidP="007832F6">
      <w:pPr>
        <w:jc w:val="both"/>
        <w:rPr>
          <w:b/>
          <w:highlight w:val="yellow"/>
        </w:rPr>
      </w:pPr>
    </w:p>
    <w:p w14:paraId="1BB34842" w14:textId="77777777" w:rsidR="007832F6" w:rsidRPr="007832F6" w:rsidRDefault="004A7A82" w:rsidP="007832F6">
      <w:pPr>
        <w:jc w:val="both"/>
        <w:rPr>
          <w:b/>
        </w:rPr>
      </w:pPr>
      <w:r w:rsidRPr="007832F6">
        <w:rPr>
          <w:b/>
        </w:rPr>
        <w:t>Introduction</w:t>
      </w:r>
    </w:p>
    <w:p w14:paraId="47E7DAA7" w14:textId="77777777" w:rsidR="007832F6" w:rsidRPr="007832F6" w:rsidRDefault="007832F6" w:rsidP="007832F6">
      <w:pPr>
        <w:autoSpaceDE w:val="0"/>
        <w:autoSpaceDN w:val="0"/>
        <w:adjustRightInd w:val="0"/>
        <w:jc w:val="both"/>
        <w:rPr>
          <w:rFonts w:cs="Arial"/>
        </w:rPr>
      </w:pPr>
    </w:p>
    <w:p w14:paraId="24BC07DF" w14:textId="43B40F9A" w:rsidR="007832F6" w:rsidRPr="007832F6" w:rsidRDefault="004A7A82" w:rsidP="007832F6">
      <w:pPr>
        <w:autoSpaceDE w:val="0"/>
        <w:autoSpaceDN w:val="0"/>
        <w:adjustRightInd w:val="0"/>
        <w:jc w:val="both"/>
        <w:rPr>
          <w:rFonts w:cs="Arial"/>
        </w:rPr>
      </w:pPr>
      <w:r w:rsidRPr="007832F6">
        <w:rPr>
          <w:rFonts w:cs="Arial"/>
        </w:rPr>
        <w:t xml:space="preserve">Section 25 of the Local Government Act 2003 requires that, in </w:t>
      </w:r>
      <w:proofErr w:type="gramStart"/>
      <w:r w:rsidRPr="007832F6">
        <w:rPr>
          <w:rFonts w:cs="Arial"/>
        </w:rPr>
        <w:t>giving consideration to</w:t>
      </w:r>
      <w:proofErr w:type="gramEnd"/>
      <w:r w:rsidRPr="007832F6">
        <w:rPr>
          <w:rFonts w:cs="Arial"/>
        </w:rPr>
        <w:t xml:space="preserve"> budget proposals, Members must have regard to the advice of the </w:t>
      </w:r>
      <w:r w:rsidR="00553CE5">
        <w:rPr>
          <w:rFonts w:cs="Arial"/>
        </w:rPr>
        <w:t>C</w:t>
      </w:r>
      <w:r w:rsidRPr="007832F6">
        <w:rPr>
          <w:rFonts w:cs="Arial"/>
        </w:rPr>
        <w:t xml:space="preserve">ouncil's Chief Finance Officer, currently the Executive Director of Resources, on the robustness of estimates and the adequacy of the </w:t>
      </w:r>
      <w:r w:rsidR="001A22E0">
        <w:rPr>
          <w:rFonts w:cs="Arial"/>
        </w:rPr>
        <w:t>C</w:t>
      </w:r>
      <w:r w:rsidRPr="007832F6">
        <w:rPr>
          <w:rFonts w:cs="Arial"/>
        </w:rPr>
        <w:t xml:space="preserve">ouncil's reserves. </w:t>
      </w:r>
    </w:p>
    <w:p w14:paraId="5C86A943" w14:textId="77777777" w:rsidR="007832F6" w:rsidRPr="007832F6" w:rsidRDefault="007832F6" w:rsidP="007832F6">
      <w:pPr>
        <w:jc w:val="both"/>
      </w:pPr>
    </w:p>
    <w:p w14:paraId="35185279" w14:textId="4789E7F8" w:rsidR="007832F6" w:rsidRPr="007832F6" w:rsidRDefault="004A7A82" w:rsidP="007832F6">
      <w:pPr>
        <w:jc w:val="both"/>
      </w:pPr>
      <w:r w:rsidRPr="007832F6">
        <w:t xml:space="preserve">This report has been prepared in accordance with those statutory requirements </w:t>
      </w:r>
      <w:r w:rsidR="00AA5110" w:rsidRPr="007832F6">
        <w:t>and covers</w:t>
      </w:r>
      <w:r w:rsidRPr="007832F6">
        <w:t xml:space="preserve"> the following two specific areas:</w:t>
      </w:r>
    </w:p>
    <w:p w14:paraId="0120AB5A" w14:textId="77777777" w:rsidR="007832F6" w:rsidRPr="007832F6" w:rsidRDefault="007832F6" w:rsidP="007832F6">
      <w:pPr>
        <w:jc w:val="both"/>
      </w:pPr>
    </w:p>
    <w:p w14:paraId="5D5A426F" w14:textId="77777777" w:rsidR="007832F6" w:rsidRPr="007832F6" w:rsidRDefault="004A7A82" w:rsidP="005838A0">
      <w:pPr>
        <w:pStyle w:val="ListParagraph"/>
        <w:numPr>
          <w:ilvl w:val="0"/>
          <w:numId w:val="14"/>
        </w:numPr>
        <w:contextualSpacing w:val="0"/>
        <w:jc w:val="both"/>
      </w:pPr>
      <w:r w:rsidRPr="007832F6">
        <w:t>Robustness of Budget estimates</w:t>
      </w:r>
    </w:p>
    <w:p w14:paraId="6AB372A4" w14:textId="77777777" w:rsidR="007832F6" w:rsidRPr="007832F6" w:rsidRDefault="004A7A82" w:rsidP="005838A0">
      <w:pPr>
        <w:pStyle w:val="ListParagraph"/>
        <w:numPr>
          <w:ilvl w:val="0"/>
          <w:numId w:val="14"/>
        </w:numPr>
        <w:contextualSpacing w:val="0"/>
        <w:jc w:val="both"/>
      </w:pPr>
      <w:r w:rsidRPr="007832F6">
        <w:t>Adequacy of Reserves</w:t>
      </w:r>
    </w:p>
    <w:p w14:paraId="0141EC7A" w14:textId="77777777" w:rsidR="007832F6" w:rsidRPr="007832F6" w:rsidRDefault="007832F6" w:rsidP="007832F6">
      <w:pPr>
        <w:jc w:val="both"/>
      </w:pPr>
    </w:p>
    <w:p w14:paraId="5919B133" w14:textId="157F8932" w:rsidR="007832F6" w:rsidRPr="007832F6" w:rsidRDefault="004A7A82" w:rsidP="007832F6">
      <w:pPr>
        <w:jc w:val="both"/>
      </w:pPr>
      <w:r w:rsidRPr="007832F6">
        <w:t xml:space="preserve">Both are important in their own right as the first gives consideration to any risks contained with the estimates of the budget being approved and the reserves element ensures consideration is being given to the </w:t>
      </w:r>
      <w:proofErr w:type="gramStart"/>
      <w:r w:rsidRPr="007832F6">
        <w:t>longer term</w:t>
      </w:r>
      <w:proofErr w:type="gramEnd"/>
      <w:r w:rsidRPr="007832F6">
        <w:t xml:space="preserve"> financial health of the </w:t>
      </w:r>
      <w:r w:rsidR="001A22E0">
        <w:t>C</w:t>
      </w:r>
      <w:r w:rsidRPr="007832F6">
        <w:t>ouncil.</w:t>
      </w:r>
    </w:p>
    <w:p w14:paraId="7CB71D21" w14:textId="77777777" w:rsidR="007832F6" w:rsidRPr="007832F6" w:rsidRDefault="007832F6" w:rsidP="007832F6">
      <w:pPr>
        <w:jc w:val="both"/>
      </w:pPr>
    </w:p>
    <w:p w14:paraId="17E56CF5" w14:textId="77777777" w:rsidR="007832F6" w:rsidRPr="007832F6" w:rsidRDefault="004A7A82" w:rsidP="007832F6">
      <w:pPr>
        <w:jc w:val="both"/>
        <w:rPr>
          <w:b/>
        </w:rPr>
      </w:pPr>
      <w:r w:rsidRPr="007832F6">
        <w:rPr>
          <w:b/>
        </w:rPr>
        <w:t>Robustness of Budget Estimates</w:t>
      </w:r>
    </w:p>
    <w:p w14:paraId="0B44BBFF" w14:textId="77777777" w:rsidR="007832F6" w:rsidRPr="007832F6" w:rsidRDefault="007832F6" w:rsidP="007832F6">
      <w:pPr>
        <w:jc w:val="both"/>
      </w:pPr>
    </w:p>
    <w:p w14:paraId="66ECCEEC" w14:textId="60415488" w:rsidR="007832F6" w:rsidRPr="007832F6" w:rsidRDefault="004A7A82" w:rsidP="007832F6">
      <w:pPr>
        <w:autoSpaceDE w:val="0"/>
        <w:autoSpaceDN w:val="0"/>
        <w:adjustRightInd w:val="0"/>
        <w:jc w:val="both"/>
        <w:rPr>
          <w:rFonts w:cs="Arial"/>
        </w:rPr>
      </w:pPr>
      <w:r w:rsidRPr="007832F6">
        <w:rPr>
          <w:rFonts w:cs="Arial"/>
        </w:rPr>
        <w:t>This section will deal with two specific areas:</w:t>
      </w:r>
    </w:p>
    <w:p w14:paraId="25CB10CC" w14:textId="77777777" w:rsidR="007832F6" w:rsidRPr="007832F6" w:rsidRDefault="007832F6" w:rsidP="007832F6">
      <w:pPr>
        <w:autoSpaceDE w:val="0"/>
        <w:autoSpaceDN w:val="0"/>
        <w:adjustRightInd w:val="0"/>
        <w:jc w:val="both"/>
        <w:rPr>
          <w:rFonts w:cs="Arial"/>
        </w:rPr>
      </w:pPr>
    </w:p>
    <w:p w14:paraId="7A502C83" w14:textId="77777777" w:rsidR="007832F6" w:rsidRDefault="004A7A82" w:rsidP="005838A0">
      <w:pPr>
        <w:pStyle w:val="ListParagraph"/>
        <w:numPr>
          <w:ilvl w:val="0"/>
          <w:numId w:val="15"/>
        </w:numPr>
        <w:autoSpaceDE w:val="0"/>
        <w:autoSpaceDN w:val="0"/>
        <w:adjustRightInd w:val="0"/>
        <w:contextualSpacing w:val="0"/>
        <w:jc w:val="both"/>
        <w:rPr>
          <w:rFonts w:cs="Arial"/>
        </w:rPr>
      </w:pPr>
      <w:r w:rsidRPr="007832F6">
        <w:rPr>
          <w:rFonts w:cs="Arial"/>
        </w:rPr>
        <w:t>The process by which the estimates were produced (to provide assurance to members)</w:t>
      </w:r>
    </w:p>
    <w:p w14:paraId="633337C6" w14:textId="77777777" w:rsidR="00C34754" w:rsidRPr="007832F6" w:rsidRDefault="00C34754" w:rsidP="00C34754">
      <w:pPr>
        <w:pStyle w:val="ListParagraph"/>
        <w:autoSpaceDE w:val="0"/>
        <w:autoSpaceDN w:val="0"/>
        <w:adjustRightInd w:val="0"/>
        <w:contextualSpacing w:val="0"/>
        <w:jc w:val="both"/>
        <w:rPr>
          <w:rFonts w:cs="Arial"/>
        </w:rPr>
      </w:pPr>
    </w:p>
    <w:p w14:paraId="70C88596" w14:textId="77777777" w:rsidR="007832F6" w:rsidRPr="007832F6" w:rsidRDefault="004A7A82" w:rsidP="005838A0">
      <w:pPr>
        <w:pStyle w:val="ListParagraph"/>
        <w:numPr>
          <w:ilvl w:val="0"/>
          <w:numId w:val="15"/>
        </w:numPr>
        <w:autoSpaceDE w:val="0"/>
        <w:autoSpaceDN w:val="0"/>
        <w:adjustRightInd w:val="0"/>
        <w:contextualSpacing w:val="0"/>
        <w:jc w:val="both"/>
        <w:rPr>
          <w:rFonts w:cs="Arial"/>
        </w:rPr>
      </w:pPr>
      <w:r w:rsidRPr="007832F6">
        <w:rPr>
          <w:rFonts w:cs="Arial"/>
        </w:rPr>
        <w:t xml:space="preserve">Potential risks to these estimates and the underlying assumptions </w:t>
      </w:r>
    </w:p>
    <w:p w14:paraId="57B9D030" w14:textId="77777777" w:rsidR="007832F6" w:rsidRPr="007832F6" w:rsidRDefault="007832F6" w:rsidP="007832F6">
      <w:pPr>
        <w:autoSpaceDE w:val="0"/>
        <w:autoSpaceDN w:val="0"/>
        <w:adjustRightInd w:val="0"/>
        <w:jc w:val="both"/>
        <w:rPr>
          <w:rFonts w:cs="Arial"/>
          <w:b/>
          <w:bCs/>
        </w:rPr>
      </w:pPr>
    </w:p>
    <w:p w14:paraId="0E74B5A8" w14:textId="77777777" w:rsidR="007832F6" w:rsidRPr="007832F6" w:rsidRDefault="004A7A82" w:rsidP="007832F6">
      <w:pPr>
        <w:autoSpaceDE w:val="0"/>
        <w:autoSpaceDN w:val="0"/>
        <w:adjustRightInd w:val="0"/>
        <w:jc w:val="both"/>
        <w:rPr>
          <w:rFonts w:cs="Arial"/>
          <w:b/>
          <w:bCs/>
        </w:rPr>
      </w:pPr>
      <w:r w:rsidRPr="007832F6">
        <w:rPr>
          <w:rFonts w:cs="Arial"/>
          <w:b/>
          <w:bCs/>
        </w:rPr>
        <w:t>Process</w:t>
      </w:r>
    </w:p>
    <w:p w14:paraId="2E6996F2" w14:textId="77777777" w:rsidR="007832F6" w:rsidRPr="007832F6" w:rsidRDefault="007832F6" w:rsidP="007832F6">
      <w:pPr>
        <w:autoSpaceDE w:val="0"/>
        <w:autoSpaceDN w:val="0"/>
        <w:adjustRightInd w:val="0"/>
        <w:jc w:val="both"/>
        <w:rPr>
          <w:rFonts w:cs="Arial"/>
        </w:rPr>
      </w:pPr>
    </w:p>
    <w:p w14:paraId="23D07C23" w14:textId="21CC03B8" w:rsidR="007832F6" w:rsidRPr="007832F6" w:rsidRDefault="004A7A82" w:rsidP="007832F6">
      <w:pPr>
        <w:autoSpaceDE w:val="0"/>
        <w:autoSpaceDN w:val="0"/>
        <w:adjustRightInd w:val="0"/>
        <w:jc w:val="both"/>
        <w:rPr>
          <w:rFonts w:cs="Arial"/>
        </w:rPr>
      </w:pPr>
      <w:r w:rsidRPr="007832F6">
        <w:rPr>
          <w:rFonts w:cs="Arial"/>
        </w:rPr>
        <w:t>The estimates contained within the budget have been through a rigorous process which includes</w:t>
      </w:r>
      <w:r w:rsidR="00B569A9">
        <w:rPr>
          <w:rFonts w:cs="Arial"/>
        </w:rPr>
        <w:t>:</w:t>
      </w:r>
    </w:p>
    <w:p w14:paraId="1037035D" w14:textId="77777777" w:rsidR="007832F6" w:rsidRPr="007832F6" w:rsidRDefault="007832F6" w:rsidP="007832F6">
      <w:pPr>
        <w:autoSpaceDE w:val="0"/>
        <w:autoSpaceDN w:val="0"/>
        <w:adjustRightInd w:val="0"/>
        <w:jc w:val="both"/>
        <w:rPr>
          <w:rFonts w:cs="Arial"/>
        </w:rPr>
      </w:pPr>
    </w:p>
    <w:p w14:paraId="2988C68D" w14:textId="2AB764D0" w:rsidR="007832F6" w:rsidRPr="007832F6" w:rsidRDefault="004A7A82" w:rsidP="005838A0">
      <w:pPr>
        <w:pStyle w:val="ListParagraph"/>
        <w:numPr>
          <w:ilvl w:val="0"/>
          <w:numId w:val="16"/>
        </w:numPr>
        <w:autoSpaceDE w:val="0"/>
        <w:autoSpaceDN w:val="0"/>
        <w:adjustRightInd w:val="0"/>
        <w:contextualSpacing w:val="0"/>
        <w:jc w:val="both"/>
        <w:rPr>
          <w:rFonts w:cs="Arial"/>
        </w:rPr>
      </w:pPr>
      <w:r w:rsidRPr="007832F6">
        <w:rPr>
          <w:rFonts w:cs="Arial"/>
        </w:rPr>
        <w:t>Identification of assumptions (on macros issues) using comparison with peer authorities and using external experts to provide advice</w:t>
      </w:r>
      <w:r w:rsidR="00B569A9">
        <w:rPr>
          <w:rFonts w:cs="Arial"/>
        </w:rPr>
        <w:t>.</w:t>
      </w:r>
    </w:p>
    <w:p w14:paraId="7F35D8CC" w14:textId="2FA4534A" w:rsidR="007832F6" w:rsidRPr="007832F6" w:rsidRDefault="004A7A82" w:rsidP="005838A0">
      <w:pPr>
        <w:pStyle w:val="ListParagraph"/>
        <w:numPr>
          <w:ilvl w:val="0"/>
          <w:numId w:val="16"/>
        </w:numPr>
        <w:autoSpaceDE w:val="0"/>
        <w:autoSpaceDN w:val="0"/>
        <w:adjustRightInd w:val="0"/>
        <w:contextualSpacing w:val="0"/>
        <w:jc w:val="both"/>
        <w:rPr>
          <w:rFonts w:cs="Arial"/>
        </w:rPr>
      </w:pPr>
      <w:r w:rsidRPr="007832F6">
        <w:rPr>
          <w:rFonts w:cs="Arial"/>
        </w:rPr>
        <w:t xml:space="preserve">Estimates for demand for council services have been built up using local service knowledge within the </w:t>
      </w:r>
      <w:r w:rsidR="001A22E0">
        <w:rPr>
          <w:rFonts w:cs="Arial"/>
        </w:rPr>
        <w:t>C</w:t>
      </w:r>
      <w:r w:rsidRPr="007832F6">
        <w:rPr>
          <w:rFonts w:cs="Arial"/>
        </w:rPr>
        <w:t>ouncil</w:t>
      </w:r>
      <w:r w:rsidR="00B569A9">
        <w:rPr>
          <w:rFonts w:cs="Arial"/>
        </w:rPr>
        <w:t>.</w:t>
      </w:r>
    </w:p>
    <w:p w14:paraId="4FCB188C" w14:textId="0D61B954" w:rsidR="007832F6" w:rsidRPr="007832F6" w:rsidRDefault="004A7A82" w:rsidP="005838A0">
      <w:pPr>
        <w:pStyle w:val="ListParagraph"/>
        <w:numPr>
          <w:ilvl w:val="0"/>
          <w:numId w:val="16"/>
        </w:numPr>
        <w:autoSpaceDE w:val="0"/>
        <w:autoSpaceDN w:val="0"/>
        <w:adjustRightInd w:val="0"/>
        <w:contextualSpacing w:val="0"/>
        <w:jc w:val="both"/>
        <w:rPr>
          <w:rFonts w:cs="Arial"/>
        </w:rPr>
      </w:pPr>
      <w:r w:rsidRPr="007832F6">
        <w:rPr>
          <w:rFonts w:cs="Arial"/>
        </w:rPr>
        <w:t>The estimates have been produced and owned by the directorates that will be managing the budgets</w:t>
      </w:r>
      <w:r w:rsidR="00B569A9">
        <w:rPr>
          <w:rFonts w:cs="Arial"/>
        </w:rPr>
        <w:t>.</w:t>
      </w:r>
    </w:p>
    <w:p w14:paraId="3D79983D" w14:textId="3A0F54D5" w:rsidR="007832F6" w:rsidRPr="007832F6" w:rsidRDefault="004A7A82" w:rsidP="005838A0">
      <w:pPr>
        <w:pStyle w:val="ListParagraph"/>
        <w:numPr>
          <w:ilvl w:val="0"/>
          <w:numId w:val="16"/>
        </w:numPr>
        <w:autoSpaceDE w:val="0"/>
        <w:autoSpaceDN w:val="0"/>
        <w:adjustRightInd w:val="0"/>
        <w:contextualSpacing w:val="0"/>
        <w:jc w:val="both"/>
        <w:rPr>
          <w:rFonts w:cs="Arial"/>
        </w:rPr>
      </w:pPr>
      <w:r w:rsidRPr="007832F6">
        <w:rPr>
          <w:rFonts w:cs="Arial"/>
        </w:rPr>
        <w:t xml:space="preserve">The budget package has been reviewed and signed off by the </w:t>
      </w:r>
      <w:r w:rsidR="001A22E0">
        <w:rPr>
          <w:rFonts w:cs="Arial"/>
        </w:rPr>
        <w:t>C</w:t>
      </w:r>
      <w:r w:rsidRPr="007832F6">
        <w:rPr>
          <w:rFonts w:cs="Arial"/>
        </w:rPr>
        <w:t>ouncil</w:t>
      </w:r>
      <w:r w:rsidR="001A22E0">
        <w:rPr>
          <w:rFonts w:cs="Arial"/>
        </w:rPr>
        <w:t>'</w:t>
      </w:r>
      <w:r w:rsidRPr="007832F6">
        <w:rPr>
          <w:rFonts w:cs="Arial"/>
        </w:rPr>
        <w:t>s leadership team</w:t>
      </w:r>
      <w:r w:rsidR="00B569A9">
        <w:rPr>
          <w:rFonts w:cs="Arial"/>
        </w:rPr>
        <w:t>.</w:t>
      </w:r>
    </w:p>
    <w:p w14:paraId="260CDF95" w14:textId="77777777" w:rsidR="007832F6" w:rsidRPr="007832F6" w:rsidRDefault="007832F6" w:rsidP="007832F6">
      <w:pPr>
        <w:autoSpaceDE w:val="0"/>
        <w:autoSpaceDN w:val="0"/>
        <w:adjustRightInd w:val="0"/>
        <w:jc w:val="both"/>
        <w:rPr>
          <w:rFonts w:cs="Arial"/>
        </w:rPr>
      </w:pPr>
    </w:p>
    <w:p w14:paraId="56EA1265" w14:textId="50C5243B" w:rsidR="007832F6" w:rsidRPr="007832F6" w:rsidRDefault="004A7A82" w:rsidP="007832F6">
      <w:pPr>
        <w:autoSpaceDE w:val="0"/>
        <w:autoSpaceDN w:val="0"/>
        <w:adjustRightInd w:val="0"/>
        <w:jc w:val="both"/>
        <w:rPr>
          <w:rFonts w:cs="Arial"/>
        </w:rPr>
      </w:pPr>
      <w:r w:rsidRPr="007832F6">
        <w:rPr>
          <w:rFonts w:cs="Arial"/>
        </w:rPr>
        <w:t>In developing these estimates careful consideration has been given to:</w:t>
      </w:r>
    </w:p>
    <w:p w14:paraId="6CD0A087" w14:textId="77777777" w:rsidR="007832F6" w:rsidRPr="007832F6" w:rsidRDefault="007832F6" w:rsidP="007832F6">
      <w:pPr>
        <w:autoSpaceDE w:val="0"/>
        <w:autoSpaceDN w:val="0"/>
        <w:adjustRightInd w:val="0"/>
        <w:jc w:val="both"/>
        <w:rPr>
          <w:rFonts w:cs="Arial"/>
        </w:rPr>
      </w:pPr>
    </w:p>
    <w:p w14:paraId="1AAB5434" w14:textId="5F9C082F" w:rsidR="007832F6" w:rsidRPr="007832F6" w:rsidRDefault="004A7A82" w:rsidP="005838A0">
      <w:pPr>
        <w:pStyle w:val="ListParagraph"/>
        <w:numPr>
          <w:ilvl w:val="0"/>
          <w:numId w:val="17"/>
        </w:numPr>
        <w:autoSpaceDE w:val="0"/>
        <w:autoSpaceDN w:val="0"/>
        <w:adjustRightInd w:val="0"/>
        <w:contextualSpacing w:val="0"/>
        <w:jc w:val="both"/>
        <w:rPr>
          <w:rFonts w:cs="Arial"/>
        </w:rPr>
      </w:pPr>
      <w:r w:rsidRPr="007832F6">
        <w:rPr>
          <w:rFonts w:cs="Arial"/>
        </w:rPr>
        <w:t>The uncertainty over future funding for Local Government</w:t>
      </w:r>
      <w:r w:rsidR="00BF575A">
        <w:rPr>
          <w:rFonts w:cs="Arial"/>
        </w:rPr>
        <w:t>.</w:t>
      </w:r>
    </w:p>
    <w:p w14:paraId="39CA1DCA" w14:textId="62BB3BA6" w:rsidR="007832F6" w:rsidRPr="007832F6" w:rsidRDefault="004A7A82" w:rsidP="005838A0">
      <w:pPr>
        <w:pStyle w:val="ListParagraph"/>
        <w:numPr>
          <w:ilvl w:val="0"/>
          <w:numId w:val="17"/>
        </w:numPr>
        <w:autoSpaceDE w:val="0"/>
        <w:autoSpaceDN w:val="0"/>
        <w:adjustRightInd w:val="0"/>
        <w:contextualSpacing w:val="0"/>
        <w:jc w:val="both"/>
        <w:rPr>
          <w:rFonts w:cs="Arial"/>
        </w:rPr>
      </w:pPr>
      <w:r w:rsidRPr="007832F6">
        <w:rPr>
          <w:rFonts w:cs="Arial"/>
        </w:rPr>
        <w:lastRenderedPageBreak/>
        <w:t xml:space="preserve">The increasing demand for </w:t>
      </w:r>
      <w:r w:rsidR="00E10F7B">
        <w:rPr>
          <w:rFonts w:cs="Arial"/>
        </w:rPr>
        <w:t>c</w:t>
      </w:r>
      <w:r w:rsidRPr="007832F6">
        <w:rPr>
          <w:rFonts w:cs="Arial"/>
        </w:rPr>
        <w:t>ouncil services</w:t>
      </w:r>
      <w:r w:rsidR="00B569A9">
        <w:rPr>
          <w:rFonts w:cs="Arial"/>
        </w:rPr>
        <w:t>.</w:t>
      </w:r>
    </w:p>
    <w:p w14:paraId="19E5B27D" w14:textId="1953B4A4" w:rsidR="007832F6" w:rsidRPr="007832F6" w:rsidRDefault="004A7A82" w:rsidP="005838A0">
      <w:pPr>
        <w:pStyle w:val="ListParagraph"/>
        <w:numPr>
          <w:ilvl w:val="0"/>
          <w:numId w:val="17"/>
        </w:numPr>
        <w:autoSpaceDE w:val="0"/>
        <w:autoSpaceDN w:val="0"/>
        <w:adjustRightInd w:val="0"/>
        <w:contextualSpacing w:val="0"/>
        <w:jc w:val="both"/>
        <w:rPr>
          <w:rFonts w:cs="Arial"/>
        </w:rPr>
      </w:pPr>
      <w:r w:rsidRPr="007832F6">
        <w:rPr>
          <w:rFonts w:cs="Arial"/>
        </w:rPr>
        <w:t>The level of inflation at present and going forward – recognising the recent uncertainty</w:t>
      </w:r>
      <w:r w:rsidR="00B569A9">
        <w:rPr>
          <w:rFonts w:cs="Arial"/>
        </w:rPr>
        <w:t>.</w:t>
      </w:r>
    </w:p>
    <w:p w14:paraId="1BFD32AA" w14:textId="3B45B492" w:rsidR="007832F6" w:rsidRPr="007832F6" w:rsidRDefault="004A7A82" w:rsidP="005838A0">
      <w:pPr>
        <w:pStyle w:val="ListParagraph"/>
        <w:numPr>
          <w:ilvl w:val="0"/>
          <w:numId w:val="17"/>
        </w:numPr>
        <w:autoSpaceDE w:val="0"/>
        <w:autoSpaceDN w:val="0"/>
        <w:adjustRightInd w:val="0"/>
        <w:contextualSpacing w:val="0"/>
        <w:jc w:val="both"/>
        <w:rPr>
          <w:rFonts w:cs="Arial"/>
        </w:rPr>
      </w:pPr>
      <w:r w:rsidRPr="007832F6">
        <w:rPr>
          <w:rFonts w:cs="Arial"/>
        </w:rPr>
        <w:t>The national picture in terms of 'financial viability' of some councils</w:t>
      </w:r>
      <w:r w:rsidR="00B569A9">
        <w:rPr>
          <w:rFonts w:cs="Arial"/>
        </w:rPr>
        <w:t>.</w:t>
      </w:r>
    </w:p>
    <w:p w14:paraId="5B8D61A6" w14:textId="33924CA0" w:rsidR="007832F6" w:rsidRPr="007832F6" w:rsidRDefault="004A7A82" w:rsidP="005838A0">
      <w:pPr>
        <w:pStyle w:val="ListParagraph"/>
        <w:numPr>
          <w:ilvl w:val="0"/>
          <w:numId w:val="17"/>
        </w:numPr>
        <w:autoSpaceDE w:val="0"/>
        <w:autoSpaceDN w:val="0"/>
        <w:adjustRightInd w:val="0"/>
        <w:contextualSpacing w:val="0"/>
        <w:jc w:val="both"/>
        <w:rPr>
          <w:rFonts w:cs="Arial"/>
        </w:rPr>
      </w:pPr>
      <w:r w:rsidRPr="007832F6">
        <w:rPr>
          <w:rFonts w:cs="Arial"/>
        </w:rPr>
        <w:t>The track record of delivery of savings within the Council</w:t>
      </w:r>
      <w:r w:rsidR="00B569A9">
        <w:rPr>
          <w:rFonts w:cs="Arial"/>
        </w:rPr>
        <w:t>.</w:t>
      </w:r>
    </w:p>
    <w:p w14:paraId="59E7F87E" w14:textId="34054B1C" w:rsidR="007832F6" w:rsidRPr="007832F6" w:rsidRDefault="004A7A82" w:rsidP="005838A0">
      <w:pPr>
        <w:pStyle w:val="ListParagraph"/>
        <w:numPr>
          <w:ilvl w:val="0"/>
          <w:numId w:val="17"/>
        </w:numPr>
        <w:autoSpaceDE w:val="0"/>
        <w:autoSpaceDN w:val="0"/>
        <w:adjustRightInd w:val="0"/>
        <w:contextualSpacing w:val="0"/>
        <w:jc w:val="both"/>
        <w:rPr>
          <w:rFonts w:cs="Arial"/>
        </w:rPr>
      </w:pPr>
      <w:r w:rsidRPr="007832F6">
        <w:rPr>
          <w:rFonts w:cs="Arial"/>
        </w:rPr>
        <w:t xml:space="preserve">The links between the revenue budget and capital programme in terms of the size of capital programme the </w:t>
      </w:r>
      <w:r w:rsidR="001A22E0">
        <w:rPr>
          <w:rFonts w:cs="Arial"/>
        </w:rPr>
        <w:t>C</w:t>
      </w:r>
      <w:r w:rsidRPr="007832F6">
        <w:rPr>
          <w:rFonts w:cs="Arial"/>
        </w:rPr>
        <w:t>ouncil can afford</w:t>
      </w:r>
      <w:r w:rsidR="00B569A9">
        <w:rPr>
          <w:rFonts w:cs="Arial"/>
        </w:rPr>
        <w:t>.</w:t>
      </w:r>
    </w:p>
    <w:p w14:paraId="0CFA5BF6" w14:textId="77777777" w:rsidR="007832F6" w:rsidRPr="007832F6" w:rsidRDefault="007832F6" w:rsidP="007832F6">
      <w:pPr>
        <w:autoSpaceDE w:val="0"/>
        <w:autoSpaceDN w:val="0"/>
        <w:adjustRightInd w:val="0"/>
        <w:jc w:val="both"/>
        <w:rPr>
          <w:rFonts w:cs="Arial"/>
        </w:rPr>
      </w:pPr>
    </w:p>
    <w:p w14:paraId="7BA69AF8" w14:textId="77777777" w:rsidR="007832F6" w:rsidRPr="007832F6" w:rsidRDefault="004A7A82" w:rsidP="007832F6">
      <w:pPr>
        <w:autoSpaceDE w:val="0"/>
        <w:autoSpaceDN w:val="0"/>
        <w:adjustRightInd w:val="0"/>
        <w:jc w:val="both"/>
        <w:rPr>
          <w:rFonts w:cs="Arial"/>
        </w:rPr>
      </w:pPr>
      <w:r w:rsidRPr="007832F6">
        <w:rPr>
          <w:rFonts w:cs="Arial"/>
        </w:rPr>
        <w:t xml:space="preserve">Inevitably given the complexity of the budget for a council of this size and the uncertainty around demand and funding there will be </w:t>
      </w:r>
      <w:proofErr w:type="gramStart"/>
      <w:r w:rsidRPr="007832F6">
        <w:rPr>
          <w:rFonts w:cs="Arial"/>
        </w:rPr>
        <w:t>a number of</w:t>
      </w:r>
      <w:proofErr w:type="gramEnd"/>
      <w:r w:rsidRPr="007832F6">
        <w:rPr>
          <w:rFonts w:cs="Arial"/>
        </w:rPr>
        <w:t xml:space="preserve"> potential risks to the position laid out in this budget report. These are set out in the next section.</w:t>
      </w:r>
    </w:p>
    <w:p w14:paraId="41941B8C" w14:textId="77777777" w:rsidR="007832F6" w:rsidRPr="007832F6" w:rsidRDefault="007832F6" w:rsidP="007832F6">
      <w:pPr>
        <w:autoSpaceDE w:val="0"/>
        <w:autoSpaceDN w:val="0"/>
        <w:adjustRightInd w:val="0"/>
        <w:jc w:val="both"/>
        <w:rPr>
          <w:rFonts w:cs="Arial"/>
        </w:rPr>
      </w:pPr>
    </w:p>
    <w:p w14:paraId="69F1A2A6" w14:textId="74374E92" w:rsidR="007832F6" w:rsidRPr="007832F6" w:rsidRDefault="004A7A82" w:rsidP="007832F6">
      <w:pPr>
        <w:autoSpaceDE w:val="0"/>
        <w:autoSpaceDN w:val="0"/>
        <w:adjustRightInd w:val="0"/>
        <w:jc w:val="both"/>
        <w:rPr>
          <w:rFonts w:cs="Arial"/>
          <w:b/>
          <w:bCs/>
        </w:rPr>
      </w:pPr>
      <w:r w:rsidRPr="007832F6">
        <w:rPr>
          <w:rFonts w:cs="Arial"/>
          <w:b/>
          <w:bCs/>
        </w:rPr>
        <w:t>Risks/variances</w:t>
      </w:r>
    </w:p>
    <w:p w14:paraId="041C70F4" w14:textId="77777777" w:rsidR="007832F6" w:rsidRPr="007832F6" w:rsidRDefault="007832F6" w:rsidP="007832F6">
      <w:pPr>
        <w:autoSpaceDE w:val="0"/>
        <w:autoSpaceDN w:val="0"/>
        <w:adjustRightInd w:val="0"/>
        <w:jc w:val="both"/>
        <w:rPr>
          <w:rFonts w:cs="Arial"/>
        </w:rPr>
      </w:pPr>
    </w:p>
    <w:p w14:paraId="5225E355" w14:textId="3AE1538B" w:rsidR="007832F6" w:rsidRPr="007832F6" w:rsidRDefault="004A7A82" w:rsidP="007832F6">
      <w:pPr>
        <w:autoSpaceDE w:val="0"/>
        <w:autoSpaceDN w:val="0"/>
        <w:adjustRightInd w:val="0"/>
        <w:jc w:val="both"/>
        <w:rPr>
          <w:rFonts w:cs="Arial"/>
        </w:rPr>
      </w:pPr>
      <w:r w:rsidRPr="007832F6">
        <w:rPr>
          <w:rFonts w:cs="Arial"/>
        </w:rPr>
        <w:t xml:space="preserve">This section is concerned with the scale of financial risks faced by the </w:t>
      </w:r>
      <w:r w:rsidR="001A22E0">
        <w:rPr>
          <w:rFonts w:cs="Arial"/>
        </w:rPr>
        <w:t>C</w:t>
      </w:r>
      <w:r w:rsidRPr="007832F6">
        <w:rPr>
          <w:rFonts w:cs="Arial"/>
        </w:rPr>
        <w:t xml:space="preserve">ouncil </w:t>
      </w:r>
      <w:proofErr w:type="gramStart"/>
      <w:r w:rsidRPr="007832F6">
        <w:rPr>
          <w:rFonts w:cs="Arial"/>
        </w:rPr>
        <w:t>as a result of</w:t>
      </w:r>
      <w:proofErr w:type="gramEnd"/>
      <w:r w:rsidRPr="007832F6">
        <w:rPr>
          <w:rFonts w:cs="Arial"/>
        </w:rPr>
        <w:t xml:space="preserve"> the estimates and assumptions which underpin the budget. The basis of these estimates, as in previous years, relies on the forecast of activity and the impact of changes in policy previously agreed by the </w:t>
      </w:r>
      <w:r w:rsidR="001A22E0">
        <w:rPr>
          <w:rFonts w:cs="Arial"/>
        </w:rPr>
        <w:t>C</w:t>
      </w:r>
      <w:r w:rsidRPr="007832F6">
        <w:rPr>
          <w:rFonts w:cs="Arial"/>
        </w:rPr>
        <w:t xml:space="preserve">ouncil, and any changes in national policies. These forecasts are kept under review as part of the budget monitoring process and actions identified to address financial risks and capitalise on financial opportunities arising from changes in the forecasts. </w:t>
      </w:r>
    </w:p>
    <w:p w14:paraId="128F118B" w14:textId="77777777" w:rsidR="007832F6" w:rsidRPr="007832F6" w:rsidRDefault="007832F6" w:rsidP="007832F6">
      <w:pPr>
        <w:autoSpaceDE w:val="0"/>
        <w:autoSpaceDN w:val="0"/>
        <w:adjustRightInd w:val="0"/>
        <w:jc w:val="both"/>
        <w:rPr>
          <w:rFonts w:cs="Arial"/>
        </w:rPr>
      </w:pPr>
    </w:p>
    <w:p w14:paraId="15A0B6EC" w14:textId="77777777" w:rsidR="007832F6" w:rsidRPr="007832F6" w:rsidRDefault="004A7A82" w:rsidP="007832F6">
      <w:pPr>
        <w:autoSpaceDE w:val="0"/>
        <w:autoSpaceDN w:val="0"/>
        <w:adjustRightInd w:val="0"/>
        <w:jc w:val="both"/>
        <w:rPr>
          <w:rFonts w:cs="Arial"/>
        </w:rPr>
      </w:pPr>
      <w:r w:rsidRPr="007832F6">
        <w:rPr>
          <w:rFonts w:cs="Arial"/>
        </w:rPr>
        <w:t xml:space="preserve">The table below demonstrates the scale of just a small variance in the assumptions made, showing the potential impact of both a positive and negative movement of 1% across the main areas within the </w:t>
      </w:r>
      <w:proofErr w:type="gramStart"/>
      <w:r w:rsidRPr="007832F6">
        <w:rPr>
          <w:rFonts w:cs="Arial"/>
        </w:rPr>
        <w:t>medium term</w:t>
      </w:r>
      <w:proofErr w:type="gramEnd"/>
      <w:r w:rsidRPr="007832F6">
        <w:rPr>
          <w:rFonts w:cs="Arial"/>
        </w:rPr>
        <w:t xml:space="preserve"> financial strategy (the backdrop against which this budget is set):</w:t>
      </w:r>
    </w:p>
    <w:p w14:paraId="519642C4" w14:textId="77777777" w:rsidR="007832F6" w:rsidRPr="007832F6" w:rsidRDefault="007832F6" w:rsidP="007832F6">
      <w:pPr>
        <w:autoSpaceDE w:val="0"/>
        <w:autoSpaceDN w:val="0"/>
        <w:adjustRightInd w:val="0"/>
        <w:jc w:val="both"/>
        <w:rPr>
          <w:rFonts w:cs="Arial"/>
        </w:rPr>
      </w:pPr>
    </w:p>
    <w:tbl>
      <w:tblPr>
        <w:tblW w:w="0" w:type="auto"/>
        <w:tblCellMar>
          <w:left w:w="0" w:type="dxa"/>
          <w:right w:w="0" w:type="dxa"/>
        </w:tblCellMar>
        <w:tblLook w:val="04A0" w:firstRow="1" w:lastRow="0" w:firstColumn="1" w:lastColumn="0" w:noHBand="0" w:noVBand="1"/>
      </w:tblPr>
      <w:tblGrid>
        <w:gridCol w:w="5956"/>
        <w:gridCol w:w="3084"/>
      </w:tblGrid>
      <w:tr w:rsidR="00C92CD8" w14:paraId="114E1C94" w14:textId="77777777">
        <w:trPr>
          <w:trHeight w:val="474"/>
        </w:trPr>
        <w:tc>
          <w:tcPr>
            <w:tcW w:w="6046"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tcPr>
          <w:p w14:paraId="0C8C3A8A" w14:textId="77777777" w:rsidR="007832F6" w:rsidRPr="007832F6" w:rsidRDefault="007832F6">
            <w:pPr>
              <w:autoSpaceDE w:val="0"/>
              <w:autoSpaceDN w:val="0"/>
              <w:adjustRightInd w:val="0"/>
              <w:spacing w:after="120"/>
              <w:jc w:val="both"/>
              <w:rPr>
                <w:rFonts w:eastAsia="Calibri" w:cs="Arial"/>
                <w:b/>
                <w:bCs/>
              </w:rPr>
            </w:pPr>
          </w:p>
        </w:tc>
        <w:tc>
          <w:tcPr>
            <w:tcW w:w="3118" w:type="dxa"/>
            <w:tcBorders>
              <w:top w:val="single" w:sz="8" w:space="0" w:color="auto"/>
              <w:left w:val="nil"/>
              <w:bottom w:val="single" w:sz="8" w:space="0" w:color="auto"/>
              <w:right w:val="single" w:sz="12" w:space="0" w:color="auto"/>
            </w:tcBorders>
            <w:shd w:val="clear" w:color="auto" w:fill="auto"/>
            <w:tcMar>
              <w:top w:w="0" w:type="dxa"/>
              <w:left w:w="108" w:type="dxa"/>
              <w:bottom w:w="0" w:type="dxa"/>
              <w:right w:w="108" w:type="dxa"/>
            </w:tcMar>
            <w:hideMark/>
          </w:tcPr>
          <w:p w14:paraId="7AAE71BB" w14:textId="77777777" w:rsidR="007832F6" w:rsidRPr="007832F6" w:rsidRDefault="004A7A82">
            <w:pPr>
              <w:autoSpaceDE w:val="0"/>
              <w:autoSpaceDN w:val="0"/>
              <w:adjustRightInd w:val="0"/>
              <w:spacing w:after="120"/>
              <w:jc w:val="right"/>
              <w:rPr>
                <w:rFonts w:eastAsia="Calibri" w:cs="Arial"/>
                <w:color w:val="000000"/>
              </w:rPr>
            </w:pPr>
            <w:r w:rsidRPr="007832F6">
              <w:rPr>
                <w:rFonts w:eastAsia="Calibri" w:cs="Arial"/>
                <w:color w:val="000000"/>
              </w:rPr>
              <w:t>Potential Full - Year Impact of 1% movement (£m)</w:t>
            </w:r>
          </w:p>
        </w:tc>
      </w:tr>
      <w:tr w:rsidR="00C92CD8" w14:paraId="2355D6BA" w14:textId="77777777">
        <w:trPr>
          <w:trHeight w:val="284"/>
        </w:trPr>
        <w:tc>
          <w:tcPr>
            <w:tcW w:w="6046"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7CAB272A" w14:textId="77777777" w:rsidR="007832F6" w:rsidRPr="007832F6" w:rsidRDefault="004A7A82">
            <w:pPr>
              <w:autoSpaceDE w:val="0"/>
              <w:autoSpaceDN w:val="0"/>
              <w:adjustRightInd w:val="0"/>
              <w:spacing w:after="120"/>
              <w:jc w:val="both"/>
              <w:rPr>
                <w:rFonts w:eastAsia="Calibri" w:cs="Arial"/>
                <w:color w:val="000000"/>
              </w:rPr>
            </w:pPr>
            <w:r w:rsidRPr="007832F6">
              <w:rPr>
                <w:rFonts w:eastAsia="Calibri" w:cs="Arial"/>
                <w:color w:val="000000"/>
              </w:rPr>
              <w:t>Council Tax (</w:t>
            </w:r>
            <w:proofErr w:type="gramStart"/>
            <w:r w:rsidRPr="007832F6">
              <w:rPr>
                <w:rFonts w:eastAsia="Calibri" w:cs="Arial"/>
                <w:color w:val="000000"/>
              </w:rPr>
              <w:t>Level ,taxbase</w:t>
            </w:r>
            <w:proofErr w:type="gramEnd"/>
            <w:r w:rsidRPr="007832F6">
              <w:rPr>
                <w:rFonts w:eastAsia="Calibri" w:cs="Arial"/>
                <w:color w:val="000000"/>
              </w:rPr>
              <w:t xml:space="preserve"> and collection rates)</w:t>
            </w:r>
          </w:p>
        </w:tc>
        <w:tc>
          <w:tcPr>
            <w:tcW w:w="3118"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14:paraId="4D0A6873" w14:textId="712D9DBD" w:rsidR="007832F6" w:rsidRPr="007832F6" w:rsidRDefault="004A7A82">
            <w:pPr>
              <w:autoSpaceDE w:val="0"/>
              <w:autoSpaceDN w:val="0"/>
              <w:adjustRightInd w:val="0"/>
              <w:spacing w:after="120"/>
              <w:jc w:val="right"/>
              <w:rPr>
                <w:rFonts w:eastAsia="Calibri" w:cs="Arial"/>
                <w:color w:val="000000"/>
              </w:rPr>
            </w:pPr>
            <w:r w:rsidRPr="007832F6">
              <w:rPr>
                <w:rFonts w:eastAsia="Calibri" w:cs="Arial"/>
                <w:color w:val="000000"/>
              </w:rPr>
              <w:t>+/- 6.</w:t>
            </w:r>
            <w:r w:rsidR="00990A8A">
              <w:rPr>
                <w:rFonts w:eastAsia="Calibri" w:cs="Arial"/>
                <w:color w:val="000000"/>
              </w:rPr>
              <w:t>420</w:t>
            </w:r>
          </w:p>
        </w:tc>
      </w:tr>
      <w:tr w:rsidR="00C92CD8" w14:paraId="7DCB2D07" w14:textId="77777777">
        <w:trPr>
          <w:trHeight w:val="284"/>
        </w:trPr>
        <w:tc>
          <w:tcPr>
            <w:tcW w:w="6046"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2F1B53F8" w14:textId="77777777" w:rsidR="007832F6" w:rsidRPr="007832F6" w:rsidRDefault="004A7A82">
            <w:pPr>
              <w:autoSpaceDE w:val="0"/>
              <w:autoSpaceDN w:val="0"/>
              <w:adjustRightInd w:val="0"/>
              <w:spacing w:after="120"/>
              <w:jc w:val="both"/>
              <w:rPr>
                <w:rFonts w:eastAsia="Calibri" w:cs="Arial"/>
                <w:color w:val="000000"/>
              </w:rPr>
            </w:pPr>
            <w:r w:rsidRPr="007832F6">
              <w:rPr>
                <w:rFonts w:eastAsia="Calibri" w:cs="Arial"/>
                <w:color w:val="000000"/>
              </w:rPr>
              <w:t xml:space="preserve">Pay </w:t>
            </w:r>
          </w:p>
        </w:tc>
        <w:tc>
          <w:tcPr>
            <w:tcW w:w="3118"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14:paraId="467125FD" w14:textId="77777777" w:rsidR="007832F6" w:rsidRPr="007832F6" w:rsidRDefault="004A7A82">
            <w:pPr>
              <w:autoSpaceDE w:val="0"/>
              <w:autoSpaceDN w:val="0"/>
              <w:adjustRightInd w:val="0"/>
              <w:spacing w:after="120"/>
              <w:jc w:val="right"/>
              <w:rPr>
                <w:rFonts w:eastAsia="Calibri" w:cs="Arial"/>
                <w:color w:val="000000"/>
              </w:rPr>
            </w:pPr>
            <w:r w:rsidRPr="007832F6">
              <w:rPr>
                <w:rFonts w:eastAsia="Calibri" w:cs="Arial"/>
                <w:color w:val="000000"/>
              </w:rPr>
              <w:t>+/- 4.408</w:t>
            </w:r>
          </w:p>
        </w:tc>
      </w:tr>
      <w:tr w:rsidR="00C92CD8" w14:paraId="32E9DE69" w14:textId="77777777">
        <w:trPr>
          <w:trHeight w:val="274"/>
        </w:trPr>
        <w:tc>
          <w:tcPr>
            <w:tcW w:w="6046"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768B68BD" w14:textId="77777777" w:rsidR="007832F6" w:rsidRPr="007832F6" w:rsidRDefault="004A7A82">
            <w:pPr>
              <w:autoSpaceDE w:val="0"/>
              <w:autoSpaceDN w:val="0"/>
              <w:adjustRightInd w:val="0"/>
              <w:spacing w:after="120"/>
              <w:jc w:val="both"/>
              <w:rPr>
                <w:rFonts w:eastAsia="Calibri" w:cs="Arial"/>
                <w:color w:val="000000"/>
              </w:rPr>
            </w:pPr>
            <w:r w:rsidRPr="007832F6">
              <w:rPr>
                <w:rFonts w:eastAsia="Calibri" w:cs="Arial"/>
                <w:color w:val="000000"/>
              </w:rPr>
              <w:t xml:space="preserve">Price Inflation </w:t>
            </w:r>
          </w:p>
        </w:tc>
        <w:tc>
          <w:tcPr>
            <w:tcW w:w="3118"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14:paraId="5D3E1CF6" w14:textId="77777777" w:rsidR="007832F6" w:rsidRPr="007832F6" w:rsidRDefault="004A7A82">
            <w:pPr>
              <w:autoSpaceDE w:val="0"/>
              <w:autoSpaceDN w:val="0"/>
              <w:adjustRightInd w:val="0"/>
              <w:spacing w:after="120"/>
              <w:jc w:val="right"/>
              <w:rPr>
                <w:rFonts w:eastAsia="Calibri" w:cs="Arial"/>
                <w:color w:val="000000"/>
              </w:rPr>
            </w:pPr>
            <w:r w:rsidRPr="007832F6">
              <w:rPr>
                <w:rFonts w:eastAsia="Calibri" w:cs="Arial"/>
                <w:color w:val="000000"/>
              </w:rPr>
              <w:t>+/- 8.161</w:t>
            </w:r>
          </w:p>
        </w:tc>
      </w:tr>
      <w:tr w:rsidR="00C92CD8" w14:paraId="7BDB06A8" w14:textId="77777777">
        <w:trPr>
          <w:trHeight w:val="284"/>
        </w:trPr>
        <w:tc>
          <w:tcPr>
            <w:tcW w:w="6046" w:type="dxa"/>
            <w:tcBorders>
              <w:top w:val="nil"/>
              <w:left w:val="single" w:sz="12" w:space="0" w:color="auto"/>
              <w:bottom w:val="single" w:sz="4" w:space="0" w:color="auto"/>
              <w:right w:val="single" w:sz="8" w:space="0" w:color="auto"/>
            </w:tcBorders>
            <w:tcMar>
              <w:top w:w="0" w:type="dxa"/>
              <w:left w:w="108" w:type="dxa"/>
              <w:bottom w:w="0" w:type="dxa"/>
              <w:right w:w="108" w:type="dxa"/>
            </w:tcMar>
            <w:hideMark/>
          </w:tcPr>
          <w:p w14:paraId="51064234" w14:textId="77777777" w:rsidR="007832F6" w:rsidRPr="007832F6" w:rsidRDefault="004A7A82">
            <w:pPr>
              <w:autoSpaceDE w:val="0"/>
              <w:autoSpaceDN w:val="0"/>
              <w:adjustRightInd w:val="0"/>
              <w:spacing w:after="120"/>
              <w:jc w:val="both"/>
              <w:rPr>
                <w:rFonts w:eastAsia="Calibri" w:cs="Arial"/>
                <w:color w:val="000000"/>
              </w:rPr>
            </w:pPr>
            <w:r w:rsidRPr="007832F6">
              <w:rPr>
                <w:rFonts w:eastAsia="Calibri" w:cs="Arial"/>
                <w:color w:val="000000"/>
              </w:rPr>
              <w:t xml:space="preserve">Demand </w:t>
            </w:r>
          </w:p>
        </w:tc>
        <w:tc>
          <w:tcPr>
            <w:tcW w:w="3118" w:type="dxa"/>
            <w:tcBorders>
              <w:top w:val="nil"/>
              <w:left w:val="nil"/>
              <w:bottom w:val="single" w:sz="4" w:space="0" w:color="auto"/>
              <w:right w:val="single" w:sz="12" w:space="0" w:color="auto"/>
            </w:tcBorders>
            <w:shd w:val="clear" w:color="auto" w:fill="auto"/>
            <w:tcMar>
              <w:top w:w="0" w:type="dxa"/>
              <w:left w:w="108" w:type="dxa"/>
              <w:bottom w:w="0" w:type="dxa"/>
              <w:right w:w="108" w:type="dxa"/>
            </w:tcMar>
            <w:hideMark/>
          </w:tcPr>
          <w:p w14:paraId="7826997B" w14:textId="77777777" w:rsidR="007832F6" w:rsidRPr="007832F6" w:rsidRDefault="004A7A82">
            <w:pPr>
              <w:autoSpaceDE w:val="0"/>
              <w:autoSpaceDN w:val="0"/>
              <w:adjustRightInd w:val="0"/>
              <w:spacing w:after="120"/>
              <w:jc w:val="right"/>
              <w:rPr>
                <w:rFonts w:eastAsia="Calibri" w:cs="Arial"/>
                <w:color w:val="000000"/>
              </w:rPr>
            </w:pPr>
            <w:r w:rsidRPr="007832F6">
              <w:rPr>
                <w:rFonts w:eastAsia="Calibri" w:cs="Arial"/>
                <w:color w:val="000000"/>
              </w:rPr>
              <w:t>+/- 5.546</w:t>
            </w:r>
          </w:p>
        </w:tc>
      </w:tr>
      <w:tr w:rsidR="00C92CD8" w14:paraId="2EA11E68" w14:textId="77777777">
        <w:trPr>
          <w:trHeight w:val="274"/>
        </w:trPr>
        <w:tc>
          <w:tcPr>
            <w:tcW w:w="6046" w:type="dxa"/>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tcPr>
          <w:p w14:paraId="1C9B485B" w14:textId="77777777" w:rsidR="007832F6" w:rsidRPr="007832F6" w:rsidRDefault="004A7A82">
            <w:pPr>
              <w:autoSpaceDE w:val="0"/>
              <w:autoSpaceDN w:val="0"/>
              <w:adjustRightInd w:val="0"/>
              <w:spacing w:after="120"/>
              <w:jc w:val="both"/>
              <w:rPr>
                <w:rFonts w:eastAsia="Calibri" w:cs="Arial"/>
                <w:color w:val="000000"/>
              </w:rPr>
            </w:pPr>
            <w:r w:rsidRPr="007832F6">
              <w:rPr>
                <w:rFonts w:eastAsia="Calibri" w:cs="Arial"/>
                <w:color w:val="000000"/>
              </w:rPr>
              <w:t xml:space="preserve">Interest on borrowing </w:t>
            </w:r>
          </w:p>
        </w:tc>
        <w:tc>
          <w:tcPr>
            <w:tcW w:w="3118" w:type="dxa"/>
            <w:tcBorders>
              <w:top w:val="single" w:sz="4"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0C337F23" w14:textId="77777777" w:rsidR="007832F6" w:rsidRPr="007832F6" w:rsidRDefault="004A7A82">
            <w:pPr>
              <w:autoSpaceDE w:val="0"/>
              <w:autoSpaceDN w:val="0"/>
              <w:adjustRightInd w:val="0"/>
              <w:spacing w:after="120"/>
              <w:jc w:val="right"/>
              <w:rPr>
                <w:rFonts w:eastAsia="Calibri" w:cs="Arial"/>
                <w:color w:val="000000"/>
              </w:rPr>
            </w:pPr>
            <w:r w:rsidRPr="007832F6">
              <w:rPr>
                <w:rFonts w:eastAsia="Calibri" w:cs="Arial"/>
                <w:color w:val="000000"/>
              </w:rPr>
              <w:t>+/- 5.000</w:t>
            </w:r>
          </w:p>
        </w:tc>
      </w:tr>
    </w:tbl>
    <w:p w14:paraId="76185A90" w14:textId="77777777" w:rsidR="007832F6" w:rsidRPr="007832F6" w:rsidRDefault="007832F6" w:rsidP="007832F6">
      <w:pPr>
        <w:autoSpaceDE w:val="0"/>
        <w:autoSpaceDN w:val="0"/>
        <w:adjustRightInd w:val="0"/>
        <w:jc w:val="both"/>
        <w:rPr>
          <w:rFonts w:cs="Arial"/>
          <w:highlight w:val="yellow"/>
        </w:rPr>
      </w:pPr>
    </w:p>
    <w:p w14:paraId="1F573DE6" w14:textId="0C84F716" w:rsidR="007832F6" w:rsidRPr="007832F6" w:rsidRDefault="004A7A82" w:rsidP="007832F6">
      <w:pPr>
        <w:jc w:val="both"/>
      </w:pPr>
      <w:proofErr w:type="gramStart"/>
      <w:r w:rsidRPr="007832F6">
        <w:rPr>
          <w:rFonts w:cs="Arial"/>
        </w:rPr>
        <w:t>A number of</w:t>
      </w:r>
      <w:proofErr w:type="gramEnd"/>
      <w:r w:rsidRPr="007832F6">
        <w:rPr>
          <w:rFonts w:cs="Arial"/>
        </w:rPr>
        <w:t xml:space="preserve"> specific potential risks and opportunities remain within the budget as follows:</w:t>
      </w:r>
    </w:p>
    <w:p w14:paraId="0744CD18" w14:textId="77777777" w:rsidR="007832F6" w:rsidRPr="007832F6" w:rsidRDefault="007832F6" w:rsidP="007832F6">
      <w:pPr>
        <w:jc w:val="both"/>
      </w:pPr>
    </w:p>
    <w:p w14:paraId="757CB502" w14:textId="78EACF72" w:rsidR="007832F6" w:rsidRPr="007832F6" w:rsidRDefault="004A7A82" w:rsidP="005838A0">
      <w:pPr>
        <w:pStyle w:val="ListParagraph"/>
        <w:numPr>
          <w:ilvl w:val="0"/>
          <w:numId w:val="20"/>
        </w:numPr>
        <w:contextualSpacing w:val="0"/>
        <w:jc w:val="both"/>
      </w:pPr>
      <w:r w:rsidRPr="007832F6">
        <w:rPr>
          <w:b/>
          <w:bCs/>
        </w:rPr>
        <w:t>Government Funding</w:t>
      </w:r>
      <w:r w:rsidRPr="007832F6">
        <w:t xml:space="preserve"> – there is uncertainty for future years over the level of government funding as the </w:t>
      </w:r>
      <w:r w:rsidR="001A22E0">
        <w:t>C</w:t>
      </w:r>
      <w:r w:rsidRPr="007832F6">
        <w:t xml:space="preserve">ouncil continues to receive </w:t>
      </w:r>
      <w:r w:rsidR="00B31778" w:rsidRPr="007832F6">
        <w:t>one-year</w:t>
      </w:r>
      <w:r w:rsidRPr="007832F6">
        <w:t xml:space="preserve"> settlements. The national economic conditions and the prospect of a general election also add to the uncertainty in this area.</w:t>
      </w:r>
    </w:p>
    <w:p w14:paraId="4C38FCC5" w14:textId="77777777" w:rsidR="007832F6" w:rsidRPr="007832F6" w:rsidRDefault="007832F6" w:rsidP="007832F6">
      <w:pPr>
        <w:jc w:val="both"/>
      </w:pPr>
    </w:p>
    <w:p w14:paraId="4145F2E6" w14:textId="262C407F" w:rsidR="007832F6" w:rsidRPr="007832F6" w:rsidRDefault="004A7A82" w:rsidP="005838A0">
      <w:pPr>
        <w:pStyle w:val="ListParagraph"/>
        <w:numPr>
          <w:ilvl w:val="0"/>
          <w:numId w:val="19"/>
        </w:numPr>
        <w:contextualSpacing w:val="0"/>
        <w:jc w:val="both"/>
      </w:pPr>
      <w:r w:rsidRPr="007832F6">
        <w:rPr>
          <w:b/>
          <w:bCs/>
        </w:rPr>
        <w:t>Inflation</w:t>
      </w:r>
      <w:r w:rsidRPr="007832F6">
        <w:t xml:space="preserve"> – Assumptions have been made for inflation based on latest forecasts. The trajectory is downward since last year</w:t>
      </w:r>
      <w:r w:rsidR="00AF20A5">
        <w:t>'</w:t>
      </w:r>
      <w:r w:rsidRPr="007832F6">
        <w:t xml:space="preserve">s budget was set. This Is an area the </w:t>
      </w:r>
      <w:r w:rsidR="001A22E0">
        <w:lastRenderedPageBreak/>
        <w:t>C</w:t>
      </w:r>
      <w:r w:rsidRPr="007832F6">
        <w:t>ouncil will need to monitor carefully particularly in its relationship with contractors and their asks for inflationary increases.</w:t>
      </w:r>
    </w:p>
    <w:p w14:paraId="33843986" w14:textId="77777777" w:rsidR="007832F6" w:rsidRPr="007832F6" w:rsidRDefault="007832F6" w:rsidP="007832F6">
      <w:pPr>
        <w:jc w:val="both"/>
      </w:pPr>
    </w:p>
    <w:p w14:paraId="729F8698" w14:textId="4322CE15" w:rsidR="007832F6" w:rsidRPr="007832F6" w:rsidRDefault="004A7A82" w:rsidP="005838A0">
      <w:pPr>
        <w:pStyle w:val="ListParagraph"/>
        <w:numPr>
          <w:ilvl w:val="0"/>
          <w:numId w:val="19"/>
        </w:numPr>
        <w:contextualSpacing w:val="0"/>
        <w:jc w:val="both"/>
      </w:pPr>
      <w:r w:rsidRPr="007832F6">
        <w:rPr>
          <w:b/>
          <w:bCs/>
        </w:rPr>
        <w:t xml:space="preserve">Pay </w:t>
      </w:r>
      <w:r w:rsidRPr="007832F6">
        <w:t xml:space="preserve">– The </w:t>
      </w:r>
      <w:r w:rsidR="001A22E0">
        <w:t>C</w:t>
      </w:r>
      <w:r w:rsidRPr="007832F6">
        <w:t xml:space="preserve">ouncil has assumed a 3% increase in pay budgets for </w:t>
      </w:r>
      <w:r w:rsidR="009C5C89">
        <w:t>20</w:t>
      </w:r>
      <w:r w:rsidRPr="007832F6">
        <w:t xml:space="preserve">24/25 given the lower inflation figures. There is potential the pay award could be more than this or that it is awarded on sliding scale that averages more than 3% across the full pay scales. </w:t>
      </w:r>
    </w:p>
    <w:p w14:paraId="6CFB68E8" w14:textId="77777777" w:rsidR="007832F6" w:rsidRPr="007832F6" w:rsidRDefault="007832F6" w:rsidP="007832F6">
      <w:pPr>
        <w:jc w:val="both"/>
      </w:pPr>
    </w:p>
    <w:p w14:paraId="03F47782" w14:textId="19EDD4FD" w:rsidR="007832F6" w:rsidRPr="007832F6" w:rsidRDefault="004A7A82" w:rsidP="005838A0">
      <w:pPr>
        <w:pStyle w:val="ListParagraph"/>
        <w:numPr>
          <w:ilvl w:val="0"/>
          <w:numId w:val="19"/>
        </w:numPr>
        <w:contextualSpacing w:val="0"/>
        <w:jc w:val="both"/>
      </w:pPr>
      <w:r w:rsidRPr="007832F6">
        <w:rPr>
          <w:b/>
          <w:bCs/>
        </w:rPr>
        <w:t xml:space="preserve">Service Demand </w:t>
      </w:r>
      <w:r w:rsidRPr="007832F6">
        <w:t xml:space="preserve">– demand for </w:t>
      </w:r>
      <w:r w:rsidR="00FE2852">
        <w:t>c</w:t>
      </w:r>
      <w:r w:rsidRPr="007832F6">
        <w:t xml:space="preserve">ouncil services has been unpredictable over recent years especially post COVID and this is an area the </w:t>
      </w:r>
      <w:r w:rsidR="001A22E0">
        <w:t>C</w:t>
      </w:r>
      <w:r w:rsidRPr="007832F6">
        <w:t>ouncil will need to constantly monitor.</w:t>
      </w:r>
    </w:p>
    <w:p w14:paraId="54996701" w14:textId="77777777" w:rsidR="007832F6" w:rsidRPr="007832F6" w:rsidRDefault="007832F6" w:rsidP="007832F6">
      <w:pPr>
        <w:jc w:val="both"/>
      </w:pPr>
    </w:p>
    <w:p w14:paraId="6EC9A3F2" w14:textId="0BE29088" w:rsidR="004077DB" w:rsidRDefault="004A7A82" w:rsidP="005838A0">
      <w:pPr>
        <w:pStyle w:val="ListParagraph"/>
        <w:numPr>
          <w:ilvl w:val="0"/>
          <w:numId w:val="19"/>
        </w:numPr>
        <w:contextualSpacing w:val="0"/>
        <w:jc w:val="both"/>
      </w:pPr>
      <w:r w:rsidRPr="004077DB">
        <w:rPr>
          <w:b/>
          <w:bCs/>
        </w:rPr>
        <w:t>Interest rates</w:t>
      </w:r>
      <w:r w:rsidRPr="007832F6">
        <w:t xml:space="preserve"> – The budget currently </w:t>
      </w:r>
      <w:r w:rsidRPr="004031BF">
        <w:t xml:space="preserve">assumes </w:t>
      </w:r>
      <w:r w:rsidR="001C5AB7" w:rsidRPr="004031BF">
        <w:t xml:space="preserve">a </w:t>
      </w:r>
      <w:r w:rsidRPr="004031BF">
        <w:t>5.25%</w:t>
      </w:r>
      <w:r w:rsidRPr="007832F6">
        <w:t xml:space="preserve"> interest rate </w:t>
      </w:r>
      <w:r w:rsidR="00473AEE">
        <w:t xml:space="preserve">for the majority of </w:t>
      </w:r>
      <w:r w:rsidRPr="007832F6">
        <w:t>2024/25</w:t>
      </w:r>
      <w:r w:rsidR="001C5AB7">
        <w:t xml:space="preserve"> with </w:t>
      </w:r>
      <w:r w:rsidR="00D35199">
        <w:t>small reductions forecast for the second half of the financial year</w:t>
      </w:r>
      <w:r>
        <w:t>.</w:t>
      </w:r>
    </w:p>
    <w:p w14:paraId="61E20E09" w14:textId="77777777" w:rsidR="004077DB" w:rsidRPr="007832F6" w:rsidRDefault="004077DB" w:rsidP="004077DB">
      <w:pPr>
        <w:jc w:val="both"/>
      </w:pPr>
    </w:p>
    <w:p w14:paraId="6CFCBD5D" w14:textId="015A602D" w:rsidR="007832F6" w:rsidRPr="007832F6" w:rsidRDefault="004A7A82" w:rsidP="005838A0">
      <w:pPr>
        <w:pStyle w:val="ListParagraph"/>
        <w:numPr>
          <w:ilvl w:val="0"/>
          <w:numId w:val="19"/>
        </w:numPr>
        <w:contextualSpacing w:val="0"/>
        <w:jc w:val="both"/>
      </w:pPr>
      <w:r w:rsidRPr="007832F6">
        <w:rPr>
          <w:b/>
          <w:bCs/>
        </w:rPr>
        <w:t xml:space="preserve">Delivery of the savings programme </w:t>
      </w:r>
      <w:r w:rsidRPr="007832F6">
        <w:t>– the 3</w:t>
      </w:r>
      <w:r w:rsidR="009B6DDA">
        <w:t>-</w:t>
      </w:r>
      <w:r w:rsidRPr="007832F6">
        <w:t xml:space="preserve">year budget set out for members includes total savings to be delivered of </w:t>
      </w:r>
      <w:r w:rsidR="009B6DDA">
        <w:t>c</w:t>
      </w:r>
      <w:r w:rsidRPr="007832F6">
        <w:t>£</w:t>
      </w:r>
      <w:r w:rsidR="009B6DDA">
        <w:t>9</w:t>
      </w:r>
      <w:r w:rsidR="00EA7934">
        <w:t>8</w:t>
      </w:r>
      <w:r w:rsidRPr="007832F6">
        <w:t xml:space="preserve">m. This is a significant ask and will require </w:t>
      </w:r>
      <w:r w:rsidR="005A4BBD">
        <w:t xml:space="preserve">continuing </w:t>
      </w:r>
      <w:r w:rsidRPr="007832F6">
        <w:t xml:space="preserve">regular monitoring and prioritisation from the officer leadership of the </w:t>
      </w:r>
      <w:r w:rsidR="001A22E0">
        <w:t>C</w:t>
      </w:r>
      <w:r w:rsidRPr="007832F6">
        <w:t>ouncil.</w:t>
      </w:r>
      <w:r w:rsidR="009B6DDA">
        <w:t xml:space="preserve"> </w:t>
      </w:r>
      <w:r w:rsidRPr="007832F6">
        <w:t xml:space="preserve">The track record of the </w:t>
      </w:r>
      <w:r w:rsidR="001A22E0">
        <w:t>C</w:t>
      </w:r>
      <w:r w:rsidRPr="007832F6">
        <w:t xml:space="preserve">ouncil is good in this </w:t>
      </w:r>
      <w:proofErr w:type="gramStart"/>
      <w:r w:rsidRPr="007832F6">
        <w:t>area</w:t>
      </w:r>
      <w:proofErr w:type="gramEnd"/>
      <w:r w:rsidRPr="007832F6">
        <w:t xml:space="preserve"> but this remains a significant ask.</w:t>
      </w:r>
    </w:p>
    <w:p w14:paraId="204C7536" w14:textId="77777777" w:rsidR="007832F6" w:rsidRPr="007832F6" w:rsidRDefault="007832F6" w:rsidP="007832F6">
      <w:pPr>
        <w:jc w:val="both"/>
      </w:pPr>
    </w:p>
    <w:p w14:paraId="30395DB4" w14:textId="77777777" w:rsidR="007832F6" w:rsidRPr="007832F6" w:rsidRDefault="004A7A82" w:rsidP="007832F6">
      <w:pPr>
        <w:jc w:val="both"/>
        <w:rPr>
          <w:b/>
          <w:bCs/>
        </w:rPr>
      </w:pPr>
      <w:r w:rsidRPr="007832F6">
        <w:rPr>
          <w:b/>
          <w:bCs/>
        </w:rPr>
        <w:t xml:space="preserve">Mitigations in place </w:t>
      </w:r>
    </w:p>
    <w:p w14:paraId="23CC8800" w14:textId="77777777" w:rsidR="007832F6" w:rsidRPr="007832F6" w:rsidRDefault="007832F6" w:rsidP="007832F6">
      <w:pPr>
        <w:jc w:val="both"/>
        <w:rPr>
          <w:b/>
          <w:bCs/>
        </w:rPr>
      </w:pPr>
    </w:p>
    <w:p w14:paraId="788A3805" w14:textId="43244302" w:rsidR="007832F6" w:rsidRPr="007832F6" w:rsidRDefault="004A7A82" w:rsidP="007832F6">
      <w:pPr>
        <w:jc w:val="both"/>
      </w:pPr>
      <w:r w:rsidRPr="007832F6">
        <w:t xml:space="preserve">The </w:t>
      </w:r>
      <w:r w:rsidR="001A22E0">
        <w:t>C</w:t>
      </w:r>
      <w:r w:rsidRPr="007832F6">
        <w:t xml:space="preserve">ouncil has </w:t>
      </w:r>
      <w:proofErr w:type="gramStart"/>
      <w:r w:rsidRPr="007832F6">
        <w:t>a number of</w:t>
      </w:r>
      <w:proofErr w:type="gramEnd"/>
      <w:r w:rsidRPr="007832F6">
        <w:t xml:space="preserve"> mitigations in place for these risks:</w:t>
      </w:r>
    </w:p>
    <w:p w14:paraId="699417B7" w14:textId="77777777" w:rsidR="007832F6" w:rsidRPr="007832F6" w:rsidRDefault="007832F6" w:rsidP="007832F6">
      <w:pPr>
        <w:jc w:val="both"/>
      </w:pPr>
    </w:p>
    <w:p w14:paraId="715ECA14" w14:textId="2DB192F2" w:rsidR="007832F6" w:rsidRDefault="004A7A82" w:rsidP="005838A0">
      <w:pPr>
        <w:pStyle w:val="ListParagraph"/>
        <w:numPr>
          <w:ilvl w:val="0"/>
          <w:numId w:val="18"/>
        </w:numPr>
        <w:contextualSpacing w:val="0"/>
        <w:jc w:val="both"/>
      </w:pPr>
      <w:r w:rsidRPr="007832F6">
        <w:t xml:space="preserve">Cabinet members and the directors within the </w:t>
      </w:r>
      <w:r w:rsidR="00FE2852">
        <w:t>c</w:t>
      </w:r>
      <w:r w:rsidRPr="007832F6">
        <w:t>ouncil regularly monitor the overall budget position and delivery of savings</w:t>
      </w:r>
      <w:r w:rsidR="009A230F">
        <w:t>.</w:t>
      </w:r>
    </w:p>
    <w:p w14:paraId="35729EA1" w14:textId="77777777" w:rsidR="009A230F" w:rsidRPr="007832F6" w:rsidRDefault="009A230F" w:rsidP="009A230F">
      <w:pPr>
        <w:pStyle w:val="ListParagraph"/>
        <w:contextualSpacing w:val="0"/>
        <w:jc w:val="both"/>
      </w:pPr>
    </w:p>
    <w:p w14:paraId="5C7B521B" w14:textId="093C5AF0" w:rsidR="007832F6" w:rsidRDefault="004A7A82" w:rsidP="005838A0">
      <w:pPr>
        <w:pStyle w:val="ListParagraph"/>
        <w:numPr>
          <w:ilvl w:val="0"/>
          <w:numId w:val="18"/>
        </w:numPr>
        <w:contextualSpacing w:val="0"/>
        <w:jc w:val="both"/>
      </w:pPr>
      <w:r w:rsidRPr="007832F6">
        <w:t>A Strategic Finance Board has been created (with representatives from all directorates) to embed this approach and oversee delivery of the budget</w:t>
      </w:r>
      <w:r w:rsidR="009A230F">
        <w:t>.</w:t>
      </w:r>
    </w:p>
    <w:p w14:paraId="28386AB3" w14:textId="77777777" w:rsidR="009A230F" w:rsidRPr="007832F6" w:rsidRDefault="009A230F" w:rsidP="009A230F">
      <w:pPr>
        <w:jc w:val="both"/>
      </w:pPr>
    </w:p>
    <w:p w14:paraId="0209C4EE" w14:textId="218B7225" w:rsidR="007832F6" w:rsidRDefault="004A7A82" w:rsidP="005838A0">
      <w:pPr>
        <w:pStyle w:val="ListParagraph"/>
        <w:numPr>
          <w:ilvl w:val="0"/>
          <w:numId w:val="18"/>
        </w:numPr>
        <w:contextualSpacing w:val="0"/>
        <w:jc w:val="both"/>
      </w:pPr>
      <w:r w:rsidRPr="007832F6">
        <w:t>A commissioning programme is being developed to review all future commissions with a view to providing sustainable services going forward</w:t>
      </w:r>
      <w:r w:rsidR="009A230F">
        <w:t>.</w:t>
      </w:r>
    </w:p>
    <w:p w14:paraId="7F2F1F95" w14:textId="77777777" w:rsidR="009A230F" w:rsidRPr="007832F6" w:rsidRDefault="009A230F" w:rsidP="009A230F">
      <w:pPr>
        <w:jc w:val="both"/>
      </w:pPr>
    </w:p>
    <w:p w14:paraId="4BD4A03F" w14:textId="154DCFD5" w:rsidR="007832F6" w:rsidRDefault="004A7A82" w:rsidP="005838A0">
      <w:pPr>
        <w:pStyle w:val="ListParagraph"/>
        <w:numPr>
          <w:ilvl w:val="0"/>
          <w:numId w:val="18"/>
        </w:numPr>
        <w:contextualSpacing w:val="0"/>
        <w:jc w:val="both"/>
      </w:pPr>
      <w:r w:rsidRPr="007832F6">
        <w:t>Market shaping is taking place in key areas of spend</w:t>
      </w:r>
      <w:r w:rsidR="009A230F">
        <w:t>.</w:t>
      </w:r>
    </w:p>
    <w:p w14:paraId="379086EB" w14:textId="77777777" w:rsidR="009A230F" w:rsidRPr="007832F6" w:rsidRDefault="009A230F" w:rsidP="009A230F">
      <w:pPr>
        <w:jc w:val="both"/>
      </w:pPr>
    </w:p>
    <w:p w14:paraId="37147D29" w14:textId="1F458F66" w:rsidR="007832F6" w:rsidRPr="007832F6" w:rsidRDefault="004A7A82" w:rsidP="005838A0">
      <w:pPr>
        <w:pStyle w:val="ListParagraph"/>
        <w:numPr>
          <w:ilvl w:val="0"/>
          <w:numId w:val="18"/>
        </w:numPr>
        <w:contextualSpacing w:val="0"/>
        <w:jc w:val="both"/>
      </w:pPr>
      <w:r w:rsidRPr="007832F6">
        <w:t xml:space="preserve">An </w:t>
      </w:r>
      <w:r w:rsidR="00986230" w:rsidRPr="007832F6">
        <w:t>evidence-based</w:t>
      </w:r>
      <w:r w:rsidRPr="007832F6">
        <w:t xml:space="preserve"> service review process is being undertaken to support the development of a 'sustainable budget' going forward</w:t>
      </w:r>
      <w:r w:rsidR="009A230F">
        <w:t>.</w:t>
      </w:r>
    </w:p>
    <w:p w14:paraId="28126A6F" w14:textId="77777777" w:rsidR="007832F6" w:rsidRPr="007832F6" w:rsidRDefault="007832F6" w:rsidP="007832F6">
      <w:pPr>
        <w:jc w:val="both"/>
        <w:rPr>
          <w:highlight w:val="yellow"/>
        </w:rPr>
      </w:pPr>
    </w:p>
    <w:p w14:paraId="6589E450" w14:textId="150D108F" w:rsidR="007832F6" w:rsidRPr="007832F6" w:rsidRDefault="004A7A82" w:rsidP="007832F6">
      <w:pPr>
        <w:jc w:val="both"/>
      </w:pPr>
      <w:r w:rsidRPr="007832F6">
        <w:t xml:space="preserve">The </w:t>
      </w:r>
      <w:r w:rsidR="001A22E0">
        <w:t>C</w:t>
      </w:r>
      <w:r w:rsidRPr="007832F6">
        <w:t>ouncil has a transitional reserve which,</w:t>
      </w:r>
      <w:r w:rsidR="00E82B16">
        <w:t xml:space="preserve"> </w:t>
      </w:r>
      <w:r w:rsidRPr="007832F6">
        <w:t xml:space="preserve">at present, 'smooths' the annual financial gap as the </w:t>
      </w:r>
      <w:r w:rsidR="001A22E0">
        <w:t>C</w:t>
      </w:r>
      <w:r w:rsidRPr="007832F6">
        <w:t>ouncil aspires to deliver a balanced and sustainable budget going forward.</w:t>
      </w:r>
    </w:p>
    <w:p w14:paraId="7608AF8B" w14:textId="77777777" w:rsidR="007832F6" w:rsidRPr="007832F6" w:rsidRDefault="007832F6" w:rsidP="007832F6">
      <w:pPr>
        <w:jc w:val="both"/>
      </w:pPr>
    </w:p>
    <w:p w14:paraId="46436992" w14:textId="77777777" w:rsidR="007832F6" w:rsidRPr="007832F6" w:rsidRDefault="004A7A82" w:rsidP="007832F6">
      <w:pPr>
        <w:jc w:val="both"/>
        <w:rPr>
          <w:b/>
          <w:bCs/>
        </w:rPr>
      </w:pPr>
      <w:r w:rsidRPr="007832F6">
        <w:rPr>
          <w:b/>
          <w:bCs/>
        </w:rPr>
        <w:t>Future developments</w:t>
      </w:r>
    </w:p>
    <w:p w14:paraId="2335EC78" w14:textId="77777777" w:rsidR="007832F6" w:rsidRPr="007832F6" w:rsidRDefault="007832F6" w:rsidP="007832F6">
      <w:pPr>
        <w:jc w:val="both"/>
      </w:pPr>
    </w:p>
    <w:p w14:paraId="66BD76AE" w14:textId="71829ED6" w:rsidR="007832F6" w:rsidRPr="007832F6" w:rsidRDefault="004A7A82" w:rsidP="007832F6">
      <w:pPr>
        <w:jc w:val="both"/>
      </w:pPr>
      <w:proofErr w:type="gramStart"/>
      <w:r w:rsidRPr="007832F6">
        <w:t>A number of</w:t>
      </w:r>
      <w:proofErr w:type="gramEnd"/>
      <w:r w:rsidRPr="007832F6">
        <w:t xml:space="preserve"> associated strategies are managed within the </w:t>
      </w:r>
      <w:r w:rsidR="001A22E0">
        <w:t>C</w:t>
      </w:r>
      <w:r w:rsidRPr="007832F6">
        <w:t xml:space="preserve">ouncil which may impact on the </w:t>
      </w:r>
      <w:r w:rsidR="001A22E0">
        <w:t>C</w:t>
      </w:r>
      <w:r w:rsidRPr="007832F6">
        <w:t>ouncil</w:t>
      </w:r>
      <w:r w:rsidR="00FE2852">
        <w:t>'</w:t>
      </w:r>
      <w:r w:rsidRPr="007832F6">
        <w:t>s overall budget position in the medium term. These will be included as specific sections in future budget reports.</w:t>
      </w:r>
    </w:p>
    <w:p w14:paraId="0D7EEF2B" w14:textId="77777777" w:rsidR="007832F6" w:rsidRPr="007832F6" w:rsidRDefault="007832F6" w:rsidP="007832F6">
      <w:pPr>
        <w:jc w:val="both"/>
      </w:pPr>
    </w:p>
    <w:p w14:paraId="5565F7AC" w14:textId="00443515" w:rsidR="007832F6" w:rsidRPr="007832F6" w:rsidRDefault="004A7A82" w:rsidP="007832F6">
      <w:pPr>
        <w:jc w:val="both"/>
      </w:pPr>
      <w:r w:rsidRPr="04A86609">
        <w:rPr>
          <w:b/>
          <w:bCs/>
        </w:rPr>
        <w:lastRenderedPageBreak/>
        <w:t>High needs block</w:t>
      </w:r>
      <w:r>
        <w:t xml:space="preserve"> (SEND) – there is a deficit building up on this block which based on current trends will only increase. This is a national position and one which is being actively reviewed. </w:t>
      </w:r>
      <w:r w:rsidR="6644BD98" w:rsidRPr="04A86609">
        <w:rPr>
          <w:rFonts w:cs="Arial"/>
        </w:rPr>
        <w:t>For Lancashire the estimated position at present is an overspend of £7.2m in 2023/24</w:t>
      </w:r>
      <w:r w:rsidR="5D257993" w:rsidRPr="04A86609">
        <w:rPr>
          <w:rFonts w:cs="Arial"/>
        </w:rPr>
        <w:t xml:space="preserve">. </w:t>
      </w:r>
      <w:r>
        <w:t>This position will need to</w:t>
      </w:r>
      <w:r w:rsidR="007023BA">
        <w:t xml:space="preserve"> be</w:t>
      </w:r>
      <w:r>
        <w:t xml:space="preserve"> monitored carefully. At present there is a statutory </w:t>
      </w:r>
      <w:r w:rsidR="5D257993">
        <w:t>override</w:t>
      </w:r>
      <w:r>
        <w:t xml:space="preserve"> which means the </w:t>
      </w:r>
      <w:r w:rsidR="001A22E0">
        <w:t>C</w:t>
      </w:r>
      <w:r>
        <w:t xml:space="preserve">ouncil does not have to fund the deficit. There is no national solution to this challenge at present and the </w:t>
      </w:r>
      <w:r w:rsidR="14D24300">
        <w:t>override</w:t>
      </w:r>
      <w:r>
        <w:t xml:space="preserve"> expires in 2026/27. </w:t>
      </w:r>
      <w:r w:rsidR="7045F9B7">
        <w:t xml:space="preserve">As part of its financial planning the </w:t>
      </w:r>
      <w:r w:rsidR="001A22E0">
        <w:t>C</w:t>
      </w:r>
      <w:r w:rsidR="7045F9B7">
        <w:t xml:space="preserve">ouncil holds a DSG reserve which covers these costs. However, going forward as the costs increase each year and if the statutory </w:t>
      </w:r>
      <w:r w:rsidR="007023BA">
        <w:t>override</w:t>
      </w:r>
      <w:r w:rsidR="7045F9B7">
        <w:t xml:space="preserve"> is removed this will become a </w:t>
      </w:r>
      <w:r w:rsidR="6E93977C">
        <w:t xml:space="preserve">significant financial challenge to the </w:t>
      </w:r>
      <w:r w:rsidR="001A22E0">
        <w:t>C</w:t>
      </w:r>
      <w:r w:rsidR="6E93977C">
        <w:t>ouncil.</w:t>
      </w:r>
    </w:p>
    <w:p w14:paraId="6A90F261" w14:textId="70358D61" w:rsidR="007832F6" w:rsidRPr="007832F6" w:rsidRDefault="004A7A82" w:rsidP="007832F6">
      <w:pPr>
        <w:jc w:val="both"/>
      </w:pPr>
      <w:r>
        <w:t xml:space="preserve"> </w:t>
      </w:r>
    </w:p>
    <w:p w14:paraId="55AF5C96" w14:textId="66EAE1A4" w:rsidR="007832F6" w:rsidRPr="007832F6" w:rsidRDefault="004A7A82" w:rsidP="007832F6">
      <w:pPr>
        <w:jc w:val="both"/>
      </w:pPr>
      <w:r w:rsidRPr="007832F6">
        <w:t xml:space="preserve">At this moment in time this is not an issue reflected in the </w:t>
      </w:r>
      <w:r w:rsidR="001A22E0">
        <w:t>C</w:t>
      </w:r>
      <w:r w:rsidRPr="007832F6">
        <w:t>ouncil</w:t>
      </w:r>
      <w:r w:rsidR="00196161">
        <w:t>'</w:t>
      </w:r>
      <w:r w:rsidRPr="007832F6">
        <w:t>s budget due to the statutory override.</w:t>
      </w:r>
    </w:p>
    <w:p w14:paraId="190236F7" w14:textId="77777777" w:rsidR="007832F6" w:rsidRPr="007832F6" w:rsidRDefault="007832F6" w:rsidP="007832F6">
      <w:pPr>
        <w:jc w:val="both"/>
        <w:rPr>
          <w:color w:val="FF0000"/>
        </w:rPr>
      </w:pPr>
    </w:p>
    <w:p w14:paraId="05036D69" w14:textId="206A42FF" w:rsidR="007832F6" w:rsidRPr="007832F6" w:rsidRDefault="004A7A82" w:rsidP="007832F6">
      <w:pPr>
        <w:jc w:val="both"/>
      </w:pPr>
      <w:r w:rsidRPr="007832F6">
        <w:rPr>
          <w:b/>
          <w:bCs/>
        </w:rPr>
        <w:t xml:space="preserve">Treasury Management – </w:t>
      </w:r>
      <w:r w:rsidRPr="007832F6">
        <w:t xml:space="preserve">The </w:t>
      </w:r>
      <w:r w:rsidR="001A22E0">
        <w:t>C</w:t>
      </w:r>
      <w:r w:rsidRPr="007832F6">
        <w:t xml:space="preserve">ouncil has a </w:t>
      </w:r>
      <w:r w:rsidR="008D15C1">
        <w:t xml:space="preserve">historically </w:t>
      </w:r>
      <w:r w:rsidRPr="007832F6">
        <w:t>successful treasury management strategy. Given the changes to the macro-economic conditions over recent years this strategy will need to be continually monitored and will be included in future years budget reports.</w:t>
      </w:r>
    </w:p>
    <w:p w14:paraId="6F891A27" w14:textId="77777777" w:rsidR="007832F6" w:rsidRPr="007832F6" w:rsidRDefault="007832F6" w:rsidP="007832F6">
      <w:pPr>
        <w:jc w:val="both"/>
      </w:pPr>
    </w:p>
    <w:p w14:paraId="79BD2F2B" w14:textId="10DA0D6C" w:rsidR="007832F6" w:rsidRPr="007832F6" w:rsidRDefault="004A7A82" w:rsidP="007832F6">
      <w:pPr>
        <w:jc w:val="both"/>
      </w:pPr>
      <w:r w:rsidRPr="007832F6">
        <w:rPr>
          <w:b/>
          <w:bCs/>
        </w:rPr>
        <w:t xml:space="preserve">Major Projects – </w:t>
      </w:r>
      <w:r w:rsidRPr="007832F6">
        <w:t xml:space="preserve">The </w:t>
      </w:r>
      <w:r w:rsidR="00FE2CEF">
        <w:t>C</w:t>
      </w:r>
      <w:r w:rsidRPr="007832F6">
        <w:t xml:space="preserve">ouncil successfully supports </w:t>
      </w:r>
      <w:proofErr w:type="gramStart"/>
      <w:r w:rsidRPr="007832F6">
        <w:t>a number of</w:t>
      </w:r>
      <w:proofErr w:type="gramEnd"/>
      <w:r w:rsidRPr="007832F6">
        <w:t xml:space="preserve"> major projects to promote regeneration and economic growth across the County. For completeness the support for these will be included as a section in the budget reports.  </w:t>
      </w:r>
    </w:p>
    <w:p w14:paraId="334BDAD3" w14:textId="77777777" w:rsidR="007832F6" w:rsidRPr="007832F6" w:rsidRDefault="007832F6" w:rsidP="00196161">
      <w:pPr>
        <w:tabs>
          <w:tab w:val="left" w:pos="720"/>
          <w:tab w:val="left" w:pos="9180"/>
        </w:tabs>
        <w:ind w:right="-79"/>
        <w:jc w:val="both"/>
        <w:rPr>
          <w:b/>
        </w:rPr>
      </w:pPr>
    </w:p>
    <w:p w14:paraId="0016A806" w14:textId="77777777" w:rsidR="007832F6" w:rsidRPr="007832F6" w:rsidRDefault="004A7A82" w:rsidP="007832F6">
      <w:pPr>
        <w:tabs>
          <w:tab w:val="left" w:pos="720"/>
          <w:tab w:val="left" w:pos="9180"/>
        </w:tabs>
        <w:ind w:left="720" w:right="-79" w:hanging="720"/>
        <w:jc w:val="both"/>
        <w:rPr>
          <w:b/>
        </w:rPr>
      </w:pPr>
      <w:r w:rsidRPr="007832F6">
        <w:rPr>
          <w:b/>
        </w:rPr>
        <w:t>Reserves Strategy</w:t>
      </w:r>
    </w:p>
    <w:p w14:paraId="0CD4B707" w14:textId="77777777" w:rsidR="007832F6" w:rsidRPr="007832F6" w:rsidRDefault="007832F6" w:rsidP="007832F6">
      <w:pPr>
        <w:tabs>
          <w:tab w:val="left" w:pos="9180"/>
        </w:tabs>
        <w:ind w:right="-79"/>
        <w:jc w:val="both"/>
      </w:pPr>
    </w:p>
    <w:p w14:paraId="577E4BF4" w14:textId="1E49D8FF" w:rsidR="007832F6" w:rsidRPr="007832F6" w:rsidRDefault="004A7A82" w:rsidP="007832F6">
      <w:pPr>
        <w:tabs>
          <w:tab w:val="left" w:pos="9180"/>
        </w:tabs>
        <w:ind w:right="-79"/>
        <w:jc w:val="both"/>
      </w:pPr>
      <w:r w:rsidRPr="007832F6">
        <w:t xml:space="preserve">It is important the </w:t>
      </w:r>
      <w:r w:rsidR="00FE2CEF">
        <w:t>C</w:t>
      </w:r>
      <w:r w:rsidRPr="007832F6">
        <w:t xml:space="preserve">ouncil maintains and monitors an appropriate level of reserves in these challenging times and this needs to be a careful consideration between ensuring sufficient reserves exist for a sustainable financial future against not accumulating reserves at the expense of needing to make decisions in the short term that could be operationally damaging to the </w:t>
      </w:r>
      <w:r w:rsidR="00FE2CEF">
        <w:t>C</w:t>
      </w:r>
      <w:r w:rsidRPr="007832F6">
        <w:t>ouncil</w:t>
      </w:r>
      <w:r w:rsidR="00FE2852">
        <w:t>'</w:t>
      </w:r>
      <w:r w:rsidRPr="007832F6">
        <w:t>s ability to provide the services it needs to its residents, service users and other stakeholders.</w:t>
      </w:r>
    </w:p>
    <w:p w14:paraId="35681017" w14:textId="77777777" w:rsidR="007832F6" w:rsidRPr="007832F6" w:rsidRDefault="007832F6" w:rsidP="007832F6">
      <w:pPr>
        <w:tabs>
          <w:tab w:val="left" w:pos="9180"/>
        </w:tabs>
        <w:ind w:right="-79"/>
        <w:jc w:val="both"/>
      </w:pPr>
    </w:p>
    <w:p w14:paraId="743E1885" w14:textId="01BE6D31" w:rsidR="007832F6" w:rsidRPr="007832F6" w:rsidRDefault="004A7A82" w:rsidP="007832F6">
      <w:pPr>
        <w:autoSpaceDE w:val="0"/>
        <w:autoSpaceDN w:val="0"/>
        <w:adjustRightInd w:val="0"/>
        <w:jc w:val="both"/>
        <w:rPr>
          <w:rFonts w:cs="Arial"/>
        </w:rPr>
      </w:pPr>
      <w:r w:rsidRPr="007832F6">
        <w:rPr>
          <w:rFonts w:cs="Arial"/>
        </w:rPr>
        <w:t xml:space="preserve">The </w:t>
      </w:r>
      <w:r w:rsidR="00FE2CEF">
        <w:rPr>
          <w:rFonts w:cs="Arial"/>
        </w:rPr>
        <w:t>C</w:t>
      </w:r>
      <w:r w:rsidRPr="007832F6">
        <w:rPr>
          <w:rFonts w:cs="Arial"/>
        </w:rPr>
        <w:t xml:space="preserve">ouncil holds reserves for </w:t>
      </w:r>
      <w:proofErr w:type="gramStart"/>
      <w:r w:rsidRPr="007832F6">
        <w:rPr>
          <w:rFonts w:cs="Arial"/>
        </w:rPr>
        <w:t>a number of</w:t>
      </w:r>
      <w:proofErr w:type="gramEnd"/>
      <w:r w:rsidRPr="007832F6">
        <w:rPr>
          <w:rFonts w:cs="Arial"/>
        </w:rPr>
        <w:t xml:space="preserve"> reasons:</w:t>
      </w:r>
    </w:p>
    <w:p w14:paraId="0D3FA22D" w14:textId="77777777" w:rsidR="007832F6" w:rsidRPr="007832F6" w:rsidRDefault="007832F6" w:rsidP="007832F6">
      <w:pPr>
        <w:autoSpaceDE w:val="0"/>
        <w:autoSpaceDN w:val="0"/>
        <w:adjustRightInd w:val="0"/>
        <w:rPr>
          <w:rFonts w:cs="Arial"/>
        </w:rPr>
      </w:pPr>
    </w:p>
    <w:p w14:paraId="5D3D5590" w14:textId="323A9243" w:rsidR="007832F6" w:rsidRPr="007832F6" w:rsidRDefault="004A7A82" w:rsidP="005838A0">
      <w:pPr>
        <w:numPr>
          <w:ilvl w:val="0"/>
          <w:numId w:val="11"/>
        </w:numPr>
        <w:autoSpaceDE w:val="0"/>
        <w:autoSpaceDN w:val="0"/>
        <w:adjustRightInd w:val="0"/>
        <w:jc w:val="both"/>
        <w:outlineLvl w:val="0"/>
        <w:rPr>
          <w:rFonts w:cs="Arial"/>
        </w:rPr>
      </w:pPr>
      <w:r w:rsidRPr="007832F6">
        <w:rPr>
          <w:rFonts w:cs="Arial"/>
        </w:rPr>
        <w:t xml:space="preserve">to enable the </w:t>
      </w:r>
      <w:r w:rsidR="00FE2CEF">
        <w:rPr>
          <w:rFonts w:cs="Arial"/>
        </w:rPr>
        <w:t>C</w:t>
      </w:r>
      <w:r w:rsidRPr="007832F6">
        <w:rPr>
          <w:rFonts w:cs="Arial"/>
        </w:rPr>
        <w:t>ouncil to deal with unexpected events such as flooding or the destruction of a major asset through fire,</w:t>
      </w:r>
    </w:p>
    <w:p w14:paraId="15085E84" w14:textId="7364D9FC" w:rsidR="007832F6" w:rsidRPr="007832F6" w:rsidRDefault="004A7A82" w:rsidP="005838A0">
      <w:pPr>
        <w:numPr>
          <w:ilvl w:val="0"/>
          <w:numId w:val="11"/>
        </w:numPr>
        <w:autoSpaceDE w:val="0"/>
        <w:autoSpaceDN w:val="0"/>
        <w:adjustRightInd w:val="0"/>
        <w:jc w:val="both"/>
        <w:outlineLvl w:val="0"/>
        <w:rPr>
          <w:rFonts w:cs="Arial"/>
        </w:rPr>
      </w:pPr>
      <w:r w:rsidRPr="007832F6">
        <w:rPr>
          <w:rFonts w:cs="Arial"/>
        </w:rPr>
        <w:t xml:space="preserve">to enable the </w:t>
      </w:r>
      <w:r w:rsidR="00FE2CEF">
        <w:rPr>
          <w:rFonts w:cs="Arial"/>
        </w:rPr>
        <w:t>C</w:t>
      </w:r>
      <w:r w:rsidRPr="007832F6">
        <w:rPr>
          <w:rFonts w:cs="Arial"/>
        </w:rPr>
        <w:t>ouncil to manage variations in the demand for or cost of services which cause in year budget pressures, and</w:t>
      </w:r>
    </w:p>
    <w:p w14:paraId="7D1EA253" w14:textId="77777777" w:rsidR="007832F6" w:rsidRPr="007832F6" w:rsidRDefault="004A7A82" w:rsidP="005838A0">
      <w:pPr>
        <w:numPr>
          <w:ilvl w:val="0"/>
          <w:numId w:val="11"/>
        </w:numPr>
        <w:autoSpaceDE w:val="0"/>
        <w:autoSpaceDN w:val="0"/>
        <w:adjustRightInd w:val="0"/>
        <w:jc w:val="both"/>
        <w:outlineLvl w:val="0"/>
        <w:rPr>
          <w:rFonts w:cs="Arial"/>
        </w:rPr>
      </w:pPr>
      <w:r w:rsidRPr="007832F6">
        <w:rPr>
          <w:rFonts w:cs="Arial"/>
        </w:rPr>
        <w:t xml:space="preserve">to fund specific projects or identified demands on the budget. </w:t>
      </w:r>
    </w:p>
    <w:p w14:paraId="1B464915" w14:textId="77777777" w:rsidR="007832F6" w:rsidRPr="007832F6" w:rsidRDefault="007832F6" w:rsidP="007832F6">
      <w:pPr>
        <w:autoSpaceDE w:val="0"/>
        <w:autoSpaceDN w:val="0"/>
        <w:adjustRightInd w:val="0"/>
        <w:jc w:val="both"/>
        <w:rPr>
          <w:rFonts w:cs="Arial"/>
        </w:rPr>
      </w:pPr>
    </w:p>
    <w:p w14:paraId="726E7913" w14:textId="77777777" w:rsidR="007832F6" w:rsidRPr="007832F6" w:rsidRDefault="004A7A82" w:rsidP="007832F6">
      <w:pPr>
        <w:autoSpaceDE w:val="0"/>
        <w:autoSpaceDN w:val="0"/>
        <w:adjustRightInd w:val="0"/>
        <w:jc w:val="both"/>
        <w:rPr>
          <w:rFonts w:cs="Arial"/>
        </w:rPr>
      </w:pPr>
      <w:r w:rsidRPr="007832F6">
        <w:rPr>
          <w:rFonts w:cs="Arial"/>
        </w:rPr>
        <w:t xml:space="preserve">There is no 'right' answer to the question of the appropriate level of reserves for a local authority; this is a matter of judgement </w:t>
      </w:r>
      <w:proofErr w:type="gramStart"/>
      <w:r w:rsidRPr="007832F6">
        <w:rPr>
          <w:rFonts w:cs="Arial"/>
        </w:rPr>
        <w:t>taking into account</w:t>
      </w:r>
      <w:proofErr w:type="gramEnd"/>
      <w:r w:rsidRPr="007832F6">
        <w:rPr>
          <w:rFonts w:cs="Arial"/>
        </w:rPr>
        <w:t>:</w:t>
      </w:r>
    </w:p>
    <w:p w14:paraId="1327D4ED" w14:textId="77777777" w:rsidR="007832F6" w:rsidRPr="007832F6" w:rsidRDefault="007832F6" w:rsidP="007832F6">
      <w:pPr>
        <w:autoSpaceDE w:val="0"/>
        <w:autoSpaceDN w:val="0"/>
        <w:adjustRightInd w:val="0"/>
        <w:jc w:val="both"/>
        <w:rPr>
          <w:rFonts w:cs="Arial"/>
        </w:rPr>
      </w:pPr>
    </w:p>
    <w:p w14:paraId="7A2047DC" w14:textId="77777777" w:rsidR="007832F6" w:rsidRPr="007832F6" w:rsidRDefault="004A7A82" w:rsidP="005838A0">
      <w:pPr>
        <w:numPr>
          <w:ilvl w:val="0"/>
          <w:numId w:val="12"/>
        </w:numPr>
        <w:autoSpaceDE w:val="0"/>
        <w:autoSpaceDN w:val="0"/>
        <w:adjustRightInd w:val="0"/>
        <w:jc w:val="both"/>
        <w:outlineLvl w:val="0"/>
        <w:rPr>
          <w:rFonts w:cs="Arial"/>
        </w:rPr>
      </w:pPr>
      <w:r w:rsidRPr="007832F6">
        <w:rPr>
          <w:rFonts w:cs="Arial"/>
        </w:rPr>
        <w:t>the level of risk and opportunity evident within the budget as set out above,</w:t>
      </w:r>
    </w:p>
    <w:p w14:paraId="4371B2DD" w14:textId="77777777" w:rsidR="007832F6" w:rsidRPr="007832F6" w:rsidRDefault="004A7A82" w:rsidP="005838A0">
      <w:pPr>
        <w:numPr>
          <w:ilvl w:val="0"/>
          <w:numId w:val="12"/>
        </w:numPr>
        <w:autoSpaceDE w:val="0"/>
        <w:autoSpaceDN w:val="0"/>
        <w:adjustRightInd w:val="0"/>
        <w:jc w:val="both"/>
        <w:outlineLvl w:val="0"/>
        <w:rPr>
          <w:rFonts w:cs="Arial"/>
        </w:rPr>
      </w:pPr>
      <w:r w:rsidRPr="007832F6">
        <w:rPr>
          <w:rFonts w:cs="Arial"/>
        </w:rPr>
        <w:t>a judgement on the effectiveness of budgetary control within the organisation, and</w:t>
      </w:r>
    </w:p>
    <w:p w14:paraId="7BE7B082" w14:textId="77777777" w:rsidR="007832F6" w:rsidRPr="007832F6" w:rsidRDefault="004A7A82" w:rsidP="005838A0">
      <w:pPr>
        <w:numPr>
          <w:ilvl w:val="0"/>
          <w:numId w:val="12"/>
        </w:numPr>
        <w:autoSpaceDE w:val="0"/>
        <w:autoSpaceDN w:val="0"/>
        <w:adjustRightInd w:val="0"/>
        <w:jc w:val="both"/>
        <w:outlineLvl w:val="0"/>
        <w:rPr>
          <w:rFonts w:cs="Arial"/>
        </w:rPr>
      </w:pPr>
      <w:r w:rsidRPr="007832F6">
        <w:rPr>
          <w:rFonts w:cs="Arial"/>
        </w:rPr>
        <w:t>the degree to which funds have already been set aside for specific purposes which will reduce the need for general reserves.</w:t>
      </w:r>
    </w:p>
    <w:p w14:paraId="026B5E78" w14:textId="77777777" w:rsidR="007832F6" w:rsidRPr="007832F6" w:rsidRDefault="007832F6" w:rsidP="007832F6">
      <w:pPr>
        <w:autoSpaceDE w:val="0"/>
        <w:autoSpaceDN w:val="0"/>
        <w:adjustRightInd w:val="0"/>
        <w:ind w:left="720"/>
        <w:outlineLvl w:val="0"/>
        <w:rPr>
          <w:rFonts w:cs="Arial"/>
          <w:highlight w:val="yellow"/>
        </w:rPr>
      </w:pPr>
    </w:p>
    <w:p w14:paraId="7D389DD8" w14:textId="7ADD205F" w:rsidR="004F4682" w:rsidRPr="00C33056" w:rsidRDefault="004A7A82" w:rsidP="004F4682">
      <w:pPr>
        <w:autoSpaceDE w:val="0"/>
        <w:autoSpaceDN w:val="0"/>
        <w:adjustRightInd w:val="0"/>
        <w:jc w:val="both"/>
        <w:rPr>
          <w:rFonts w:cs="Arial"/>
        </w:rPr>
      </w:pPr>
      <w:r w:rsidRPr="00CA6CC4">
        <w:rPr>
          <w:rFonts w:cs="Arial"/>
        </w:rPr>
        <w:t xml:space="preserve">The </w:t>
      </w:r>
      <w:r w:rsidR="00FE2CEF">
        <w:rPr>
          <w:rFonts w:cs="Arial"/>
        </w:rPr>
        <w:t>C</w:t>
      </w:r>
      <w:r w:rsidRPr="00CA6CC4">
        <w:rPr>
          <w:rFonts w:cs="Arial"/>
        </w:rPr>
        <w:t xml:space="preserve">ouncil is forecast to hold c£349m in reserves in total </w:t>
      </w:r>
      <w:proofErr w:type="gramStart"/>
      <w:r w:rsidRPr="00CA6CC4">
        <w:rPr>
          <w:rFonts w:cs="Arial"/>
        </w:rPr>
        <w:t>at</w:t>
      </w:r>
      <w:proofErr w:type="gramEnd"/>
      <w:r w:rsidRPr="00CA6CC4">
        <w:rPr>
          <w:rFonts w:cs="Arial"/>
        </w:rPr>
        <w:t xml:space="preserve"> 31 March 2024. An element of this (£160m) is earmarked for specific purposes.</w:t>
      </w:r>
      <w:r>
        <w:rPr>
          <w:rFonts w:cs="Arial"/>
        </w:rPr>
        <w:t xml:space="preserve"> The only reserves without </w:t>
      </w:r>
      <w:r>
        <w:rPr>
          <w:rFonts w:cs="Arial"/>
        </w:rPr>
        <w:lastRenderedPageBreak/>
        <w:t xml:space="preserve">identified commitments for the full balance forecast at the end of the 2023/24 financial year are the county fund reserve and the transitional reserve. </w:t>
      </w:r>
    </w:p>
    <w:p w14:paraId="23D8FC88" w14:textId="77777777" w:rsidR="007832F6" w:rsidRPr="007832F6" w:rsidRDefault="007832F6" w:rsidP="007832F6">
      <w:pPr>
        <w:autoSpaceDE w:val="0"/>
        <w:autoSpaceDN w:val="0"/>
        <w:adjustRightInd w:val="0"/>
        <w:jc w:val="both"/>
        <w:rPr>
          <w:rFonts w:cs="Arial"/>
        </w:rPr>
      </w:pPr>
    </w:p>
    <w:p w14:paraId="565CB33D" w14:textId="64A2FEDC" w:rsidR="007832F6" w:rsidRPr="007832F6" w:rsidRDefault="004A7A82" w:rsidP="007832F6">
      <w:pPr>
        <w:autoSpaceDE w:val="0"/>
        <w:autoSpaceDN w:val="0"/>
        <w:adjustRightInd w:val="0"/>
        <w:jc w:val="both"/>
        <w:rPr>
          <w:rFonts w:cs="Arial"/>
        </w:rPr>
      </w:pPr>
      <w:r w:rsidRPr="007832F6">
        <w:rPr>
          <w:rFonts w:cs="Arial"/>
        </w:rPr>
        <w:t xml:space="preserve">One particular 'earmarked reserve' the </w:t>
      </w:r>
      <w:r w:rsidR="00FE2CEF">
        <w:rPr>
          <w:rFonts w:cs="Arial"/>
        </w:rPr>
        <w:t>C</w:t>
      </w:r>
      <w:r w:rsidRPr="007832F6">
        <w:rPr>
          <w:rFonts w:cs="Arial"/>
        </w:rPr>
        <w:t xml:space="preserve">ouncil holds is the Treasury Management </w:t>
      </w:r>
      <w:r w:rsidR="007023BA" w:rsidRPr="007832F6">
        <w:rPr>
          <w:rFonts w:cs="Arial"/>
        </w:rPr>
        <w:t>reserve, which</w:t>
      </w:r>
      <w:r w:rsidRPr="007832F6">
        <w:rPr>
          <w:rFonts w:cs="Arial"/>
        </w:rPr>
        <w:t xml:space="preserve"> is forecast to hold £</w:t>
      </w:r>
      <w:r w:rsidR="00D02495">
        <w:rPr>
          <w:rFonts w:cs="Arial"/>
        </w:rPr>
        <w:t>27</w:t>
      </w:r>
      <w:r w:rsidRPr="007832F6">
        <w:rPr>
          <w:rFonts w:cs="Arial"/>
        </w:rPr>
        <w:t xml:space="preserve">.3m by the end of the financial year to hedge against the uncertainty and volatility inherent in these markets. The reserve will enable the </w:t>
      </w:r>
      <w:r w:rsidR="00FE2CEF">
        <w:rPr>
          <w:rFonts w:cs="Arial"/>
        </w:rPr>
        <w:t>C</w:t>
      </w:r>
      <w:r w:rsidRPr="007832F6">
        <w:rPr>
          <w:rFonts w:cs="Arial"/>
        </w:rPr>
        <w:t>ouncil to manage unpredicted interest rate changes and associated risks over the short-term without directly impacting the revenue account</w:t>
      </w:r>
      <w:r w:rsidR="007023BA">
        <w:rPr>
          <w:rFonts w:cs="Arial"/>
        </w:rPr>
        <w:t>.</w:t>
      </w:r>
    </w:p>
    <w:p w14:paraId="3D551017" w14:textId="77777777" w:rsidR="007832F6" w:rsidRPr="007832F6" w:rsidRDefault="007832F6" w:rsidP="007832F6">
      <w:pPr>
        <w:autoSpaceDE w:val="0"/>
        <w:autoSpaceDN w:val="0"/>
        <w:adjustRightInd w:val="0"/>
        <w:jc w:val="both"/>
        <w:rPr>
          <w:rFonts w:cs="Arial"/>
        </w:rPr>
      </w:pPr>
    </w:p>
    <w:p w14:paraId="03570F89" w14:textId="2D1DDD76" w:rsidR="007832F6" w:rsidRPr="007832F6" w:rsidRDefault="004A7A82" w:rsidP="007832F6">
      <w:pPr>
        <w:autoSpaceDE w:val="0"/>
        <w:autoSpaceDN w:val="0"/>
        <w:adjustRightInd w:val="0"/>
        <w:jc w:val="both"/>
        <w:rPr>
          <w:rFonts w:cs="Arial"/>
        </w:rPr>
      </w:pPr>
      <w:r w:rsidRPr="007832F6">
        <w:rPr>
          <w:rFonts w:cs="Arial"/>
        </w:rPr>
        <w:t xml:space="preserve">In relation to the </w:t>
      </w:r>
      <w:r w:rsidR="00FE2CEF">
        <w:rPr>
          <w:rFonts w:cs="Arial"/>
        </w:rPr>
        <w:t>C</w:t>
      </w:r>
      <w:r w:rsidRPr="007832F6">
        <w:rPr>
          <w:rFonts w:cs="Arial"/>
        </w:rPr>
        <w:t xml:space="preserve">ouncil's general reserve (County Fund Balance), the forecast level </w:t>
      </w:r>
      <w:proofErr w:type="gramStart"/>
      <w:r w:rsidRPr="007832F6">
        <w:rPr>
          <w:rFonts w:cs="Arial"/>
        </w:rPr>
        <w:t>at</w:t>
      </w:r>
      <w:proofErr w:type="gramEnd"/>
      <w:r w:rsidRPr="007832F6">
        <w:rPr>
          <w:rFonts w:cs="Arial"/>
        </w:rPr>
        <w:t xml:space="preserve"> 31 March 2023 is £23.437m. This represents </w:t>
      </w:r>
      <w:r w:rsidR="00AD35E9">
        <w:rPr>
          <w:rFonts w:cs="Arial"/>
        </w:rPr>
        <w:t>2.2</w:t>
      </w:r>
      <w:r w:rsidRPr="007832F6">
        <w:rPr>
          <w:rFonts w:cs="Arial"/>
        </w:rPr>
        <w:t xml:space="preserve">% of the net budget. Given the current uncertainty facing the </w:t>
      </w:r>
      <w:r w:rsidR="00FE2CEF">
        <w:rPr>
          <w:rFonts w:cs="Arial"/>
        </w:rPr>
        <w:t>C</w:t>
      </w:r>
      <w:r w:rsidRPr="007832F6">
        <w:rPr>
          <w:rFonts w:cs="Arial"/>
        </w:rPr>
        <w:t>ouncil in isolation this would be seen as a very low level of reserve to hold. However</w:t>
      </w:r>
      <w:r w:rsidR="00AD35E9">
        <w:rPr>
          <w:rFonts w:cs="Arial"/>
        </w:rPr>
        <w:t>,</w:t>
      </w:r>
      <w:r w:rsidRPr="007832F6">
        <w:rPr>
          <w:rFonts w:cs="Arial"/>
        </w:rPr>
        <w:t xml:space="preserve"> the </w:t>
      </w:r>
      <w:r w:rsidR="00FE2CEF">
        <w:rPr>
          <w:rFonts w:cs="Arial"/>
        </w:rPr>
        <w:t>C</w:t>
      </w:r>
      <w:r w:rsidRPr="007832F6">
        <w:rPr>
          <w:rFonts w:cs="Arial"/>
        </w:rPr>
        <w:t xml:space="preserve">ouncil has a transition reserve which acts as a 'safety net' to support the </w:t>
      </w:r>
      <w:r w:rsidR="00FE2CEF">
        <w:rPr>
          <w:rFonts w:cs="Arial"/>
        </w:rPr>
        <w:t>C</w:t>
      </w:r>
      <w:r w:rsidRPr="007832F6">
        <w:rPr>
          <w:rFonts w:cs="Arial"/>
        </w:rPr>
        <w:t xml:space="preserve">ouncil developing a sustainable budget over the coming years. Over the next few </w:t>
      </w:r>
      <w:proofErr w:type="gramStart"/>
      <w:r w:rsidRPr="007832F6">
        <w:rPr>
          <w:rFonts w:cs="Arial"/>
        </w:rPr>
        <w:t>years</w:t>
      </w:r>
      <w:proofErr w:type="gramEnd"/>
      <w:r w:rsidRPr="007832F6">
        <w:rPr>
          <w:rFonts w:cs="Arial"/>
        </w:rPr>
        <w:t xml:space="preserve"> it will be important to give consideration to building the </w:t>
      </w:r>
      <w:r w:rsidR="00AD35E9" w:rsidRPr="007832F6">
        <w:rPr>
          <w:rFonts w:cs="Arial"/>
        </w:rPr>
        <w:t>general reserve</w:t>
      </w:r>
      <w:r w:rsidRPr="007832F6">
        <w:rPr>
          <w:rFonts w:cs="Arial"/>
        </w:rPr>
        <w:t xml:space="preserve"> up to a sustainable level as part of the budget plans.</w:t>
      </w:r>
    </w:p>
    <w:p w14:paraId="7BDCB29B" w14:textId="1025708A" w:rsidR="007832F6" w:rsidRPr="007832F6" w:rsidRDefault="007832F6" w:rsidP="007832F6">
      <w:pPr>
        <w:autoSpaceDE w:val="0"/>
        <w:autoSpaceDN w:val="0"/>
        <w:adjustRightInd w:val="0"/>
        <w:jc w:val="both"/>
        <w:rPr>
          <w:rFonts w:cs="Arial"/>
        </w:rPr>
      </w:pPr>
    </w:p>
    <w:p w14:paraId="5CBCE64F" w14:textId="092C6195" w:rsidR="007832F6" w:rsidRPr="007832F6" w:rsidRDefault="004A7A82" w:rsidP="007832F6">
      <w:pPr>
        <w:autoSpaceDE w:val="0"/>
        <w:autoSpaceDN w:val="0"/>
        <w:adjustRightInd w:val="0"/>
        <w:jc w:val="both"/>
        <w:rPr>
          <w:rFonts w:cs="Arial"/>
        </w:rPr>
      </w:pPr>
      <w:r w:rsidRPr="007832F6">
        <w:rPr>
          <w:rFonts w:cs="Arial"/>
        </w:rPr>
        <w:t xml:space="preserve">The value of the </w:t>
      </w:r>
      <w:r w:rsidR="00FE2CEF">
        <w:rPr>
          <w:rFonts w:cs="Arial"/>
        </w:rPr>
        <w:t>C</w:t>
      </w:r>
      <w:r w:rsidRPr="007832F6">
        <w:rPr>
          <w:rFonts w:cs="Arial"/>
        </w:rPr>
        <w:t>ouncil's uncommitted transitional reserve, which is available to support the revenue budget, is currently forecast to be £</w:t>
      </w:r>
      <w:r w:rsidR="00AD35E9">
        <w:rPr>
          <w:rFonts w:cs="Arial"/>
        </w:rPr>
        <w:t>165.198</w:t>
      </w:r>
      <w:r w:rsidRPr="007832F6">
        <w:rPr>
          <w:rFonts w:cs="Arial"/>
        </w:rPr>
        <w:t>m at the end of 2023/24 and is sufficient to meet the forecast funding gap within the current medium</w:t>
      </w:r>
      <w:r w:rsidR="0032340A">
        <w:rPr>
          <w:rFonts w:cs="Arial"/>
        </w:rPr>
        <w:t>-</w:t>
      </w:r>
      <w:r w:rsidRPr="007832F6">
        <w:rPr>
          <w:rFonts w:cs="Arial"/>
        </w:rPr>
        <w:t xml:space="preserve">term financial strategy covering 2024/25 to 2026/27. </w:t>
      </w:r>
    </w:p>
    <w:p w14:paraId="12BC13C9" w14:textId="77777777" w:rsidR="007832F6" w:rsidRPr="007832F6" w:rsidRDefault="007832F6" w:rsidP="007832F6">
      <w:pPr>
        <w:tabs>
          <w:tab w:val="left" w:pos="9180"/>
        </w:tabs>
        <w:ind w:right="-79"/>
        <w:jc w:val="both"/>
      </w:pPr>
    </w:p>
    <w:p w14:paraId="19FA44FF" w14:textId="47E89B2B" w:rsidR="007832F6" w:rsidRDefault="004A7A82" w:rsidP="007832F6">
      <w:pPr>
        <w:tabs>
          <w:tab w:val="left" w:pos="9180"/>
        </w:tabs>
        <w:ind w:right="-79"/>
        <w:jc w:val="both"/>
      </w:pPr>
      <w:r>
        <w:t xml:space="preserve">The CIPFA Financial Resilience Index is a </w:t>
      </w:r>
      <w:r w:rsidR="00335F33">
        <w:t>comparative analytical tool that councils, and more particularly Chief Finance Officers</w:t>
      </w:r>
      <w:r w:rsidR="008D7F1A">
        <w:t>,</w:t>
      </w:r>
      <w:r w:rsidR="00335F33">
        <w:t xml:space="preserve"> can use to compare the financial </w:t>
      </w:r>
      <w:r w:rsidR="00373F77">
        <w:t xml:space="preserve">position of their respective council to others across </w:t>
      </w:r>
      <w:proofErr w:type="gramStart"/>
      <w:r w:rsidR="00373F77">
        <w:t>various different</w:t>
      </w:r>
      <w:proofErr w:type="gramEnd"/>
      <w:r w:rsidR="00373F77">
        <w:t xml:space="preserve"> measures</w:t>
      </w:r>
      <w:r w:rsidR="008D7F1A">
        <w:t>,</w:t>
      </w:r>
      <w:r w:rsidR="00373F77">
        <w:t xml:space="preserve"> and help ensure good financial management. </w:t>
      </w:r>
      <w:r w:rsidR="008D7F1A">
        <w:t xml:space="preserve">This is a tool that </w:t>
      </w:r>
      <w:r w:rsidR="00A45116">
        <w:t>will be continuously used to measure the county council's position and is part of the responsibility of the strategic finance board t</w:t>
      </w:r>
      <w:r w:rsidR="001A2031">
        <w:t xml:space="preserve">o review and advise members accordingly. </w:t>
      </w:r>
    </w:p>
    <w:p w14:paraId="0E4F9B19" w14:textId="77777777" w:rsidR="009B79E7" w:rsidRPr="007832F6" w:rsidRDefault="009B79E7" w:rsidP="007832F6">
      <w:pPr>
        <w:tabs>
          <w:tab w:val="left" w:pos="9180"/>
        </w:tabs>
        <w:ind w:right="-79"/>
        <w:jc w:val="both"/>
      </w:pPr>
    </w:p>
    <w:p w14:paraId="0999671B" w14:textId="77777777" w:rsidR="0057041C" w:rsidRPr="007832F6" w:rsidRDefault="004A7A82" w:rsidP="0057041C">
      <w:pPr>
        <w:jc w:val="both"/>
        <w:rPr>
          <w:b/>
        </w:rPr>
      </w:pPr>
      <w:r w:rsidRPr="007832F6">
        <w:rPr>
          <w:b/>
        </w:rPr>
        <w:t>Declaration by Chief Financial Officer</w:t>
      </w:r>
    </w:p>
    <w:p w14:paraId="03D20237" w14:textId="77777777" w:rsidR="007832F6" w:rsidRPr="007832F6" w:rsidRDefault="007832F6" w:rsidP="007832F6">
      <w:pPr>
        <w:tabs>
          <w:tab w:val="left" w:pos="9180"/>
        </w:tabs>
        <w:ind w:right="-79"/>
        <w:jc w:val="both"/>
      </w:pPr>
    </w:p>
    <w:p w14:paraId="2AABAD68" w14:textId="67A2A4E8" w:rsidR="007832F6" w:rsidRPr="007832F6" w:rsidRDefault="004A7A82" w:rsidP="007832F6">
      <w:pPr>
        <w:tabs>
          <w:tab w:val="left" w:pos="9180"/>
        </w:tabs>
        <w:ind w:right="-79"/>
        <w:jc w:val="both"/>
      </w:pPr>
      <w:r w:rsidRPr="007832F6">
        <w:t xml:space="preserve">Overall, I can give assurance that the estimates within the budget proposals are sufficiently robust. There are inevitably challenges to producing these over 3 </w:t>
      </w:r>
      <w:proofErr w:type="gramStart"/>
      <w:r w:rsidRPr="007832F6">
        <w:t>years</w:t>
      </w:r>
      <w:proofErr w:type="gramEnd"/>
      <w:r w:rsidRPr="007832F6">
        <w:t xml:space="preserve"> but the </w:t>
      </w:r>
      <w:r w:rsidR="00FE2CEF">
        <w:t>C</w:t>
      </w:r>
      <w:r w:rsidRPr="007832F6">
        <w:t>ouncil has plans in place to look for further efficiencies and savings to mitigate against any variations to these.</w:t>
      </w:r>
    </w:p>
    <w:p w14:paraId="172835D1" w14:textId="77777777" w:rsidR="007832F6" w:rsidRPr="007832F6" w:rsidRDefault="007832F6" w:rsidP="007832F6">
      <w:pPr>
        <w:tabs>
          <w:tab w:val="left" w:pos="9180"/>
        </w:tabs>
        <w:ind w:right="-79"/>
        <w:jc w:val="both"/>
      </w:pPr>
    </w:p>
    <w:p w14:paraId="7CA54DE4" w14:textId="5EDCEFCA" w:rsidR="007832F6" w:rsidRPr="007832F6" w:rsidRDefault="004A7A82" w:rsidP="007832F6">
      <w:pPr>
        <w:tabs>
          <w:tab w:val="left" w:pos="9180"/>
        </w:tabs>
        <w:ind w:right="-79"/>
        <w:jc w:val="both"/>
      </w:pPr>
      <w:r w:rsidRPr="007832F6">
        <w:t xml:space="preserve">There are </w:t>
      </w:r>
      <w:proofErr w:type="gramStart"/>
      <w:r w:rsidRPr="007832F6">
        <w:t>a number of</w:t>
      </w:r>
      <w:proofErr w:type="gramEnd"/>
      <w:r w:rsidRPr="007832F6">
        <w:t xml:space="preserve"> areas of uncertainty going forward that the </w:t>
      </w:r>
      <w:r w:rsidR="00FE2CEF">
        <w:t>C</w:t>
      </w:r>
      <w:r w:rsidRPr="007832F6">
        <w:t xml:space="preserve">ouncil needs to keep a watchful eye on (SEND High Needs Block, </w:t>
      </w:r>
      <w:r w:rsidR="008A2C92">
        <w:t>d</w:t>
      </w:r>
      <w:r w:rsidRPr="007832F6">
        <w:t>emand levels, Treasury Management) and monitoring is in place to oversee these.</w:t>
      </w:r>
    </w:p>
    <w:p w14:paraId="6CAA2228" w14:textId="77777777" w:rsidR="007832F6" w:rsidRPr="007832F6" w:rsidRDefault="007832F6" w:rsidP="007832F6">
      <w:pPr>
        <w:tabs>
          <w:tab w:val="left" w:pos="9180"/>
        </w:tabs>
        <w:ind w:right="-79"/>
        <w:jc w:val="both"/>
      </w:pPr>
    </w:p>
    <w:p w14:paraId="55ED3BF6" w14:textId="616D9982" w:rsidR="007832F6" w:rsidRPr="007832F6" w:rsidRDefault="004A7A82" w:rsidP="007832F6">
      <w:pPr>
        <w:tabs>
          <w:tab w:val="left" w:pos="9180"/>
        </w:tabs>
        <w:ind w:right="-79"/>
        <w:jc w:val="both"/>
      </w:pPr>
      <w:r w:rsidRPr="007832F6">
        <w:t xml:space="preserve">Sufficient </w:t>
      </w:r>
      <w:r w:rsidR="006E4EC8">
        <w:t>g</w:t>
      </w:r>
      <w:r w:rsidRPr="007832F6">
        <w:t xml:space="preserve">overnance exists within the </w:t>
      </w:r>
      <w:r w:rsidR="00FE2CEF">
        <w:t>C</w:t>
      </w:r>
      <w:r w:rsidRPr="007832F6">
        <w:t>ouncil through senior officers and members to provide oversight of delivery of the plans contained within this budget.</w:t>
      </w:r>
    </w:p>
    <w:p w14:paraId="092227B5" w14:textId="77777777" w:rsidR="007832F6" w:rsidRPr="007832F6" w:rsidRDefault="007832F6" w:rsidP="007832F6">
      <w:pPr>
        <w:tabs>
          <w:tab w:val="left" w:pos="9180"/>
        </w:tabs>
        <w:ind w:right="-79"/>
        <w:jc w:val="both"/>
      </w:pPr>
    </w:p>
    <w:p w14:paraId="7E5A0E56" w14:textId="488F7027" w:rsidR="007832F6" w:rsidRPr="007832F6" w:rsidRDefault="004A7A82" w:rsidP="007832F6">
      <w:pPr>
        <w:tabs>
          <w:tab w:val="left" w:pos="9180"/>
        </w:tabs>
        <w:ind w:right="-79"/>
        <w:jc w:val="both"/>
      </w:pPr>
      <w:r w:rsidRPr="007832F6">
        <w:t xml:space="preserve">And finally, the reserves level of the </w:t>
      </w:r>
      <w:r w:rsidR="00FE2CEF">
        <w:t>C</w:t>
      </w:r>
      <w:r w:rsidRPr="007832F6">
        <w:t xml:space="preserve">ouncil </w:t>
      </w:r>
      <w:proofErr w:type="gramStart"/>
      <w:r w:rsidRPr="007832F6">
        <w:t>are</w:t>
      </w:r>
      <w:proofErr w:type="gramEnd"/>
      <w:r w:rsidRPr="007832F6">
        <w:t xml:space="preserve"> sufficient to manage any risks associated with the proposed budget. </w:t>
      </w:r>
    </w:p>
    <w:p w14:paraId="1EE20496" w14:textId="77777777" w:rsidR="007832F6" w:rsidRPr="007832F6" w:rsidRDefault="007832F6" w:rsidP="007832F6">
      <w:pPr>
        <w:tabs>
          <w:tab w:val="left" w:pos="9180"/>
        </w:tabs>
        <w:ind w:right="-79"/>
        <w:jc w:val="both"/>
      </w:pPr>
    </w:p>
    <w:p w14:paraId="40633828" w14:textId="4A7F5BE9" w:rsidR="007832F6" w:rsidRPr="007832F6" w:rsidRDefault="004A7A82" w:rsidP="007832F6">
      <w:pPr>
        <w:jc w:val="both"/>
      </w:pPr>
      <w:r w:rsidRPr="007832F6">
        <w:t>M Wynn</w:t>
      </w:r>
    </w:p>
    <w:p w14:paraId="2CA8174D" w14:textId="77777777" w:rsidR="0057041C" w:rsidRDefault="004A7A82" w:rsidP="0057041C">
      <w:pPr>
        <w:jc w:val="both"/>
        <w:rPr>
          <w:b/>
        </w:rPr>
      </w:pPr>
      <w:r w:rsidRPr="007832F6">
        <w:t>Section 151 Officer</w:t>
      </w:r>
      <w:r w:rsidRPr="007832F6">
        <w:rPr>
          <w:b/>
        </w:rPr>
        <w:t xml:space="preserve"> </w:t>
      </w:r>
    </w:p>
    <w:p w14:paraId="2F50B98C" w14:textId="77777777" w:rsidR="00E07D9E" w:rsidRDefault="00E07D9E" w:rsidP="0057041C">
      <w:pPr>
        <w:jc w:val="both"/>
        <w:rPr>
          <w:b/>
        </w:rPr>
      </w:pPr>
    </w:p>
    <w:p w14:paraId="4019BE22" w14:textId="77777777" w:rsidR="00E07D9E" w:rsidRDefault="00E07D9E" w:rsidP="0057041C">
      <w:pPr>
        <w:jc w:val="both"/>
        <w:rPr>
          <w:b/>
        </w:rPr>
      </w:pPr>
    </w:p>
    <w:p w14:paraId="3AAAD6C9" w14:textId="17979126" w:rsidR="00AB423D" w:rsidRPr="0057041C" w:rsidRDefault="004A7A82" w:rsidP="0057041C">
      <w:pPr>
        <w:jc w:val="both"/>
        <w:rPr>
          <w:b/>
        </w:rPr>
      </w:pPr>
      <w:r w:rsidRPr="1296B87A">
        <w:rPr>
          <w:rFonts w:eastAsia="Calibri" w:cs="Helvetica-Light"/>
          <w:b/>
          <w:bCs/>
          <w:color w:val="000000" w:themeColor="text1"/>
          <w:u w:val="single"/>
        </w:rPr>
        <w:lastRenderedPageBreak/>
        <w:t>Annex E – Capital Programme 2024/25</w:t>
      </w:r>
    </w:p>
    <w:p w14:paraId="10F42360" w14:textId="68E7043F" w:rsidR="00B20A48" w:rsidRDefault="00B20A48" w:rsidP="00320643">
      <w:pPr>
        <w:autoSpaceDE w:val="0"/>
        <w:autoSpaceDN w:val="0"/>
        <w:adjustRightInd w:val="0"/>
        <w:jc w:val="both"/>
        <w:rPr>
          <w:rFonts w:eastAsia="Calibri" w:cs="Helvetica-Light"/>
          <w:b/>
          <w:bCs/>
          <w:color w:val="000000"/>
          <w:u w:val="single"/>
        </w:rPr>
      </w:pPr>
    </w:p>
    <w:p w14:paraId="64E0E088" w14:textId="332949EB" w:rsidR="007F3D10" w:rsidRDefault="004A7A82" w:rsidP="005838A0">
      <w:pPr>
        <w:numPr>
          <w:ilvl w:val="0"/>
          <w:numId w:val="22"/>
        </w:numPr>
        <w:spacing w:line="259" w:lineRule="auto"/>
        <w:ind w:left="426" w:hanging="426"/>
        <w:contextualSpacing/>
        <w:jc w:val="both"/>
        <w:rPr>
          <w:rFonts w:cs="Arial"/>
          <w:b/>
          <w:bCs/>
        </w:rPr>
      </w:pPr>
      <w:r w:rsidRPr="1296B87A">
        <w:rPr>
          <w:rFonts w:cs="Arial"/>
          <w:b/>
          <w:bCs/>
        </w:rPr>
        <w:t>Introduction</w:t>
      </w:r>
    </w:p>
    <w:p w14:paraId="2212A609" w14:textId="4773E543" w:rsidR="007F3D10" w:rsidRPr="00EF4E1C" w:rsidRDefault="007F3D10" w:rsidP="1296B87A">
      <w:pPr>
        <w:ind w:left="426"/>
        <w:contextualSpacing/>
        <w:jc w:val="both"/>
        <w:rPr>
          <w:rFonts w:cs="Arial"/>
          <w:b/>
          <w:bCs/>
        </w:rPr>
      </w:pPr>
    </w:p>
    <w:p w14:paraId="40787EF0" w14:textId="69373228" w:rsidR="007F3D10" w:rsidRDefault="004A7A82" w:rsidP="007F3D10">
      <w:pPr>
        <w:jc w:val="both"/>
        <w:rPr>
          <w:rFonts w:cs="Arial"/>
        </w:rPr>
      </w:pPr>
      <w:r w:rsidRPr="1296B87A">
        <w:rPr>
          <w:rFonts w:cs="Arial"/>
        </w:rPr>
        <w:t xml:space="preserve">An indicative Capital delivery programme has been drawn up for 2024/25 to 2026/27 using approved annual budgets in addition to the forecast delivery of any remaining prior year slippage less any future year budget already delivered. These figures are shown in table 1 below, with the funding streams for the delivery programme then shown in table 2. A brief supporting narrative for the 2024/25 delivery programme by block is shown in section 2 of the report. </w:t>
      </w:r>
    </w:p>
    <w:p w14:paraId="69AA8498" w14:textId="2051ECF7" w:rsidR="007F3D10" w:rsidRPr="00EF4E1C" w:rsidRDefault="007F3D10" w:rsidP="007F3D10">
      <w:pPr>
        <w:jc w:val="both"/>
        <w:rPr>
          <w:rFonts w:cs="Arial"/>
        </w:rPr>
      </w:pPr>
    </w:p>
    <w:p w14:paraId="4DAD9907" w14:textId="1839DC60" w:rsidR="007F3D10" w:rsidRDefault="004A7A82" w:rsidP="007F3D10">
      <w:pPr>
        <w:jc w:val="both"/>
        <w:rPr>
          <w:rFonts w:cs="Arial"/>
        </w:rPr>
      </w:pPr>
      <w:r w:rsidRPr="1296B87A">
        <w:rPr>
          <w:rFonts w:cs="Arial"/>
        </w:rPr>
        <w:t xml:space="preserve">The figures in this report will be revised early in the new financial year </w:t>
      </w:r>
      <w:proofErr w:type="gramStart"/>
      <w:r w:rsidRPr="1296B87A">
        <w:rPr>
          <w:rFonts w:cs="Arial"/>
        </w:rPr>
        <w:t>following  completion</w:t>
      </w:r>
      <w:proofErr w:type="gramEnd"/>
      <w:r w:rsidRPr="1296B87A">
        <w:rPr>
          <w:rFonts w:cs="Arial"/>
        </w:rPr>
        <w:t xml:space="preserve"> of the 2023/24 outturn position to allow for adjustment for final slippage and advanced delivery figures. Any additional funding agreed by Cabinet between February 2024 and June 2024 will also be added to the report to be considered by Cabinet in July 2024 with the resulting agreed delivery programme then being used as the basis for the Capital monitoring reports throughout 2024/25.</w:t>
      </w:r>
    </w:p>
    <w:p w14:paraId="17D48B45" w14:textId="47B9C24F" w:rsidR="007F3D10" w:rsidRPr="00EF4E1C" w:rsidRDefault="007F3D10" w:rsidP="007F3D10">
      <w:pPr>
        <w:jc w:val="both"/>
        <w:rPr>
          <w:rFonts w:cs="Arial"/>
        </w:rPr>
      </w:pPr>
    </w:p>
    <w:p w14:paraId="4FEF94DB" w14:textId="1BC733F7" w:rsidR="007F3D10" w:rsidRPr="00874A3B" w:rsidRDefault="004A7A82" w:rsidP="007F3D10">
      <w:pPr>
        <w:jc w:val="both"/>
        <w:rPr>
          <w:rFonts w:cs="Arial"/>
        </w:rPr>
      </w:pPr>
      <w:r w:rsidRPr="1296B87A">
        <w:rPr>
          <w:rFonts w:cs="Arial"/>
        </w:rPr>
        <w:t>The delivery programme include</w:t>
      </w:r>
      <w:r w:rsidR="003E0AEE">
        <w:rPr>
          <w:rFonts w:cs="Arial"/>
        </w:rPr>
        <w:t>s</w:t>
      </w:r>
      <w:r w:rsidRPr="1296B87A">
        <w:rPr>
          <w:rFonts w:cs="Arial"/>
        </w:rPr>
        <w:t xml:space="preserve"> estimates for annual grants which have yet to be finalised by central government. When these grant allocations are confirmed the delivery plan will be updated. Any internal annual budget allocations funded through borrowing have not been included in the delivery plan and will only be included in the figures when they are Cabinet approved. </w:t>
      </w:r>
    </w:p>
    <w:p w14:paraId="352E77A4" w14:textId="67E80B47" w:rsidR="007F3D10" w:rsidRPr="00874A3B" w:rsidRDefault="007F3D10" w:rsidP="007F3D10">
      <w:pPr>
        <w:jc w:val="both"/>
        <w:rPr>
          <w:rFonts w:cs="Arial"/>
        </w:rPr>
      </w:pPr>
    </w:p>
    <w:p w14:paraId="52B09F80" w14:textId="62BE8A05" w:rsidR="007F3D10" w:rsidRPr="00874A3B" w:rsidRDefault="004A7A82" w:rsidP="007F3D10">
      <w:pPr>
        <w:jc w:val="both"/>
        <w:rPr>
          <w:rFonts w:cs="Arial"/>
        </w:rPr>
      </w:pPr>
      <w:r w:rsidRPr="1296B87A">
        <w:rPr>
          <w:rFonts w:cs="Arial"/>
        </w:rPr>
        <w:t>Some items of expenditure will require funding in year and do not have grant income attached to them.  These items, ICT and property related will come forward in year as requirements are identified and cost estimates are worked up.   Timescales for delivery will not be known until each project is identified and to add them to the delivery plan at this stage will result in a false baseline being used for monitoring purposes.  As these projects will necessitate borrowing</w:t>
      </w:r>
      <w:r w:rsidR="001E0F90">
        <w:rPr>
          <w:rFonts w:cs="Arial"/>
        </w:rPr>
        <w:t xml:space="preserve">, </w:t>
      </w:r>
      <w:r w:rsidRPr="1296B87A">
        <w:rPr>
          <w:rFonts w:cs="Arial"/>
        </w:rPr>
        <w:t xml:space="preserve">to not identify the scale of that borrowing at this stage would also be misleading so table 3 has been added to show the annual borrowing commitment that could be needed.  Projects will then come forward for this funding and will be added to the delivery plan and monitoring as they are approved.  </w:t>
      </w:r>
    </w:p>
    <w:p w14:paraId="5CE3D1EE" w14:textId="13174A47" w:rsidR="007F3D10" w:rsidRPr="00874A3B" w:rsidRDefault="007F3D10" w:rsidP="007F3D10">
      <w:pPr>
        <w:jc w:val="both"/>
        <w:rPr>
          <w:rFonts w:cs="Arial"/>
        </w:rPr>
      </w:pPr>
    </w:p>
    <w:p w14:paraId="2AF98EE6" w14:textId="44E1E85C" w:rsidR="007F3D10" w:rsidRPr="00874A3B" w:rsidRDefault="004A7A82" w:rsidP="007F3D10">
      <w:pPr>
        <w:jc w:val="both"/>
        <w:rPr>
          <w:rFonts w:cs="Arial"/>
        </w:rPr>
      </w:pPr>
      <w:r w:rsidRPr="1296B87A">
        <w:rPr>
          <w:rFonts w:cs="Arial"/>
        </w:rPr>
        <w:t xml:space="preserve">To have regard to the affordability of the capital programme developed within the </w:t>
      </w:r>
      <w:proofErr w:type="gramStart"/>
      <w:r w:rsidRPr="1296B87A">
        <w:rPr>
          <w:rFonts w:cs="Arial"/>
        </w:rPr>
        <w:t>longer term</w:t>
      </w:r>
      <w:proofErr w:type="gramEnd"/>
      <w:r w:rsidRPr="1296B87A">
        <w:rPr>
          <w:rFonts w:cs="Arial"/>
        </w:rPr>
        <w:t xml:space="preserve"> strategy there will be a limit on the scale of additional prudential borrowing each year.  This will be set by reference to the C</w:t>
      </w:r>
      <w:r w:rsidR="00FB04ED">
        <w:rPr>
          <w:rFonts w:cs="Arial"/>
        </w:rPr>
        <w:t>IPFA</w:t>
      </w:r>
      <w:r w:rsidRPr="1296B87A">
        <w:rPr>
          <w:rFonts w:cs="Arial"/>
        </w:rPr>
        <w:t xml:space="preserve"> national indices on financial resilience which include the proportion of a council's net revenue budget that is being used to fund capital financing costs.  The intention is to maintain or reduce this proportion from current levels accepting that this be directly impacted by interest rate changes and the scale of future increases in the net revenue budget.  The </w:t>
      </w:r>
      <w:r w:rsidR="001E78DE" w:rsidRPr="1296B87A">
        <w:rPr>
          <w:rFonts w:cs="Arial"/>
        </w:rPr>
        <w:t>medium-term</w:t>
      </w:r>
      <w:r w:rsidRPr="1296B87A">
        <w:rPr>
          <w:rFonts w:cs="Arial"/>
        </w:rPr>
        <w:t xml:space="preserve"> financial strategy assumes an annual headroom figure of £50m for additional prudential borrowing which will be reviewed annually. By utilising this borrowing headroom </w:t>
      </w:r>
      <w:proofErr w:type="gramStart"/>
      <w:r w:rsidRPr="1296B87A">
        <w:rPr>
          <w:rFonts w:cs="Arial"/>
        </w:rPr>
        <w:t>figure</w:t>
      </w:r>
      <w:proofErr w:type="gramEnd"/>
      <w:r w:rsidRPr="1296B87A">
        <w:rPr>
          <w:rFonts w:cs="Arial"/>
        </w:rPr>
        <w:t xml:space="preserve"> it is anticipated that future investment decisions are both sustainable and affordable.</w:t>
      </w:r>
    </w:p>
    <w:p w14:paraId="42EBD590" w14:textId="0AB4A88B" w:rsidR="007F3D10" w:rsidRPr="00874A3B" w:rsidRDefault="004A7A82" w:rsidP="007F3D10">
      <w:pPr>
        <w:jc w:val="both"/>
        <w:rPr>
          <w:rFonts w:cs="Arial"/>
        </w:rPr>
      </w:pPr>
      <w:r w:rsidRPr="1296B87A">
        <w:rPr>
          <w:rFonts w:cs="Arial"/>
        </w:rPr>
        <w:t xml:space="preserve">  </w:t>
      </w:r>
    </w:p>
    <w:p w14:paraId="6C6CBE24" w14:textId="6A76C965" w:rsidR="007F3D10" w:rsidRPr="008A55FD" w:rsidRDefault="004A7A82" w:rsidP="007F3D10">
      <w:pPr>
        <w:jc w:val="both"/>
        <w:rPr>
          <w:rFonts w:cs="Arial"/>
        </w:rPr>
      </w:pPr>
      <w:r w:rsidRPr="1296B87A">
        <w:rPr>
          <w:rFonts w:cs="Arial"/>
        </w:rPr>
        <w:t xml:space="preserve">Items where the borrowing is of a cash flow or an invest to save nature will be excluded from the borrowing headroom with the borrowing being repaid from the return on the investment.  For clarity these items are still required to be shown in the minimum revenue position within the budget but can be excluded from the headroom calculation </w:t>
      </w:r>
      <w:r w:rsidRPr="1296B87A">
        <w:rPr>
          <w:rFonts w:cs="Arial"/>
        </w:rPr>
        <w:lastRenderedPageBreak/>
        <w:t xml:space="preserve">in determining levels of new investment each year as the financing costs </w:t>
      </w:r>
      <w:proofErr w:type="gramStart"/>
      <w:r w:rsidRPr="1296B87A">
        <w:rPr>
          <w:rFonts w:cs="Arial"/>
        </w:rPr>
        <w:t>are</w:t>
      </w:r>
      <w:proofErr w:type="gramEnd"/>
      <w:r w:rsidRPr="1296B87A">
        <w:rPr>
          <w:rFonts w:cs="Arial"/>
        </w:rPr>
        <w:t xml:space="preserve"> already covered in the budget.  </w:t>
      </w:r>
    </w:p>
    <w:p w14:paraId="74A31AEE" w14:textId="77777777" w:rsidR="00106CF2" w:rsidRDefault="00106CF2" w:rsidP="007F3D10">
      <w:pPr>
        <w:jc w:val="both"/>
        <w:rPr>
          <w:rFonts w:cs="Arial"/>
        </w:rPr>
      </w:pPr>
    </w:p>
    <w:p w14:paraId="1629BBEC" w14:textId="24D59E9B" w:rsidR="00106CF2" w:rsidRPr="008A55FD" w:rsidRDefault="004A7A82" w:rsidP="007F3D10">
      <w:pPr>
        <w:jc w:val="both"/>
        <w:rPr>
          <w:rFonts w:cs="Arial"/>
        </w:rPr>
      </w:pPr>
      <w:r>
        <w:rPr>
          <w:rFonts w:cs="Arial"/>
        </w:rPr>
        <w:t xml:space="preserve">The tables below outline the indicative capital programme for 2024/25 and the following 2 years </w:t>
      </w:r>
      <w:r w:rsidR="00500978">
        <w:rPr>
          <w:rFonts w:cs="Arial"/>
        </w:rPr>
        <w:t xml:space="preserve">by service block and the </w:t>
      </w:r>
      <w:r w:rsidR="00F75C9E">
        <w:rPr>
          <w:rFonts w:cs="Arial"/>
        </w:rPr>
        <w:t xml:space="preserve">sources of funding </w:t>
      </w:r>
      <w:r w:rsidR="00A56711">
        <w:rPr>
          <w:rFonts w:cs="Arial"/>
        </w:rPr>
        <w:t xml:space="preserve">including a breakdown in Table 3 of which service blocks will require additional borrowing to support the </w:t>
      </w:r>
      <w:r w:rsidR="007C2EE8">
        <w:rPr>
          <w:rFonts w:cs="Arial"/>
        </w:rPr>
        <w:t>capital investment.</w:t>
      </w:r>
    </w:p>
    <w:p w14:paraId="22C75A33" w14:textId="106E85A9" w:rsidR="007F3D10" w:rsidRPr="00EF4E1C" w:rsidRDefault="007F3D10" w:rsidP="007F3D10">
      <w:pPr>
        <w:jc w:val="both"/>
        <w:rPr>
          <w:rFonts w:cs="Arial"/>
        </w:rPr>
      </w:pPr>
    </w:p>
    <w:p w14:paraId="1AA08135" w14:textId="1529767A" w:rsidR="007F3D10" w:rsidRDefault="004A7A82" w:rsidP="1296B87A">
      <w:pPr>
        <w:jc w:val="both"/>
        <w:rPr>
          <w:rFonts w:cs="Arial"/>
          <w:b/>
          <w:bCs/>
          <w:color w:val="000000" w:themeColor="text1"/>
        </w:rPr>
      </w:pPr>
      <w:r w:rsidRPr="1296B87A">
        <w:rPr>
          <w:rFonts w:cs="Arial"/>
          <w:b/>
          <w:bCs/>
          <w:color w:val="000000" w:themeColor="text1"/>
        </w:rPr>
        <w:t>TABLE 1 – Capital delivery programme by block</w:t>
      </w:r>
    </w:p>
    <w:p w14:paraId="7B44D51C" w14:textId="563F7FD7" w:rsidR="00A621B5" w:rsidRDefault="00A621B5" w:rsidP="1296B87A">
      <w:pPr>
        <w:jc w:val="both"/>
        <w:rPr>
          <w:rFonts w:cs="Arial"/>
          <w:b/>
          <w:bCs/>
          <w:color w:val="000000" w:themeColor="text1"/>
        </w:rPr>
      </w:pPr>
    </w:p>
    <w:tbl>
      <w:tblPr>
        <w:tblW w:w="9366" w:type="dxa"/>
        <w:tblLayout w:type="fixed"/>
        <w:tblLook w:val="04A0" w:firstRow="1" w:lastRow="0" w:firstColumn="1" w:lastColumn="0" w:noHBand="0" w:noVBand="1"/>
      </w:tblPr>
      <w:tblGrid>
        <w:gridCol w:w="3551"/>
        <w:gridCol w:w="1843"/>
        <w:gridCol w:w="1843"/>
        <w:gridCol w:w="1843"/>
        <w:gridCol w:w="286"/>
      </w:tblGrid>
      <w:tr w:rsidR="00C92CD8" w14:paraId="19165E70" w14:textId="77777777">
        <w:trPr>
          <w:gridAfter w:val="1"/>
          <w:wAfter w:w="286" w:type="dxa"/>
          <w:trHeight w:val="478"/>
        </w:trPr>
        <w:tc>
          <w:tcPr>
            <w:tcW w:w="355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439126" w14:textId="77777777" w:rsidR="00A621B5" w:rsidRPr="00A621B5" w:rsidRDefault="004A7A82" w:rsidP="00A621B5">
            <w:pPr>
              <w:jc w:val="both"/>
              <w:rPr>
                <w:rFonts w:eastAsia="Times New Roman" w:cs="Arial"/>
                <w:b/>
                <w:bCs/>
                <w:color w:val="000000"/>
              </w:rPr>
            </w:pPr>
            <w:r w:rsidRPr="00A621B5">
              <w:rPr>
                <w:rFonts w:eastAsia="Times New Roman" w:cs="Arial"/>
                <w:b/>
                <w:bCs/>
                <w:color w:val="000000"/>
              </w:rPr>
              <w:t>Service Area</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865FC51" w14:textId="4EFBD3C5" w:rsidR="00A621B5" w:rsidRDefault="004A7A82" w:rsidP="00A621B5">
            <w:pPr>
              <w:jc w:val="center"/>
              <w:rPr>
                <w:rFonts w:eastAsia="Times New Roman" w:cs="Arial"/>
                <w:b/>
                <w:bCs/>
                <w:color w:val="000000"/>
              </w:rPr>
            </w:pPr>
            <w:r>
              <w:rPr>
                <w:rFonts w:eastAsia="Times New Roman" w:cs="Arial"/>
                <w:b/>
                <w:bCs/>
                <w:color w:val="000000"/>
              </w:rPr>
              <w:t>20</w:t>
            </w:r>
            <w:r w:rsidRPr="00A621B5">
              <w:rPr>
                <w:rFonts w:eastAsia="Times New Roman" w:cs="Arial"/>
                <w:b/>
                <w:bCs/>
                <w:color w:val="000000"/>
              </w:rPr>
              <w:t>24/25 delivery plan</w:t>
            </w:r>
          </w:p>
          <w:p w14:paraId="1C243E6A" w14:textId="040B82A7" w:rsidR="00A621B5" w:rsidRPr="00A621B5" w:rsidRDefault="004A7A82" w:rsidP="00A621B5">
            <w:pPr>
              <w:jc w:val="center"/>
              <w:rPr>
                <w:rFonts w:eastAsia="Times New Roman" w:cs="Arial"/>
                <w:b/>
                <w:bCs/>
                <w:color w:val="000000"/>
              </w:rPr>
            </w:pPr>
            <w:r>
              <w:rPr>
                <w:rFonts w:eastAsia="Times New Roman" w:cs="Arial"/>
                <w:b/>
                <w:bCs/>
                <w:color w:val="000000"/>
              </w:rPr>
              <w:t>(£m)</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99735EF" w14:textId="1EC73935" w:rsidR="00A621B5" w:rsidRDefault="004A7A82" w:rsidP="00A621B5">
            <w:pPr>
              <w:jc w:val="center"/>
              <w:rPr>
                <w:rFonts w:eastAsia="Times New Roman" w:cs="Arial"/>
                <w:b/>
                <w:bCs/>
                <w:color w:val="000000"/>
              </w:rPr>
            </w:pPr>
            <w:r>
              <w:rPr>
                <w:rFonts w:eastAsia="Times New Roman" w:cs="Arial"/>
                <w:b/>
                <w:bCs/>
                <w:color w:val="000000"/>
              </w:rPr>
              <w:t>20</w:t>
            </w:r>
            <w:r w:rsidRPr="00A621B5">
              <w:rPr>
                <w:rFonts w:eastAsia="Times New Roman" w:cs="Arial"/>
                <w:b/>
                <w:bCs/>
                <w:color w:val="000000"/>
              </w:rPr>
              <w:t>25/26 delivery plan</w:t>
            </w:r>
          </w:p>
          <w:p w14:paraId="357B39A8" w14:textId="5E94F331" w:rsidR="00A621B5" w:rsidRPr="00A621B5" w:rsidRDefault="004A7A82" w:rsidP="00A621B5">
            <w:pPr>
              <w:jc w:val="center"/>
              <w:rPr>
                <w:rFonts w:eastAsia="Times New Roman" w:cs="Arial"/>
                <w:b/>
                <w:bCs/>
                <w:color w:val="000000"/>
              </w:rPr>
            </w:pPr>
            <w:r>
              <w:rPr>
                <w:rFonts w:eastAsia="Times New Roman" w:cs="Arial"/>
                <w:b/>
                <w:bCs/>
                <w:color w:val="000000"/>
              </w:rPr>
              <w:t>(£m)</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9572F05" w14:textId="491985C0" w:rsidR="00A621B5" w:rsidRDefault="004A7A82" w:rsidP="00A621B5">
            <w:pPr>
              <w:jc w:val="center"/>
              <w:rPr>
                <w:rFonts w:eastAsia="Times New Roman" w:cs="Arial"/>
                <w:b/>
                <w:bCs/>
                <w:color w:val="000000"/>
              </w:rPr>
            </w:pPr>
            <w:r>
              <w:rPr>
                <w:rFonts w:eastAsia="Times New Roman" w:cs="Arial"/>
                <w:b/>
                <w:bCs/>
                <w:color w:val="000000"/>
              </w:rPr>
              <w:t>20</w:t>
            </w:r>
            <w:r w:rsidRPr="00A621B5">
              <w:rPr>
                <w:rFonts w:eastAsia="Times New Roman" w:cs="Arial"/>
                <w:b/>
                <w:bCs/>
                <w:color w:val="000000"/>
              </w:rPr>
              <w:t>26/27 delivery plan</w:t>
            </w:r>
          </w:p>
          <w:p w14:paraId="535FB101" w14:textId="302D3E6F" w:rsidR="00A621B5" w:rsidRPr="00A621B5" w:rsidRDefault="004A7A82" w:rsidP="00A621B5">
            <w:pPr>
              <w:jc w:val="center"/>
              <w:rPr>
                <w:rFonts w:eastAsia="Times New Roman" w:cs="Arial"/>
                <w:b/>
                <w:bCs/>
                <w:color w:val="000000"/>
              </w:rPr>
            </w:pPr>
            <w:r>
              <w:rPr>
                <w:rFonts w:eastAsia="Times New Roman" w:cs="Arial"/>
                <w:b/>
                <w:bCs/>
                <w:color w:val="000000"/>
              </w:rPr>
              <w:t>(£m)</w:t>
            </w:r>
          </w:p>
        </w:tc>
      </w:tr>
      <w:tr w:rsidR="00C92CD8" w14:paraId="5E6375D9" w14:textId="77777777">
        <w:trPr>
          <w:trHeight w:val="313"/>
        </w:trPr>
        <w:tc>
          <w:tcPr>
            <w:tcW w:w="3551" w:type="dxa"/>
            <w:vMerge/>
            <w:tcBorders>
              <w:top w:val="single" w:sz="4" w:space="0" w:color="auto"/>
              <w:left w:val="single" w:sz="4" w:space="0" w:color="auto"/>
              <w:bottom w:val="single" w:sz="4" w:space="0" w:color="auto"/>
              <w:right w:val="single" w:sz="4" w:space="0" w:color="auto"/>
            </w:tcBorders>
            <w:vAlign w:val="center"/>
            <w:hideMark/>
          </w:tcPr>
          <w:p w14:paraId="0A31B7D2" w14:textId="77777777" w:rsidR="00A621B5" w:rsidRPr="00A621B5" w:rsidRDefault="00A621B5" w:rsidP="00A621B5">
            <w:pPr>
              <w:jc w:val="both"/>
              <w:rPr>
                <w:rFonts w:eastAsia="Times New Roman" w:cs="Arial"/>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065B18E" w14:textId="77777777" w:rsidR="00A621B5" w:rsidRPr="00A621B5" w:rsidRDefault="00A621B5" w:rsidP="00A621B5">
            <w:pPr>
              <w:jc w:val="both"/>
              <w:rPr>
                <w:rFonts w:eastAsia="Times New Roman" w:cs="Arial"/>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8596C40" w14:textId="77777777" w:rsidR="00A621B5" w:rsidRPr="00A621B5" w:rsidRDefault="00A621B5" w:rsidP="00A621B5">
            <w:pPr>
              <w:jc w:val="both"/>
              <w:rPr>
                <w:rFonts w:eastAsia="Times New Roman" w:cs="Arial"/>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9AC106" w14:textId="77777777" w:rsidR="00A621B5" w:rsidRPr="00A621B5" w:rsidRDefault="00A621B5" w:rsidP="00A621B5">
            <w:pPr>
              <w:jc w:val="both"/>
              <w:rPr>
                <w:rFonts w:eastAsia="Times New Roman" w:cs="Arial"/>
                <w:b/>
                <w:bCs/>
                <w:color w:val="000000"/>
              </w:rPr>
            </w:pPr>
          </w:p>
        </w:tc>
        <w:tc>
          <w:tcPr>
            <w:tcW w:w="286" w:type="dxa"/>
            <w:tcBorders>
              <w:top w:val="nil"/>
              <w:left w:val="nil"/>
              <w:bottom w:val="nil"/>
              <w:right w:val="nil"/>
            </w:tcBorders>
            <w:shd w:val="clear" w:color="auto" w:fill="auto"/>
            <w:noWrap/>
            <w:vAlign w:val="bottom"/>
            <w:hideMark/>
          </w:tcPr>
          <w:p w14:paraId="30EBBAA1" w14:textId="77777777" w:rsidR="00A621B5" w:rsidRPr="00A621B5" w:rsidRDefault="00A621B5" w:rsidP="00A621B5">
            <w:pPr>
              <w:jc w:val="both"/>
              <w:rPr>
                <w:rFonts w:eastAsia="Times New Roman" w:cs="Arial"/>
                <w:b/>
                <w:bCs/>
                <w:color w:val="000000"/>
              </w:rPr>
            </w:pPr>
          </w:p>
        </w:tc>
      </w:tr>
      <w:tr w:rsidR="00C92CD8" w14:paraId="60E2CE1C" w14:textId="77777777">
        <w:trPr>
          <w:trHeight w:val="313"/>
        </w:trPr>
        <w:tc>
          <w:tcPr>
            <w:tcW w:w="3551" w:type="dxa"/>
            <w:vMerge/>
            <w:tcBorders>
              <w:top w:val="single" w:sz="4" w:space="0" w:color="auto"/>
              <w:left w:val="single" w:sz="4" w:space="0" w:color="auto"/>
              <w:bottom w:val="single" w:sz="4" w:space="0" w:color="auto"/>
              <w:right w:val="single" w:sz="4" w:space="0" w:color="auto"/>
            </w:tcBorders>
            <w:vAlign w:val="center"/>
            <w:hideMark/>
          </w:tcPr>
          <w:p w14:paraId="28ACEAFD" w14:textId="77777777" w:rsidR="00A621B5" w:rsidRPr="00A621B5" w:rsidRDefault="00A621B5" w:rsidP="00A621B5">
            <w:pPr>
              <w:jc w:val="both"/>
              <w:rPr>
                <w:rFonts w:eastAsia="Times New Roman" w:cs="Arial"/>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CBFA7A2" w14:textId="77777777" w:rsidR="00A621B5" w:rsidRPr="00A621B5" w:rsidRDefault="00A621B5" w:rsidP="00A621B5">
            <w:pPr>
              <w:jc w:val="both"/>
              <w:rPr>
                <w:rFonts w:eastAsia="Times New Roman" w:cs="Arial"/>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F8E9C6A" w14:textId="77777777" w:rsidR="00A621B5" w:rsidRPr="00A621B5" w:rsidRDefault="00A621B5" w:rsidP="00A621B5">
            <w:pPr>
              <w:jc w:val="both"/>
              <w:rPr>
                <w:rFonts w:eastAsia="Times New Roman" w:cs="Arial"/>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D134895" w14:textId="77777777" w:rsidR="00A621B5" w:rsidRPr="00A621B5" w:rsidRDefault="00A621B5" w:rsidP="00A621B5">
            <w:pPr>
              <w:jc w:val="both"/>
              <w:rPr>
                <w:rFonts w:eastAsia="Times New Roman" w:cs="Arial"/>
                <w:b/>
                <w:bCs/>
                <w:color w:val="000000"/>
              </w:rPr>
            </w:pPr>
          </w:p>
        </w:tc>
        <w:tc>
          <w:tcPr>
            <w:tcW w:w="286" w:type="dxa"/>
            <w:tcBorders>
              <w:top w:val="nil"/>
              <w:left w:val="nil"/>
              <w:bottom w:val="nil"/>
              <w:right w:val="nil"/>
            </w:tcBorders>
            <w:shd w:val="clear" w:color="auto" w:fill="auto"/>
            <w:noWrap/>
            <w:vAlign w:val="bottom"/>
            <w:hideMark/>
          </w:tcPr>
          <w:p w14:paraId="37D426D7" w14:textId="77777777" w:rsidR="00A621B5" w:rsidRPr="00A621B5" w:rsidRDefault="00A621B5" w:rsidP="00A621B5">
            <w:pPr>
              <w:jc w:val="both"/>
              <w:rPr>
                <w:rFonts w:eastAsia="Times New Roman" w:cs="Arial"/>
              </w:rPr>
            </w:pPr>
          </w:p>
        </w:tc>
      </w:tr>
      <w:tr w:rsidR="00C92CD8" w14:paraId="3EAB3265"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7809F75D" w14:textId="77777777" w:rsidR="00A621B5" w:rsidRPr="00A621B5" w:rsidRDefault="004A7A82" w:rsidP="00A621B5">
            <w:pPr>
              <w:jc w:val="both"/>
              <w:rPr>
                <w:rFonts w:eastAsia="Times New Roman" w:cs="Arial"/>
                <w:color w:val="000000"/>
              </w:rPr>
            </w:pPr>
            <w:r w:rsidRPr="00A621B5">
              <w:rPr>
                <w:rFonts w:eastAsia="Times New Roman" w:cs="Arial"/>
                <w:color w:val="000000"/>
              </w:rPr>
              <w:t>Schools (</w:t>
            </w:r>
            <w:proofErr w:type="spellStart"/>
            <w:r w:rsidRPr="00A621B5">
              <w:rPr>
                <w:rFonts w:eastAsia="Times New Roman" w:cs="Arial"/>
                <w:color w:val="000000"/>
              </w:rPr>
              <w:t>excl</w:t>
            </w:r>
            <w:proofErr w:type="spellEnd"/>
            <w:r w:rsidRPr="00A621B5">
              <w:rPr>
                <w:rFonts w:eastAsia="Times New Roman" w:cs="Arial"/>
                <w:color w:val="000000"/>
              </w:rPr>
              <w:t xml:space="preserve"> DFC)</w:t>
            </w:r>
          </w:p>
        </w:tc>
        <w:tc>
          <w:tcPr>
            <w:tcW w:w="1843" w:type="dxa"/>
            <w:tcBorders>
              <w:top w:val="nil"/>
              <w:left w:val="nil"/>
              <w:bottom w:val="single" w:sz="4" w:space="0" w:color="auto"/>
              <w:right w:val="single" w:sz="4" w:space="0" w:color="auto"/>
            </w:tcBorders>
            <w:shd w:val="clear" w:color="auto" w:fill="auto"/>
            <w:noWrap/>
            <w:vAlign w:val="center"/>
            <w:hideMark/>
          </w:tcPr>
          <w:p w14:paraId="316399E8" w14:textId="77777777" w:rsidR="00A621B5" w:rsidRPr="00A621B5" w:rsidRDefault="004A7A82" w:rsidP="00A621B5">
            <w:pPr>
              <w:jc w:val="right"/>
              <w:rPr>
                <w:rFonts w:eastAsia="Times New Roman" w:cs="Arial"/>
                <w:color w:val="000000"/>
              </w:rPr>
            </w:pPr>
            <w:r w:rsidRPr="00A621B5">
              <w:rPr>
                <w:rFonts w:eastAsia="Times New Roman" w:cs="Arial"/>
                <w:color w:val="000000"/>
              </w:rPr>
              <w:t>30.429</w:t>
            </w:r>
          </w:p>
        </w:tc>
        <w:tc>
          <w:tcPr>
            <w:tcW w:w="1843" w:type="dxa"/>
            <w:tcBorders>
              <w:top w:val="nil"/>
              <w:left w:val="nil"/>
              <w:bottom w:val="single" w:sz="4" w:space="0" w:color="auto"/>
              <w:right w:val="single" w:sz="4" w:space="0" w:color="auto"/>
            </w:tcBorders>
            <w:shd w:val="clear" w:color="auto" w:fill="auto"/>
            <w:noWrap/>
            <w:vAlign w:val="center"/>
            <w:hideMark/>
          </w:tcPr>
          <w:p w14:paraId="55141B24" w14:textId="77777777" w:rsidR="00A621B5" w:rsidRPr="00A621B5" w:rsidRDefault="004A7A82" w:rsidP="00A621B5">
            <w:pPr>
              <w:jc w:val="right"/>
              <w:rPr>
                <w:rFonts w:eastAsia="Times New Roman" w:cs="Arial"/>
                <w:color w:val="000000"/>
              </w:rPr>
            </w:pPr>
            <w:r w:rsidRPr="00A621B5">
              <w:rPr>
                <w:rFonts w:eastAsia="Times New Roman" w:cs="Arial"/>
                <w:color w:val="000000"/>
              </w:rPr>
              <w:t>29.068</w:t>
            </w:r>
          </w:p>
        </w:tc>
        <w:tc>
          <w:tcPr>
            <w:tcW w:w="1843" w:type="dxa"/>
            <w:tcBorders>
              <w:top w:val="nil"/>
              <w:left w:val="nil"/>
              <w:bottom w:val="single" w:sz="4" w:space="0" w:color="auto"/>
              <w:right w:val="single" w:sz="4" w:space="0" w:color="auto"/>
            </w:tcBorders>
            <w:shd w:val="clear" w:color="auto" w:fill="auto"/>
            <w:noWrap/>
            <w:vAlign w:val="center"/>
            <w:hideMark/>
          </w:tcPr>
          <w:p w14:paraId="7F622750" w14:textId="77777777" w:rsidR="00A621B5" w:rsidRPr="00A621B5" w:rsidRDefault="004A7A82" w:rsidP="00A621B5">
            <w:pPr>
              <w:jc w:val="right"/>
              <w:rPr>
                <w:rFonts w:eastAsia="Times New Roman" w:cs="Arial"/>
                <w:color w:val="000000"/>
              </w:rPr>
            </w:pPr>
            <w:r w:rsidRPr="00A621B5">
              <w:rPr>
                <w:rFonts w:eastAsia="Times New Roman" w:cs="Arial"/>
                <w:color w:val="000000"/>
              </w:rPr>
              <w:t>21.514</w:t>
            </w:r>
          </w:p>
        </w:tc>
        <w:tc>
          <w:tcPr>
            <w:tcW w:w="286" w:type="dxa"/>
            <w:vAlign w:val="center"/>
            <w:hideMark/>
          </w:tcPr>
          <w:p w14:paraId="738B3633" w14:textId="77777777" w:rsidR="00A621B5" w:rsidRPr="00A621B5" w:rsidRDefault="00A621B5" w:rsidP="00A621B5">
            <w:pPr>
              <w:jc w:val="both"/>
              <w:rPr>
                <w:rFonts w:eastAsia="Times New Roman" w:cs="Arial"/>
              </w:rPr>
            </w:pPr>
          </w:p>
        </w:tc>
      </w:tr>
      <w:tr w:rsidR="00C92CD8" w14:paraId="1C18960B"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48B92DE0" w14:textId="77777777" w:rsidR="00A621B5" w:rsidRPr="00A621B5" w:rsidRDefault="004A7A82" w:rsidP="00A621B5">
            <w:pPr>
              <w:jc w:val="both"/>
              <w:rPr>
                <w:rFonts w:eastAsia="Times New Roman" w:cs="Arial"/>
                <w:color w:val="000000"/>
              </w:rPr>
            </w:pPr>
            <w:r w:rsidRPr="00A621B5">
              <w:rPr>
                <w:rFonts w:eastAsia="Times New Roman" w:cs="Arial"/>
                <w:color w:val="000000"/>
              </w:rPr>
              <w:t>Schools (DFC)</w:t>
            </w:r>
          </w:p>
        </w:tc>
        <w:tc>
          <w:tcPr>
            <w:tcW w:w="1843" w:type="dxa"/>
            <w:tcBorders>
              <w:top w:val="nil"/>
              <w:left w:val="nil"/>
              <w:bottom w:val="single" w:sz="4" w:space="0" w:color="auto"/>
              <w:right w:val="single" w:sz="4" w:space="0" w:color="auto"/>
            </w:tcBorders>
            <w:shd w:val="clear" w:color="auto" w:fill="auto"/>
            <w:noWrap/>
            <w:vAlign w:val="center"/>
            <w:hideMark/>
          </w:tcPr>
          <w:p w14:paraId="0321B468" w14:textId="77777777" w:rsidR="00A621B5" w:rsidRPr="00A621B5" w:rsidRDefault="004A7A82" w:rsidP="00A621B5">
            <w:pPr>
              <w:jc w:val="right"/>
              <w:rPr>
                <w:rFonts w:eastAsia="Times New Roman" w:cs="Arial"/>
                <w:color w:val="000000"/>
              </w:rPr>
            </w:pPr>
            <w:r w:rsidRPr="00A621B5">
              <w:rPr>
                <w:rFonts w:eastAsia="Times New Roman" w:cs="Arial"/>
                <w:color w:val="000000"/>
              </w:rPr>
              <w:t>2.388</w:t>
            </w:r>
          </w:p>
        </w:tc>
        <w:tc>
          <w:tcPr>
            <w:tcW w:w="1843" w:type="dxa"/>
            <w:tcBorders>
              <w:top w:val="nil"/>
              <w:left w:val="nil"/>
              <w:bottom w:val="single" w:sz="4" w:space="0" w:color="auto"/>
              <w:right w:val="single" w:sz="4" w:space="0" w:color="auto"/>
            </w:tcBorders>
            <w:shd w:val="clear" w:color="auto" w:fill="auto"/>
            <w:noWrap/>
            <w:vAlign w:val="center"/>
            <w:hideMark/>
          </w:tcPr>
          <w:p w14:paraId="3F12BEF1" w14:textId="77777777" w:rsidR="00A621B5" w:rsidRPr="00A621B5" w:rsidRDefault="004A7A82" w:rsidP="00A621B5">
            <w:pPr>
              <w:jc w:val="right"/>
              <w:rPr>
                <w:rFonts w:eastAsia="Times New Roman" w:cs="Arial"/>
                <w:color w:val="000000"/>
              </w:rPr>
            </w:pPr>
            <w:r w:rsidRPr="00A621B5">
              <w:rPr>
                <w:rFonts w:eastAsia="Times New Roman" w:cs="Arial"/>
                <w:color w:val="000000"/>
              </w:rPr>
              <w:t>2.429</w:t>
            </w:r>
          </w:p>
        </w:tc>
        <w:tc>
          <w:tcPr>
            <w:tcW w:w="1843" w:type="dxa"/>
            <w:tcBorders>
              <w:top w:val="nil"/>
              <w:left w:val="nil"/>
              <w:bottom w:val="single" w:sz="4" w:space="0" w:color="auto"/>
              <w:right w:val="single" w:sz="4" w:space="0" w:color="auto"/>
            </w:tcBorders>
            <w:shd w:val="clear" w:color="auto" w:fill="auto"/>
            <w:noWrap/>
            <w:vAlign w:val="center"/>
            <w:hideMark/>
          </w:tcPr>
          <w:p w14:paraId="4D33F021" w14:textId="77777777" w:rsidR="00A621B5" w:rsidRPr="00A621B5" w:rsidRDefault="004A7A82" w:rsidP="00A621B5">
            <w:pPr>
              <w:jc w:val="right"/>
              <w:rPr>
                <w:rFonts w:eastAsia="Times New Roman" w:cs="Arial"/>
                <w:color w:val="000000"/>
              </w:rPr>
            </w:pPr>
            <w:r w:rsidRPr="00A621B5">
              <w:rPr>
                <w:rFonts w:eastAsia="Times New Roman" w:cs="Arial"/>
                <w:color w:val="000000"/>
              </w:rPr>
              <w:t>2.400</w:t>
            </w:r>
          </w:p>
        </w:tc>
        <w:tc>
          <w:tcPr>
            <w:tcW w:w="286" w:type="dxa"/>
            <w:vAlign w:val="center"/>
            <w:hideMark/>
          </w:tcPr>
          <w:p w14:paraId="5C9004E4" w14:textId="77777777" w:rsidR="00A621B5" w:rsidRPr="00A621B5" w:rsidRDefault="00A621B5" w:rsidP="00A621B5">
            <w:pPr>
              <w:jc w:val="both"/>
              <w:rPr>
                <w:rFonts w:eastAsia="Times New Roman" w:cs="Arial"/>
              </w:rPr>
            </w:pPr>
          </w:p>
        </w:tc>
      </w:tr>
      <w:tr w:rsidR="00C92CD8" w14:paraId="3C2B4DB3"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7640D718" w14:textId="77777777" w:rsidR="00A621B5" w:rsidRPr="00A621B5" w:rsidRDefault="004A7A82" w:rsidP="00A621B5">
            <w:pPr>
              <w:jc w:val="both"/>
              <w:rPr>
                <w:rFonts w:eastAsia="Times New Roman" w:cs="Arial"/>
                <w:color w:val="000000"/>
              </w:rPr>
            </w:pPr>
            <w:r w:rsidRPr="00A621B5">
              <w:rPr>
                <w:rFonts w:eastAsia="Times New Roman" w:cs="Arial"/>
                <w:color w:val="000000"/>
              </w:rPr>
              <w:t>Highways</w:t>
            </w:r>
          </w:p>
        </w:tc>
        <w:tc>
          <w:tcPr>
            <w:tcW w:w="1843" w:type="dxa"/>
            <w:tcBorders>
              <w:top w:val="nil"/>
              <w:left w:val="nil"/>
              <w:bottom w:val="single" w:sz="4" w:space="0" w:color="auto"/>
              <w:right w:val="single" w:sz="4" w:space="0" w:color="auto"/>
            </w:tcBorders>
            <w:shd w:val="clear" w:color="auto" w:fill="auto"/>
            <w:noWrap/>
            <w:vAlign w:val="center"/>
            <w:hideMark/>
          </w:tcPr>
          <w:p w14:paraId="3088AF47" w14:textId="77777777" w:rsidR="00A621B5" w:rsidRPr="00A621B5" w:rsidRDefault="004A7A82" w:rsidP="00A621B5">
            <w:pPr>
              <w:jc w:val="right"/>
              <w:rPr>
                <w:rFonts w:eastAsia="Times New Roman" w:cs="Arial"/>
                <w:color w:val="000000"/>
              </w:rPr>
            </w:pPr>
            <w:r w:rsidRPr="00A621B5">
              <w:rPr>
                <w:rFonts w:eastAsia="Times New Roman" w:cs="Arial"/>
                <w:color w:val="000000"/>
              </w:rPr>
              <w:t>51.129</w:t>
            </w:r>
          </w:p>
        </w:tc>
        <w:tc>
          <w:tcPr>
            <w:tcW w:w="1843" w:type="dxa"/>
            <w:tcBorders>
              <w:top w:val="nil"/>
              <w:left w:val="nil"/>
              <w:bottom w:val="single" w:sz="4" w:space="0" w:color="auto"/>
              <w:right w:val="single" w:sz="4" w:space="0" w:color="auto"/>
            </w:tcBorders>
            <w:shd w:val="clear" w:color="auto" w:fill="auto"/>
            <w:noWrap/>
            <w:vAlign w:val="center"/>
            <w:hideMark/>
          </w:tcPr>
          <w:p w14:paraId="06B8FE81" w14:textId="77777777" w:rsidR="00A621B5" w:rsidRPr="00A621B5" w:rsidRDefault="004A7A82" w:rsidP="00A621B5">
            <w:pPr>
              <w:jc w:val="right"/>
              <w:rPr>
                <w:rFonts w:eastAsia="Times New Roman" w:cs="Arial"/>
                <w:color w:val="000000"/>
              </w:rPr>
            </w:pPr>
            <w:r w:rsidRPr="00A621B5">
              <w:rPr>
                <w:rFonts w:eastAsia="Times New Roman" w:cs="Arial"/>
                <w:color w:val="000000"/>
              </w:rPr>
              <w:t>50.713</w:t>
            </w:r>
          </w:p>
        </w:tc>
        <w:tc>
          <w:tcPr>
            <w:tcW w:w="1843" w:type="dxa"/>
            <w:tcBorders>
              <w:top w:val="nil"/>
              <w:left w:val="nil"/>
              <w:bottom w:val="single" w:sz="4" w:space="0" w:color="auto"/>
              <w:right w:val="single" w:sz="4" w:space="0" w:color="auto"/>
            </w:tcBorders>
            <w:shd w:val="clear" w:color="auto" w:fill="auto"/>
            <w:noWrap/>
            <w:vAlign w:val="center"/>
            <w:hideMark/>
          </w:tcPr>
          <w:p w14:paraId="020847D3" w14:textId="77777777" w:rsidR="00A621B5" w:rsidRPr="00A621B5" w:rsidRDefault="004A7A82" w:rsidP="00A621B5">
            <w:pPr>
              <w:jc w:val="right"/>
              <w:rPr>
                <w:rFonts w:eastAsia="Times New Roman" w:cs="Arial"/>
                <w:color w:val="000000"/>
              </w:rPr>
            </w:pPr>
            <w:r w:rsidRPr="00A621B5">
              <w:rPr>
                <w:rFonts w:eastAsia="Times New Roman" w:cs="Arial"/>
                <w:color w:val="000000"/>
              </w:rPr>
              <w:t>48.772</w:t>
            </w:r>
          </w:p>
        </w:tc>
        <w:tc>
          <w:tcPr>
            <w:tcW w:w="286" w:type="dxa"/>
            <w:vAlign w:val="center"/>
            <w:hideMark/>
          </w:tcPr>
          <w:p w14:paraId="12B81C88" w14:textId="77777777" w:rsidR="00A621B5" w:rsidRPr="00A621B5" w:rsidRDefault="00A621B5" w:rsidP="00A621B5">
            <w:pPr>
              <w:jc w:val="both"/>
              <w:rPr>
                <w:rFonts w:eastAsia="Times New Roman" w:cs="Arial"/>
              </w:rPr>
            </w:pPr>
          </w:p>
        </w:tc>
      </w:tr>
      <w:tr w:rsidR="00C92CD8" w14:paraId="0B1F0D4E"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645090A9" w14:textId="77777777" w:rsidR="00A621B5" w:rsidRPr="00A621B5" w:rsidRDefault="004A7A82" w:rsidP="00A621B5">
            <w:pPr>
              <w:jc w:val="both"/>
              <w:rPr>
                <w:rFonts w:eastAsia="Times New Roman" w:cs="Arial"/>
                <w:color w:val="000000"/>
              </w:rPr>
            </w:pPr>
            <w:r w:rsidRPr="00A621B5">
              <w:rPr>
                <w:rFonts w:eastAsia="Times New Roman" w:cs="Arial"/>
                <w:color w:val="000000"/>
              </w:rPr>
              <w:t>Transport</w:t>
            </w:r>
          </w:p>
        </w:tc>
        <w:tc>
          <w:tcPr>
            <w:tcW w:w="1843" w:type="dxa"/>
            <w:tcBorders>
              <w:top w:val="nil"/>
              <w:left w:val="nil"/>
              <w:bottom w:val="single" w:sz="4" w:space="0" w:color="auto"/>
              <w:right w:val="single" w:sz="4" w:space="0" w:color="auto"/>
            </w:tcBorders>
            <w:shd w:val="clear" w:color="auto" w:fill="auto"/>
            <w:noWrap/>
            <w:vAlign w:val="center"/>
            <w:hideMark/>
          </w:tcPr>
          <w:p w14:paraId="01CA8BEC" w14:textId="77777777" w:rsidR="00A621B5" w:rsidRPr="00A621B5" w:rsidRDefault="004A7A82" w:rsidP="00A621B5">
            <w:pPr>
              <w:jc w:val="right"/>
              <w:rPr>
                <w:rFonts w:eastAsia="Times New Roman" w:cs="Arial"/>
                <w:color w:val="000000"/>
              </w:rPr>
            </w:pPr>
            <w:r w:rsidRPr="00A621B5">
              <w:rPr>
                <w:rFonts w:eastAsia="Times New Roman" w:cs="Arial"/>
                <w:color w:val="000000"/>
              </w:rPr>
              <w:t>27.889</w:t>
            </w:r>
          </w:p>
        </w:tc>
        <w:tc>
          <w:tcPr>
            <w:tcW w:w="1843" w:type="dxa"/>
            <w:tcBorders>
              <w:top w:val="nil"/>
              <w:left w:val="nil"/>
              <w:bottom w:val="single" w:sz="4" w:space="0" w:color="auto"/>
              <w:right w:val="single" w:sz="4" w:space="0" w:color="auto"/>
            </w:tcBorders>
            <w:shd w:val="clear" w:color="auto" w:fill="auto"/>
            <w:noWrap/>
            <w:vAlign w:val="center"/>
            <w:hideMark/>
          </w:tcPr>
          <w:p w14:paraId="52669F1F" w14:textId="77777777" w:rsidR="00A621B5" w:rsidRPr="00A621B5" w:rsidRDefault="004A7A82" w:rsidP="00A621B5">
            <w:pPr>
              <w:jc w:val="right"/>
              <w:rPr>
                <w:rFonts w:eastAsia="Times New Roman" w:cs="Arial"/>
                <w:color w:val="000000"/>
              </w:rPr>
            </w:pPr>
            <w:r w:rsidRPr="00A621B5">
              <w:rPr>
                <w:rFonts w:eastAsia="Times New Roman" w:cs="Arial"/>
                <w:color w:val="000000"/>
              </w:rPr>
              <w:t>12.101</w:t>
            </w:r>
          </w:p>
        </w:tc>
        <w:tc>
          <w:tcPr>
            <w:tcW w:w="1843" w:type="dxa"/>
            <w:tcBorders>
              <w:top w:val="nil"/>
              <w:left w:val="nil"/>
              <w:bottom w:val="single" w:sz="4" w:space="0" w:color="auto"/>
              <w:right w:val="single" w:sz="4" w:space="0" w:color="auto"/>
            </w:tcBorders>
            <w:shd w:val="clear" w:color="auto" w:fill="auto"/>
            <w:noWrap/>
            <w:vAlign w:val="center"/>
            <w:hideMark/>
          </w:tcPr>
          <w:p w14:paraId="45F33F8E" w14:textId="77777777" w:rsidR="00A621B5" w:rsidRPr="00A621B5" w:rsidRDefault="004A7A82" w:rsidP="00A621B5">
            <w:pPr>
              <w:jc w:val="right"/>
              <w:rPr>
                <w:rFonts w:eastAsia="Times New Roman" w:cs="Arial"/>
                <w:color w:val="000000"/>
              </w:rPr>
            </w:pPr>
            <w:r w:rsidRPr="00A621B5">
              <w:rPr>
                <w:rFonts w:eastAsia="Times New Roman" w:cs="Arial"/>
                <w:color w:val="000000"/>
              </w:rPr>
              <w:t>11.439</w:t>
            </w:r>
          </w:p>
        </w:tc>
        <w:tc>
          <w:tcPr>
            <w:tcW w:w="286" w:type="dxa"/>
            <w:vAlign w:val="center"/>
            <w:hideMark/>
          </w:tcPr>
          <w:p w14:paraId="1FDA0C85" w14:textId="77777777" w:rsidR="00A621B5" w:rsidRPr="00A621B5" w:rsidRDefault="00A621B5" w:rsidP="00A621B5">
            <w:pPr>
              <w:jc w:val="both"/>
              <w:rPr>
                <w:rFonts w:eastAsia="Times New Roman" w:cs="Arial"/>
              </w:rPr>
            </w:pPr>
          </w:p>
        </w:tc>
      </w:tr>
      <w:tr w:rsidR="00C92CD8" w14:paraId="02938AF0"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414E2BA6" w14:textId="77777777" w:rsidR="00A621B5" w:rsidRPr="00A621B5" w:rsidRDefault="004A7A82" w:rsidP="00A621B5">
            <w:pPr>
              <w:jc w:val="both"/>
              <w:rPr>
                <w:rFonts w:eastAsia="Times New Roman" w:cs="Arial"/>
                <w:color w:val="000000"/>
              </w:rPr>
            </w:pPr>
            <w:r w:rsidRPr="00A621B5">
              <w:rPr>
                <w:rFonts w:eastAsia="Times New Roman" w:cs="Arial"/>
                <w:color w:val="000000"/>
              </w:rPr>
              <w:t>Externally Funded</w:t>
            </w:r>
          </w:p>
        </w:tc>
        <w:tc>
          <w:tcPr>
            <w:tcW w:w="1843" w:type="dxa"/>
            <w:tcBorders>
              <w:top w:val="nil"/>
              <w:left w:val="nil"/>
              <w:bottom w:val="single" w:sz="4" w:space="0" w:color="auto"/>
              <w:right w:val="single" w:sz="4" w:space="0" w:color="auto"/>
            </w:tcBorders>
            <w:shd w:val="clear" w:color="auto" w:fill="auto"/>
            <w:noWrap/>
            <w:vAlign w:val="center"/>
            <w:hideMark/>
          </w:tcPr>
          <w:p w14:paraId="6EED4FA0" w14:textId="77777777" w:rsidR="00A621B5" w:rsidRPr="00A621B5" w:rsidRDefault="004A7A82" w:rsidP="00A621B5">
            <w:pPr>
              <w:jc w:val="right"/>
              <w:rPr>
                <w:rFonts w:eastAsia="Times New Roman" w:cs="Arial"/>
                <w:color w:val="000000"/>
              </w:rPr>
            </w:pPr>
            <w:r w:rsidRPr="00A621B5">
              <w:rPr>
                <w:rFonts w:eastAsia="Times New Roman" w:cs="Arial"/>
                <w:color w:val="000000"/>
              </w:rPr>
              <w:t>3.137</w:t>
            </w:r>
          </w:p>
        </w:tc>
        <w:tc>
          <w:tcPr>
            <w:tcW w:w="1843" w:type="dxa"/>
            <w:tcBorders>
              <w:top w:val="nil"/>
              <w:left w:val="nil"/>
              <w:bottom w:val="single" w:sz="4" w:space="0" w:color="auto"/>
              <w:right w:val="single" w:sz="4" w:space="0" w:color="auto"/>
            </w:tcBorders>
            <w:shd w:val="clear" w:color="auto" w:fill="auto"/>
            <w:noWrap/>
            <w:vAlign w:val="center"/>
            <w:hideMark/>
          </w:tcPr>
          <w:p w14:paraId="2114A28A" w14:textId="77777777" w:rsidR="00A621B5" w:rsidRPr="00A621B5" w:rsidRDefault="004A7A82" w:rsidP="00A621B5">
            <w:pPr>
              <w:jc w:val="right"/>
              <w:rPr>
                <w:rFonts w:eastAsia="Times New Roman" w:cs="Arial"/>
                <w:color w:val="000000"/>
              </w:rPr>
            </w:pPr>
            <w:r w:rsidRPr="00A621B5">
              <w:rPr>
                <w:rFonts w:eastAsia="Times New Roman" w:cs="Arial"/>
                <w:color w:val="000000"/>
              </w:rPr>
              <w:t>0.000</w:t>
            </w:r>
          </w:p>
        </w:tc>
        <w:tc>
          <w:tcPr>
            <w:tcW w:w="1843" w:type="dxa"/>
            <w:tcBorders>
              <w:top w:val="nil"/>
              <w:left w:val="nil"/>
              <w:bottom w:val="single" w:sz="4" w:space="0" w:color="auto"/>
              <w:right w:val="single" w:sz="4" w:space="0" w:color="auto"/>
            </w:tcBorders>
            <w:shd w:val="clear" w:color="auto" w:fill="auto"/>
            <w:noWrap/>
            <w:vAlign w:val="center"/>
            <w:hideMark/>
          </w:tcPr>
          <w:p w14:paraId="2FAC53E3" w14:textId="77777777" w:rsidR="00A621B5" w:rsidRPr="00A621B5" w:rsidRDefault="004A7A82" w:rsidP="00A621B5">
            <w:pPr>
              <w:jc w:val="right"/>
              <w:rPr>
                <w:rFonts w:eastAsia="Times New Roman" w:cs="Arial"/>
                <w:color w:val="000000"/>
              </w:rPr>
            </w:pPr>
            <w:r w:rsidRPr="00A621B5">
              <w:rPr>
                <w:rFonts w:eastAsia="Times New Roman" w:cs="Arial"/>
                <w:color w:val="000000"/>
              </w:rPr>
              <w:t>0.000</w:t>
            </w:r>
          </w:p>
        </w:tc>
        <w:tc>
          <w:tcPr>
            <w:tcW w:w="286" w:type="dxa"/>
            <w:vAlign w:val="center"/>
            <w:hideMark/>
          </w:tcPr>
          <w:p w14:paraId="011AF772" w14:textId="77777777" w:rsidR="00A621B5" w:rsidRPr="00A621B5" w:rsidRDefault="00A621B5" w:rsidP="00A621B5">
            <w:pPr>
              <w:jc w:val="both"/>
              <w:rPr>
                <w:rFonts w:eastAsia="Times New Roman" w:cs="Arial"/>
              </w:rPr>
            </w:pPr>
          </w:p>
        </w:tc>
      </w:tr>
      <w:tr w:rsidR="00C92CD8" w14:paraId="7509D518"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7145C758" w14:textId="77777777" w:rsidR="00A621B5" w:rsidRPr="00A621B5" w:rsidRDefault="004A7A82" w:rsidP="00A621B5">
            <w:pPr>
              <w:jc w:val="both"/>
              <w:rPr>
                <w:rFonts w:eastAsia="Times New Roman" w:cs="Arial"/>
                <w:color w:val="000000"/>
              </w:rPr>
            </w:pPr>
            <w:r w:rsidRPr="00A621B5">
              <w:rPr>
                <w:rFonts w:eastAsia="Times New Roman" w:cs="Arial"/>
                <w:color w:val="000000"/>
              </w:rPr>
              <w:t>Central Systems &amp; ICT</w:t>
            </w:r>
          </w:p>
        </w:tc>
        <w:tc>
          <w:tcPr>
            <w:tcW w:w="1843" w:type="dxa"/>
            <w:tcBorders>
              <w:top w:val="nil"/>
              <w:left w:val="nil"/>
              <w:bottom w:val="single" w:sz="4" w:space="0" w:color="auto"/>
              <w:right w:val="single" w:sz="4" w:space="0" w:color="auto"/>
            </w:tcBorders>
            <w:shd w:val="clear" w:color="auto" w:fill="auto"/>
            <w:noWrap/>
            <w:vAlign w:val="center"/>
            <w:hideMark/>
          </w:tcPr>
          <w:p w14:paraId="1CFD5C1D" w14:textId="77777777" w:rsidR="00A621B5" w:rsidRPr="00A621B5" w:rsidRDefault="004A7A82" w:rsidP="00A621B5">
            <w:pPr>
              <w:jc w:val="right"/>
              <w:rPr>
                <w:rFonts w:eastAsia="Times New Roman" w:cs="Arial"/>
                <w:color w:val="000000"/>
              </w:rPr>
            </w:pPr>
            <w:r w:rsidRPr="00A621B5">
              <w:rPr>
                <w:rFonts w:eastAsia="Times New Roman" w:cs="Arial"/>
                <w:color w:val="000000"/>
              </w:rPr>
              <w:t>2.596</w:t>
            </w:r>
          </w:p>
        </w:tc>
        <w:tc>
          <w:tcPr>
            <w:tcW w:w="1843" w:type="dxa"/>
            <w:tcBorders>
              <w:top w:val="nil"/>
              <w:left w:val="nil"/>
              <w:bottom w:val="single" w:sz="4" w:space="0" w:color="auto"/>
              <w:right w:val="single" w:sz="4" w:space="0" w:color="auto"/>
            </w:tcBorders>
            <w:shd w:val="clear" w:color="auto" w:fill="auto"/>
            <w:noWrap/>
            <w:vAlign w:val="center"/>
            <w:hideMark/>
          </w:tcPr>
          <w:p w14:paraId="3EC3874C" w14:textId="77777777" w:rsidR="00A621B5" w:rsidRPr="00A621B5" w:rsidRDefault="004A7A82" w:rsidP="00A621B5">
            <w:pPr>
              <w:jc w:val="right"/>
              <w:rPr>
                <w:rFonts w:eastAsia="Times New Roman" w:cs="Arial"/>
                <w:color w:val="000000"/>
              </w:rPr>
            </w:pPr>
            <w:r w:rsidRPr="00A621B5">
              <w:rPr>
                <w:rFonts w:eastAsia="Times New Roman" w:cs="Arial"/>
                <w:color w:val="000000"/>
              </w:rPr>
              <w:t>0.800</w:t>
            </w:r>
          </w:p>
        </w:tc>
        <w:tc>
          <w:tcPr>
            <w:tcW w:w="1843" w:type="dxa"/>
            <w:tcBorders>
              <w:top w:val="nil"/>
              <w:left w:val="nil"/>
              <w:bottom w:val="single" w:sz="4" w:space="0" w:color="auto"/>
              <w:right w:val="single" w:sz="4" w:space="0" w:color="auto"/>
            </w:tcBorders>
            <w:shd w:val="clear" w:color="auto" w:fill="auto"/>
            <w:noWrap/>
            <w:vAlign w:val="center"/>
            <w:hideMark/>
          </w:tcPr>
          <w:p w14:paraId="6E2A4260" w14:textId="77777777" w:rsidR="00A621B5" w:rsidRPr="00A621B5" w:rsidRDefault="004A7A82" w:rsidP="00A621B5">
            <w:pPr>
              <w:jc w:val="right"/>
              <w:rPr>
                <w:rFonts w:eastAsia="Times New Roman" w:cs="Arial"/>
                <w:color w:val="000000"/>
              </w:rPr>
            </w:pPr>
            <w:r w:rsidRPr="00A621B5">
              <w:rPr>
                <w:rFonts w:eastAsia="Times New Roman" w:cs="Arial"/>
                <w:color w:val="000000"/>
              </w:rPr>
              <w:t>0.000</w:t>
            </w:r>
          </w:p>
        </w:tc>
        <w:tc>
          <w:tcPr>
            <w:tcW w:w="286" w:type="dxa"/>
            <w:vAlign w:val="center"/>
            <w:hideMark/>
          </w:tcPr>
          <w:p w14:paraId="66415FEC" w14:textId="77777777" w:rsidR="00A621B5" w:rsidRPr="00A621B5" w:rsidRDefault="00A621B5" w:rsidP="00A621B5">
            <w:pPr>
              <w:jc w:val="both"/>
              <w:rPr>
                <w:rFonts w:eastAsia="Times New Roman" w:cs="Arial"/>
              </w:rPr>
            </w:pPr>
          </w:p>
        </w:tc>
      </w:tr>
      <w:tr w:rsidR="00C92CD8" w14:paraId="22FE1AEF"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1540FD4C" w14:textId="77777777" w:rsidR="00A621B5" w:rsidRPr="00A621B5" w:rsidRDefault="004A7A82" w:rsidP="00A621B5">
            <w:pPr>
              <w:jc w:val="both"/>
              <w:rPr>
                <w:rFonts w:eastAsia="Times New Roman" w:cs="Arial"/>
                <w:color w:val="000000"/>
              </w:rPr>
            </w:pPr>
            <w:r w:rsidRPr="00A621B5">
              <w:rPr>
                <w:rFonts w:eastAsia="Times New Roman" w:cs="Arial"/>
                <w:color w:val="000000"/>
              </w:rPr>
              <w:t>Adults</w:t>
            </w:r>
          </w:p>
        </w:tc>
        <w:tc>
          <w:tcPr>
            <w:tcW w:w="1843" w:type="dxa"/>
            <w:tcBorders>
              <w:top w:val="nil"/>
              <w:left w:val="nil"/>
              <w:bottom w:val="single" w:sz="4" w:space="0" w:color="auto"/>
              <w:right w:val="single" w:sz="4" w:space="0" w:color="auto"/>
            </w:tcBorders>
            <w:shd w:val="clear" w:color="auto" w:fill="auto"/>
            <w:noWrap/>
            <w:vAlign w:val="center"/>
            <w:hideMark/>
          </w:tcPr>
          <w:p w14:paraId="7941FE95" w14:textId="77777777" w:rsidR="00A621B5" w:rsidRPr="00A621B5" w:rsidRDefault="004A7A82" w:rsidP="00A621B5">
            <w:pPr>
              <w:jc w:val="right"/>
              <w:rPr>
                <w:rFonts w:eastAsia="Times New Roman" w:cs="Arial"/>
                <w:color w:val="000000"/>
              </w:rPr>
            </w:pPr>
            <w:r w:rsidRPr="00A621B5">
              <w:rPr>
                <w:rFonts w:eastAsia="Times New Roman" w:cs="Arial"/>
                <w:color w:val="000000"/>
              </w:rPr>
              <w:t>18.174</w:t>
            </w:r>
          </w:p>
        </w:tc>
        <w:tc>
          <w:tcPr>
            <w:tcW w:w="1843" w:type="dxa"/>
            <w:tcBorders>
              <w:top w:val="nil"/>
              <w:left w:val="nil"/>
              <w:bottom w:val="single" w:sz="4" w:space="0" w:color="auto"/>
              <w:right w:val="single" w:sz="4" w:space="0" w:color="auto"/>
            </w:tcBorders>
            <w:shd w:val="clear" w:color="auto" w:fill="auto"/>
            <w:noWrap/>
            <w:vAlign w:val="center"/>
            <w:hideMark/>
          </w:tcPr>
          <w:p w14:paraId="73D0A03F" w14:textId="77777777" w:rsidR="00A621B5" w:rsidRPr="00A621B5" w:rsidRDefault="004A7A82" w:rsidP="00A621B5">
            <w:pPr>
              <w:jc w:val="right"/>
              <w:rPr>
                <w:rFonts w:eastAsia="Times New Roman" w:cs="Arial"/>
                <w:color w:val="000000"/>
              </w:rPr>
            </w:pPr>
            <w:r w:rsidRPr="00A621B5">
              <w:rPr>
                <w:rFonts w:eastAsia="Times New Roman" w:cs="Arial"/>
                <w:color w:val="000000"/>
              </w:rPr>
              <w:t>18.174</w:t>
            </w:r>
          </w:p>
        </w:tc>
        <w:tc>
          <w:tcPr>
            <w:tcW w:w="1843" w:type="dxa"/>
            <w:tcBorders>
              <w:top w:val="nil"/>
              <w:left w:val="nil"/>
              <w:bottom w:val="single" w:sz="4" w:space="0" w:color="auto"/>
              <w:right w:val="single" w:sz="4" w:space="0" w:color="auto"/>
            </w:tcBorders>
            <w:shd w:val="clear" w:color="auto" w:fill="auto"/>
            <w:noWrap/>
            <w:vAlign w:val="center"/>
            <w:hideMark/>
          </w:tcPr>
          <w:p w14:paraId="25A0967C" w14:textId="77777777" w:rsidR="00A621B5" w:rsidRPr="00A621B5" w:rsidRDefault="004A7A82" w:rsidP="00A621B5">
            <w:pPr>
              <w:jc w:val="right"/>
              <w:rPr>
                <w:rFonts w:eastAsia="Times New Roman" w:cs="Arial"/>
                <w:color w:val="000000"/>
              </w:rPr>
            </w:pPr>
            <w:r w:rsidRPr="00A621B5">
              <w:rPr>
                <w:rFonts w:eastAsia="Times New Roman" w:cs="Arial"/>
                <w:color w:val="000000"/>
              </w:rPr>
              <w:t>18.174</w:t>
            </w:r>
          </w:p>
        </w:tc>
        <w:tc>
          <w:tcPr>
            <w:tcW w:w="286" w:type="dxa"/>
            <w:vAlign w:val="center"/>
            <w:hideMark/>
          </w:tcPr>
          <w:p w14:paraId="1CB9E7CB" w14:textId="77777777" w:rsidR="00A621B5" w:rsidRPr="00A621B5" w:rsidRDefault="00A621B5" w:rsidP="00A621B5">
            <w:pPr>
              <w:jc w:val="both"/>
              <w:rPr>
                <w:rFonts w:eastAsia="Times New Roman" w:cs="Arial"/>
              </w:rPr>
            </w:pPr>
          </w:p>
        </w:tc>
      </w:tr>
      <w:tr w:rsidR="00C92CD8" w14:paraId="71A679FF"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095C018B" w14:textId="77777777" w:rsidR="00A621B5" w:rsidRPr="00A621B5" w:rsidRDefault="004A7A82" w:rsidP="00A621B5">
            <w:pPr>
              <w:jc w:val="both"/>
              <w:rPr>
                <w:rFonts w:eastAsia="Times New Roman" w:cs="Arial"/>
                <w:color w:val="000000"/>
              </w:rPr>
            </w:pPr>
            <w:r w:rsidRPr="00A621B5">
              <w:rPr>
                <w:rFonts w:eastAsia="Times New Roman" w:cs="Arial"/>
                <w:color w:val="000000"/>
              </w:rPr>
              <w:t>Corporate - Property</w:t>
            </w:r>
          </w:p>
        </w:tc>
        <w:tc>
          <w:tcPr>
            <w:tcW w:w="1843" w:type="dxa"/>
            <w:tcBorders>
              <w:top w:val="nil"/>
              <w:left w:val="nil"/>
              <w:bottom w:val="single" w:sz="4" w:space="0" w:color="auto"/>
              <w:right w:val="single" w:sz="4" w:space="0" w:color="auto"/>
            </w:tcBorders>
            <w:shd w:val="clear" w:color="auto" w:fill="auto"/>
            <w:noWrap/>
            <w:vAlign w:val="center"/>
            <w:hideMark/>
          </w:tcPr>
          <w:p w14:paraId="29B3E63F" w14:textId="77777777" w:rsidR="00A621B5" w:rsidRPr="00A621B5" w:rsidRDefault="004A7A82" w:rsidP="00A621B5">
            <w:pPr>
              <w:jc w:val="right"/>
              <w:rPr>
                <w:rFonts w:eastAsia="Times New Roman" w:cs="Arial"/>
                <w:color w:val="000000"/>
              </w:rPr>
            </w:pPr>
            <w:r w:rsidRPr="00A621B5">
              <w:rPr>
                <w:rFonts w:eastAsia="Times New Roman" w:cs="Arial"/>
                <w:color w:val="000000"/>
              </w:rPr>
              <w:t>10.513</w:t>
            </w:r>
          </w:p>
        </w:tc>
        <w:tc>
          <w:tcPr>
            <w:tcW w:w="1843" w:type="dxa"/>
            <w:tcBorders>
              <w:top w:val="nil"/>
              <w:left w:val="nil"/>
              <w:bottom w:val="single" w:sz="4" w:space="0" w:color="auto"/>
              <w:right w:val="single" w:sz="4" w:space="0" w:color="auto"/>
            </w:tcBorders>
            <w:shd w:val="clear" w:color="auto" w:fill="auto"/>
            <w:noWrap/>
            <w:vAlign w:val="center"/>
            <w:hideMark/>
          </w:tcPr>
          <w:p w14:paraId="7594D3ED" w14:textId="77777777" w:rsidR="00A621B5" w:rsidRPr="00A621B5" w:rsidRDefault="004A7A82" w:rsidP="00A621B5">
            <w:pPr>
              <w:jc w:val="right"/>
              <w:rPr>
                <w:rFonts w:eastAsia="Times New Roman" w:cs="Arial"/>
                <w:color w:val="000000"/>
              </w:rPr>
            </w:pPr>
            <w:r w:rsidRPr="00A621B5">
              <w:rPr>
                <w:rFonts w:eastAsia="Times New Roman" w:cs="Arial"/>
                <w:color w:val="000000"/>
              </w:rPr>
              <w:t>4.002</w:t>
            </w:r>
          </w:p>
        </w:tc>
        <w:tc>
          <w:tcPr>
            <w:tcW w:w="1843" w:type="dxa"/>
            <w:tcBorders>
              <w:top w:val="nil"/>
              <w:left w:val="nil"/>
              <w:bottom w:val="single" w:sz="4" w:space="0" w:color="auto"/>
              <w:right w:val="single" w:sz="4" w:space="0" w:color="auto"/>
            </w:tcBorders>
            <w:shd w:val="clear" w:color="auto" w:fill="auto"/>
            <w:noWrap/>
            <w:vAlign w:val="center"/>
            <w:hideMark/>
          </w:tcPr>
          <w:p w14:paraId="69933184" w14:textId="77777777" w:rsidR="00A621B5" w:rsidRPr="00A621B5" w:rsidRDefault="004A7A82" w:rsidP="00A621B5">
            <w:pPr>
              <w:jc w:val="right"/>
              <w:rPr>
                <w:rFonts w:eastAsia="Times New Roman" w:cs="Arial"/>
                <w:color w:val="000000"/>
              </w:rPr>
            </w:pPr>
            <w:r w:rsidRPr="00A621B5">
              <w:rPr>
                <w:rFonts w:eastAsia="Times New Roman" w:cs="Arial"/>
                <w:color w:val="000000"/>
              </w:rPr>
              <w:t>0.000</w:t>
            </w:r>
          </w:p>
        </w:tc>
        <w:tc>
          <w:tcPr>
            <w:tcW w:w="286" w:type="dxa"/>
            <w:vAlign w:val="center"/>
            <w:hideMark/>
          </w:tcPr>
          <w:p w14:paraId="4EDF900F" w14:textId="77777777" w:rsidR="00A621B5" w:rsidRPr="00A621B5" w:rsidRDefault="00A621B5" w:rsidP="00A621B5">
            <w:pPr>
              <w:jc w:val="both"/>
              <w:rPr>
                <w:rFonts w:eastAsia="Times New Roman" w:cs="Arial"/>
              </w:rPr>
            </w:pPr>
          </w:p>
        </w:tc>
      </w:tr>
      <w:tr w:rsidR="00C92CD8" w14:paraId="63C5AA48"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1AA310B8" w14:textId="77777777" w:rsidR="00A621B5" w:rsidRPr="00A621B5" w:rsidRDefault="004A7A82" w:rsidP="00A621B5">
            <w:pPr>
              <w:jc w:val="both"/>
              <w:rPr>
                <w:rFonts w:eastAsia="Times New Roman" w:cs="Arial"/>
                <w:color w:val="000000"/>
              </w:rPr>
            </w:pPr>
            <w:r w:rsidRPr="00A621B5">
              <w:rPr>
                <w:rFonts w:eastAsia="Times New Roman" w:cs="Arial"/>
                <w:color w:val="000000"/>
              </w:rPr>
              <w:t>Economic Development</w:t>
            </w:r>
          </w:p>
        </w:tc>
        <w:tc>
          <w:tcPr>
            <w:tcW w:w="1843" w:type="dxa"/>
            <w:tcBorders>
              <w:top w:val="nil"/>
              <w:left w:val="nil"/>
              <w:bottom w:val="single" w:sz="4" w:space="0" w:color="auto"/>
              <w:right w:val="single" w:sz="4" w:space="0" w:color="auto"/>
            </w:tcBorders>
            <w:shd w:val="clear" w:color="auto" w:fill="auto"/>
            <w:noWrap/>
            <w:vAlign w:val="center"/>
            <w:hideMark/>
          </w:tcPr>
          <w:p w14:paraId="7CC517AA" w14:textId="77777777" w:rsidR="00A621B5" w:rsidRPr="00A621B5" w:rsidRDefault="004A7A82" w:rsidP="00A621B5">
            <w:pPr>
              <w:jc w:val="right"/>
              <w:rPr>
                <w:rFonts w:eastAsia="Times New Roman" w:cs="Arial"/>
                <w:color w:val="000000"/>
              </w:rPr>
            </w:pPr>
            <w:r w:rsidRPr="00A621B5">
              <w:rPr>
                <w:rFonts w:eastAsia="Times New Roman" w:cs="Arial"/>
                <w:color w:val="000000"/>
              </w:rPr>
              <w:t>35.270</w:t>
            </w:r>
          </w:p>
        </w:tc>
        <w:tc>
          <w:tcPr>
            <w:tcW w:w="1843" w:type="dxa"/>
            <w:tcBorders>
              <w:top w:val="nil"/>
              <w:left w:val="nil"/>
              <w:bottom w:val="single" w:sz="4" w:space="0" w:color="auto"/>
              <w:right w:val="single" w:sz="4" w:space="0" w:color="auto"/>
            </w:tcBorders>
            <w:shd w:val="clear" w:color="auto" w:fill="auto"/>
            <w:noWrap/>
            <w:vAlign w:val="center"/>
            <w:hideMark/>
          </w:tcPr>
          <w:p w14:paraId="3029D722" w14:textId="77777777" w:rsidR="00A621B5" w:rsidRPr="00A621B5" w:rsidRDefault="004A7A82" w:rsidP="00A621B5">
            <w:pPr>
              <w:jc w:val="right"/>
              <w:rPr>
                <w:rFonts w:eastAsia="Times New Roman" w:cs="Arial"/>
                <w:color w:val="000000"/>
              </w:rPr>
            </w:pPr>
            <w:r w:rsidRPr="00A621B5">
              <w:rPr>
                <w:rFonts w:eastAsia="Times New Roman" w:cs="Arial"/>
                <w:color w:val="000000"/>
              </w:rPr>
              <w:t>49.561</w:t>
            </w:r>
          </w:p>
        </w:tc>
        <w:tc>
          <w:tcPr>
            <w:tcW w:w="1843" w:type="dxa"/>
            <w:tcBorders>
              <w:top w:val="nil"/>
              <w:left w:val="nil"/>
              <w:bottom w:val="single" w:sz="4" w:space="0" w:color="auto"/>
              <w:right w:val="single" w:sz="4" w:space="0" w:color="auto"/>
            </w:tcBorders>
            <w:shd w:val="clear" w:color="auto" w:fill="auto"/>
            <w:noWrap/>
            <w:vAlign w:val="center"/>
            <w:hideMark/>
          </w:tcPr>
          <w:p w14:paraId="502F0F4A" w14:textId="77777777" w:rsidR="00A621B5" w:rsidRPr="00A621B5" w:rsidRDefault="004A7A82" w:rsidP="00A621B5">
            <w:pPr>
              <w:jc w:val="right"/>
              <w:rPr>
                <w:rFonts w:eastAsia="Times New Roman" w:cs="Arial"/>
                <w:color w:val="000000"/>
              </w:rPr>
            </w:pPr>
            <w:r w:rsidRPr="00A621B5">
              <w:rPr>
                <w:rFonts w:eastAsia="Times New Roman" w:cs="Arial"/>
                <w:color w:val="000000"/>
              </w:rPr>
              <w:t>14.200</w:t>
            </w:r>
          </w:p>
        </w:tc>
        <w:tc>
          <w:tcPr>
            <w:tcW w:w="286" w:type="dxa"/>
            <w:vAlign w:val="center"/>
            <w:hideMark/>
          </w:tcPr>
          <w:p w14:paraId="386A5EDA" w14:textId="77777777" w:rsidR="00A621B5" w:rsidRPr="00A621B5" w:rsidRDefault="00A621B5" w:rsidP="00A621B5">
            <w:pPr>
              <w:jc w:val="both"/>
              <w:rPr>
                <w:rFonts w:eastAsia="Times New Roman" w:cs="Arial"/>
              </w:rPr>
            </w:pPr>
          </w:p>
        </w:tc>
      </w:tr>
      <w:tr w:rsidR="00C92CD8" w14:paraId="3DF86A73"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31228B3C" w14:textId="77777777" w:rsidR="00A621B5" w:rsidRPr="00A621B5" w:rsidRDefault="004A7A82" w:rsidP="00A621B5">
            <w:pPr>
              <w:jc w:val="both"/>
              <w:rPr>
                <w:rFonts w:eastAsia="Times New Roman" w:cs="Arial"/>
                <w:color w:val="000000"/>
              </w:rPr>
            </w:pPr>
            <w:r w:rsidRPr="00A621B5">
              <w:rPr>
                <w:rFonts w:eastAsia="Times New Roman" w:cs="Arial"/>
                <w:color w:val="000000"/>
              </w:rPr>
              <w:t>East Lancs levelling up fund</w:t>
            </w:r>
          </w:p>
        </w:tc>
        <w:tc>
          <w:tcPr>
            <w:tcW w:w="1843" w:type="dxa"/>
            <w:tcBorders>
              <w:top w:val="nil"/>
              <w:left w:val="nil"/>
              <w:bottom w:val="single" w:sz="4" w:space="0" w:color="auto"/>
              <w:right w:val="single" w:sz="4" w:space="0" w:color="auto"/>
            </w:tcBorders>
            <w:shd w:val="clear" w:color="auto" w:fill="auto"/>
            <w:noWrap/>
            <w:vAlign w:val="center"/>
            <w:hideMark/>
          </w:tcPr>
          <w:p w14:paraId="15445909" w14:textId="77777777" w:rsidR="00A621B5" w:rsidRPr="00A621B5" w:rsidRDefault="004A7A82" w:rsidP="00A621B5">
            <w:pPr>
              <w:jc w:val="right"/>
              <w:rPr>
                <w:rFonts w:eastAsia="Times New Roman" w:cs="Arial"/>
                <w:color w:val="000000"/>
              </w:rPr>
            </w:pPr>
            <w:r w:rsidRPr="00A621B5">
              <w:rPr>
                <w:rFonts w:eastAsia="Times New Roman" w:cs="Arial"/>
                <w:color w:val="000000"/>
              </w:rPr>
              <w:t>10.000</w:t>
            </w:r>
          </w:p>
        </w:tc>
        <w:tc>
          <w:tcPr>
            <w:tcW w:w="1843" w:type="dxa"/>
            <w:tcBorders>
              <w:top w:val="nil"/>
              <w:left w:val="nil"/>
              <w:bottom w:val="single" w:sz="4" w:space="0" w:color="auto"/>
              <w:right w:val="single" w:sz="4" w:space="0" w:color="auto"/>
            </w:tcBorders>
            <w:shd w:val="clear" w:color="auto" w:fill="auto"/>
            <w:noWrap/>
            <w:vAlign w:val="center"/>
            <w:hideMark/>
          </w:tcPr>
          <w:p w14:paraId="7A1878BF" w14:textId="77777777" w:rsidR="00A621B5" w:rsidRPr="00A621B5" w:rsidRDefault="004A7A82" w:rsidP="00A621B5">
            <w:pPr>
              <w:jc w:val="right"/>
              <w:rPr>
                <w:rFonts w:eastAsia="Times New Roman" w:cs="Arial"/>
                <w:color w:val="000000"/>
              </w:rPr>
            </w:pPr>
            <w:r w:rsidRPr="00A621B5">
              <w:rPr>
                <w:rFonts w:eastAsia="Times New Roman" w:cs="Arial"/>
                <w:color w:val="000000"/>
              </w:rPr>
              <w:t>36.000</w:t>
            </w:r>
          </w:p>
        </w:tc>
        <w:tc>
          <w:tcPr>
            <w:tcW w:w="1843" w:type="dxa"/>
            <w:tcBorders>
              <w:top w:val="nil"/>
              <w:left w:val="nil"/>
              <w:bottom w:val="single" w:sz="4" w:space="0" w:color="auto"/>
              <w:right w:val="single" w:sz="4" w:space="0" w:color="auto"/>
            </w:tcBorders>
            <w:shd w:val="clear" w:color="auto" w:fill="auto"/>
            <w:noWrap/>
            <w:vAlign w:val="center"/>
            <w:hideMark/>
          </w:tcPr>
          <w:p w14:paraId="17DD265C" w14:textId="77777777" w:rsidR="00A621B5" w:rsidRPr="00A621B5" w:rsidRDefault="004A7A82" w:rsidP="00A621B5">
            <w:pPr>
              <w:jc w:val="right"/>
              <w:rPr>
                <w:rFonts w:eastAsia="Times New Roman" w:cs="Arial"/>
                <w:color w:val="000000"/>
              </w:rPr>
            </w:pPr>
            <w:r w:rsidRPr="00A621B5">
              <w:rPr>
                <w:rFonts w:eastAsia="Times New Roman" w:cs="Arial"/>
                <w:color w:val="000000"/>
              </w:rPr>
              <w:t>5.000</w:t>
            </w:r>
          </w:p>
        </w:tc>
        <w:tc>
          <w:tcPr>
            <w:tcW w:w="286" w:type="dxa"/>
            <w:vAlign w:val="center"/>
            <w:hideMark/>
          </w:tcPr>
          <w:p w14:paraId="1A154B5A" w14:textId="77777777" w:rsidR="00A621B5" w:rsidRPr="00A621B5" w:rsidRDefault="00A621B5" w:rsidP="00A621B5">
            <w:pPr>
              <w:jc w:val="both"/>
              <w:rPr>
                <w:rFonts w:eastAsia="Times New Roman" w:cs="Arial"/>
              </w:rPr>
            </w:pPr>
          </w:p>
        </w:tc>
      </w:tr>
      <w:tr w:rsidR="00C92CD8" w14:paraId="21C2FA38"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7E18A4CD" w14:textId="77777777" w:rsidR="00A621B5" w:rsidRPr="00A621B5" w:rsidRDefault="004A7A82" w:rsidP="00A621B5">
            <w:pPr>
              <w:jc w:val="both"/>
              <w:rPr>
                <w:rFonts w:eastAsia="Times New Roman" w:cs="Arial"/>
                <w:color w:val="000000"/>
              </w:rPr>
            </w:pPr>
            <w:r w:rsidRPr="00A621B5">
              <w:rPr>
                <w:rFonts w:eastAsia="Times New Roman" w:cs="Arial"/>
                <w:color w:val="000000"/>
              </w:rPr>
              <w:t>Vehicles</w:t>
            </w:r>
          </w:p>
        </w:tc>
        <w:tc>
          <w:tcPr>
            <w:tcW w:w="1843" w:type="dxa"/>
            <w:tcBorders>
              <w:top w:val="nil"/>
              <w:left w:val="nil"/>
              <w:bottom w:val="single" w:sz="4" w:space="0" w:color="auto"/>
              <w:right w:val="single" w:sz="4" w:space="0" w:color="auto"/>
            </w:tcBorders>
            <w:shd w:val="clear" w:color="auto" w:fill="auto"/>
            <w:noWrap/>
            <w:vAlign w:val="center"/>
            <w:hideMark/>
          </w:tcPr>
          <w:p w14:paraId="12774350" w14:textId="77777777" w:rsidR="00A621B5" w:rsidRPr="00A621B5" w:rsidRDefault="004A7A82" w:rsidP="00A621B5">
            <w:pPr>
              <w:jc w:val="right"/>
              <w:rPr>
                <w:rFonts w:eastAsia="Times New Roman" w:cs="Arial"/>
                <w:color w:val="000000"/>
              </w:rPr>
            </w:pPr>
            <w:r w:rsidRPr="00A621B5">
              <w:rPr>
                <w:rFonts w:eastAsia="Times New Roman" w:cs="Arial"/>
                <w:color w:val="000000"/>
              </w:rPr>
              <w:t>4.000</w:t>
            </w:r>
          </w:p>
        </w:tc>
        <w:tc>
          <w:tcPr>
            <w:tcW w:w="1843" w:type="dxa"/>
            <w:tcBorders>
              <w:top w:val="nil"/>
              <w:left w:val="nil"/>
              <w:bottom w:val="single" w:sz="4" w:space="0" w:color="auto"/>
              <w:right w:val="single" w:sz="4" w:space="0" w:color="auto"/>
            </w:tcBorders>
            <w:shd w:val="clear" w:color="auto" w:fill="auto"/>
            <w:noWrap/>
            <w:vAlign w:val="center"/>
            <w:hideMark/>
          </w:tcPr>
          <w:p w14:paraId="045E0AD7" w14:textId="77777777" w:rsidR="00A621B5" w:rsidRPr="00A621B5" w:rsidRDefault="004A7A82" w:rsidP="00A621B5">
            <w:pPr>
              <w:jc w:val="right"/>
              <w:rPr>
                <w:rFonts w:eastAsia="Times New Roman" w:cs="Arial"/>
                <w:color w:val="000000"/>
              </w:rPr>
            </w:pPr>
            <w:r w:rsidRPr="00A621B5">
              <w:rPr>
                <w:rFonts w:eastAsia="Times New Roman" w:cs="Arial"/>
                <w:color w:val="000000"/>
              </w:rPr>
              <w:t>4.000</w:t>
            </w:r>
          </w:p>
        </w:tc>
        <w:tc>
          <w:tcPr>
            <w:tcW w:w="1843" w:type="dxa"/>
            <w:tcBorders>
              <w:top w:val="nil"/>
              <w:left w:val="nil"/>
              <w:bottom w:val="single" w:sz="4" w:space="0" w:color="auto"/>
              <w:right w:val="single" w:sz="4" w:space="0" w:color="auto"/>
            </w:tcBorders>
            <w:shd w:val="clear" w:color="auto" w:fill="auto"/>
            <w:noWrap/>
            <w:vAlign w:val="center"/>
            <w:hideMark/>
          </w:tcPr>
          <w:p w14:paraId="26D2851E" w14:textId="77777777" w:rsidR="00A621B5" w:rsidRPr="00A621B5" w:rsidRDefault="004A7A82" w:rsidP="00A621B5">
            <w:pPr>
              <w:jc w:val="right"/>
              <w:rPr>
                <w:rFonts w:eastAsia="Times New Roman" w:cs="Arial"/>
                <w:color w:val="000000"/>
              </w:rPr>
            </w:pPr>
            <w:r w:rsidRPr="00A621B5">
              <w:rPr>
                <w:rFonts w:eastAsia="Times New Roman" w:cs="Arial"/>
                <w:color w:val="000000"/>
              </w:rPr>
              <w:t>4.000</w:t>
            </w:r>
          </w:p>
        </w:tc>
        <w:tc>
          <w:tcPr>
            <w:tcW w:w="286" w:type="dxa"/>
            <w:vAlign w:val="center"/>
            <w:hideMark/>
          </w:tcPr>
          <w:p w14:paraId="75498D69" w14:textId="77777777" w:rsidR="00A621B5" w:rsidRPr="00A621B5" w:rsidRDefault="00A621B5" w:rsidP="00A621B5">
            <w:pPr>
              <w:jc w:val="both"/>
              <w:rPr>
                <w:rFonts w:eastAsia="Times New Roman" w:cs="Arial"/>
              </w:rPr>
            </w:pPr>
          </w:p>
        </w:tc>
      </w:tr>
      <w:tr w:rsidR="00C92CD8" w14:paraId="02B7180E"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50060099" w14:textId="77777777" w:rsidR="00A621B5" w:rsidRPr="00A621B5" w:rsidRDefault="004A7A82" w:rsidP="00A621B5">
            <w:pPr>
              <w:jc w:val="both"/>
              <w:rPr>
                <w:rFonts w:eastAsia="Times New Roman" w:cs="Arial"/>
                <w:color w:val="000000"/>
              </w:rPr>
            </w:pPr>
            <w:r w:rsidRPr="00A621B5">
              <w:rPr>
                <w:rFonts w:eastAsia="Times New Roman" w:cs="Arial"/>
                <w:color w:val="000000"/>
              </w:rPr>
              <w:t>Transforming Cities Fund</w:t>
            </w:r>
          </w:p>
        </w:tc>
        <w:tc>
          <w:tcPr>
            <w:tcW w:w="1843" w:type="dxa"/>
            <w:tcBorders>
              <w:top w:val="nil"/>
              <w:left w:val="nil"/>
              <w:bottom w:val="single" w:sz="4" w:space="0" w:color="auto"/>
              <w:right w:val="single" w:sz="4" w:space="0" w:color="auto"/>
            </w:tcBorders>
            <w:shd w:val="clear" w:color="auto" w:fill="auto"/>
            <w:noWrap/>
            <w:vAlign w:val="center"/>
            <w:hideMark/>
          </w:tcPr>
          <w:p w14:paraId="1151C7A6" w14:textId="77777777" w:rsidR="00A621B5" w:rsidRPr="00A621B5" w:rsidRDefault="004A7A82" w:rsidP="00A621B5">
            <w:pPr>
              <w:jc w:val="right"/>
              <w:rPr>
                <w:rFonts w:eastAsia="Times New Roman" w:cs="Arial"/>
                <w:color w:val="000000"/>
              </w:rPr>
            </w:pPr>
            <w:r w:rsidRPr="00A621B5">
              <w:rPr>
                <w:rFonts w:eastAsia="Times New Roman" w:cs="Arial"/>
                <w:color w:val="000000"/>
              </w:rPr>
              <w:t>3.000</w:t>
            </w:r>
          </w:p>
        </w:tc>
        <w:tc>
          <w:tcPr>
            <w:tcW w:w="1843" w:type="dxa"/>
            <w:tcBorders>
              <w:top w:val="nil"/>
              <w:left w:val="nil"/>
              <w:bottom w:val="single" w:sz="4" w:space="0" w:color="auto"/>
              <w:right w:val="single" w:sz="4" w:space="0" w:color="auto"/>
            </w:tcBorders>
            <w:shd w:val="clear" w:color="auto" w:fill="auto"/>
            <w:noWrap/>
            <w:vAlign w:val="center"/>
            <w:hideMark/>
          </w:tcPr>
          <w:p w14:paraId="0964EB86" w14:textId="77777777" w:rsidR="00A621B5" w:rsidRPr="00A621B5" w:rsidRDefault="004A7A82" w:rsidP="00A621B5">
            <w:pPr>
              <w:jc w:val="right"/>
              <w:rPr>
                <w:rFonts w:eastAsia="Times New Roman" w:cs="Arial"/>
                <w:color w:val="000000"/>
              </w:rPr>
            </w:pPr>
            <w:r w:rsidRPr="00A621B5">
              <w:rPr>
                <w:rFonts w:eastAsia="Times New Roman" w:cs="Arial"/>
                <w:color w:val="000000"/>
              </w:rPr>
              <w:t>0.000</w:t>
            </w:r>
          </w:p>
        </w:tc>
        <w:tc>
          <w:tcPr>
            <w:tcW w:w="1843" w:type="dxa"/>
            <w:tcBorders>
              <w:top w:val="nil"/>
              <w:left w:val="nil"/>
              <w:bottom w:val="single" w:sz="4" w:space="0" w:color="auto"/>
              <w:right w:val="single" w:sz="4" w:space="0" w:color="auto"/>
            </w:tcBorders>
            <w:shd w:val="clear" w:color="auto" w:fill="auto"/>
            <w:noWrap/>
            <w:vAlign w:val="center"/>
            <w:hideMark/>
          </w:tcPr>
          <w:p w14:paraId="7FAC1A57" w14:textId="77777777" w:rsidR="00A621B5" w:rsidRPr="00A621B5" w:rsidRDefault="004A7A82" w:rsidP="00A621B5">
            <w:pPr>
              <w:jc w:val="right"/>
              <w:rPr>
                <w:rFonts w:eastAsia="Times New Roman" w:cs="Arial"/>
                <w:color w:val="000000"/>
              </w:rPr>
            </w:pPr>
            <w:r w:rsidRPr="00A621B5">
              <w:rPr>
                <w:rFonts w:eastAsia="Times New Roman" w:cs="Arial"/>
                <w:color w:val="000000"/>
              </w:rPr>
              <w:t>0.000</w:t>
            </w:r>
          </w:p>
        </w:tc>
        <w:tc>
          <w:tcPr>
            <w:tcW w:w="286" w:type="dxa"/>
            <w:vAlign w:val="center"/>
            <w:hideMark/>
          </w:tcPr>
          <w:p w14:paraId="087B7152" w14:textId="77777777" w:rsidR="00A621B5" w:rsidRPr="00A621B5" w:rsidRDefault="00A621B5" w:rsidP="00A621B5">
            <w:pPr>
              <w:jc w:val="both"/>
              <w:rPr>
                <w:rFonts w:eastAsia="Times New Roman" w:cs="Arial"/>
              </w:rPr>
            </w:pPr>
          </w:p>
        </w:tc>
      </w:tr>
      <w:tr w:rsidR="00C92CD8" w14:paraId="18CC938F" w14:textId="77777777">
        <w:trPr>
          <w:trHeight w:val="313"/>
        </w:trPr>
        <w:tc>
          <w:tcPr>
            <w:tcW w:w="3551" w:type="dxa"/>
            <w:tcBorders>
              <w:top w:val="nil"/>
              <w:left w:val="single" w:sz="4" w:space="0" w:color="auto"/>
              <w:bottom w:val="single" w:sz="4" w:space="0" w:color="auto"/>
              <w:right w:val="single" w:sz="4" w:space="0" w:color="auto"/>
            </w:tcBorders>
            <w:shd w:val="clear" w:color="auto" w:fill="auto"/>
            <w:noWrap/>
            <w:vAlign w:val="center"/>
            <w:hideMark/>
          </w:tcPr>
          <w:p w14:paraId="45228C94" w14:textId="77777777" w:rsidR="00A621B5" w:rsidRPr="00A621B5" w:rsidRDefault="004A7A82" w:rsidP="00A621B5">
            <w:pPr>
              <w:jc w:val="both"/>
              <w:rPr>
                <w:rFonts w:eastAsia="Times New Roman" w:cs="Arial"/>
                <w:b/>
                <w:bCs/>
                <w:color w:val="000000"/>
              </w:rPr>
            </w:pPr>
            <w:r w:rsidRPr="00A621B5">
              <w:rPr>
                <w:rFonts w:eastAsia="Times New Roman" w:cs="Arial"/>
                <w:b/>
                <w:bCs/>
                <w:color w:val="000000"/>
              </w:rPr>
              <w:t>Totals</w:t>
            </w:r>
          </w:p>
        </w:tc>
        <w:tc>
          <w:tcPr>
            <w:tcW w:w="1843" w:type="dxa"/>
            <w:tcBorders>
              <w:top w:val="nil"/>
              <w:left w:val="nil"/>
              <w:bottom w:val="single" w:sz="4" w:space="0" w:color="auto"/>
              <w:right w:val="single" w:sz="4" w:space="0" w:color="auto"/>
            </w:tcBorders>
            <w:shd w:val="clear" w:color="auto" w:fill="auto"/>
            <w:noWrap/>
            <w:vAlign w:val="center"/>
            <w:hideMark/>
          </w:tcPr>
          <w:p w14:paraId="5977EC26" w14:textId="77777777" w:rsidR="00A621B5" w:rsidRPr="00A621B5" w:rsidRDefault="004A7A82" w:rsidP="00A621B5">
            <w:pPr>
              <w:jc w:val="right"/>
              <w:rPr>
                <w:rFonts w:eastAsia="Times New Roman" w:cs="Arial"/>
                <w:b/>
                <w:bCs/>
                <w:color w:val="000000"/>
              </w:rPr>
            </w:pPr>
            <w:r w:rsidRPr="00A621B5">
              <w:rPr>
                <w:rFonts w:eastAsia="Times New Roman" w:cs="Arial"/>
                <w:b/>
                <w:bCs/>
                <w:color w:val="000000"/>
              </w:rPr>
              <w:t xml:space="preserve">198.524 </w:t>
            </w:r>
          </w:p>
        </w:tc>
        <w:tc>
          <w:tcPr>
            <w:tcW w:w="1843" w:type="dxa"/>
            <w:tcBorders>
              <w:top w:val="nil"/>
              <w:left w:val="nil"/>
              <w:bottom w:val="single" w:sz="4" w:space="0" w:color="auto"/>
              <w:right w:val="single" w:sz="4" w:space="0" w:color="auto"/>
            </w:tcBorders>
            <w:shd w:val="clear" w:color="auto" w:fill="auto"/>
            <w:noWrap/>
            <w:vAlign w:val="center"/>
            <w:hideMark/>
          </w:tcPr>
          <w:p w14:paraId="68AB4B3D" w14:textId="77777777" w:rsidR="00A621B5" w:rsidRPr="00A621B5" w:rsidRDefault="004A7A82" w:rsidP="00A621B5">
            <w:pPr>
              <w:jc w:val="right"/>
              <w:rPr>
                <w:rFonts w:eastAsia="Times New Roman" w:cs="Arial"/>
                <w:b/>
                <w:bCs/>
                <w:color w:val="000000"/>
              </w:rPr>
            </w:pPr>
            <w:r w:rsidRPr="00A621B5">
              <w:rPr>
                <w:rFonts w:eastAsia="Times New Roman" w:cs="Arial"/>
                <w:b/>
                <w:bCs/>
                <w:color w:val="000000"/>
              </w:rPr>
              <w:t xml:space="preserve">206.848 </w:t>
            </w:r>
          </w:p>
        </w:tc>
        <w:tc>
          <w:tcPr>
            <w:tcW w:w="1843" w:type="dxa"/>
            <w:tcBorders>
              <w:top w:val="nil"/>
              <w:left w:val="nil"/>
              <w:bottom w:val="single" w:sz="4" w:space="0" w:color="auto"/>
              <w:right w:val="single" w:sz="4" w:space="0" w:color="auto"/>
            </w:tcBorders>
            <w:shd w:val="clear" w:color="auto" w:fill="auto"/>
            <w:noWrap/>
            <w:vAlign w:val="center"/>
            <w:hideMark/>
          </w:tcPr>
          <w:p w14:paraId="0E725069" w14:textId="77777777" w:rsidR="00A621B5" w:rsidRPr="00A621B5" w:rsidRDefault="004A7A82" w:rsidP="00A621B5">
            <w:pPr>
              <w:jc w:val="right"/>
              <w:rPr>
                <w:rFonts w:eastAsia="Times New Roman" w:cs="Arial"/>
                <w:b/>
                <w:bCs/>
                <w:color w:val="000000"/>
              </w:rPr>
            </w:pPr>
            <w:r w:rsidRPr="00A621B5">
              <w:rPr>
                <w:rFonts w:eastAsia="Times New Roman" w:cs="Arial"/>
                <w:b/>
                <w:bCs/>
                <w:color w:val="000000"/>
              </w:rPr>
              <w:t xml:space="preserve">125.500 </w:t>
            </w:r>
          </w:p>
        </w:tc>
        <w:tc>
          <w:tcPr>
            <w:tcW w:w="286" w:type="dxa"/>
            <w:vAlign w:val="center"/>
            <w:hideMark/>
          </w:tcPr>
          <w:p w14:paraId="5283792D" w14:textId="77777777" w:rsidR="00A621B5" w:rsidRPr="00A621B5" w:rsidRDefault="00A621B5" w:rsidP="00A621B5">
            <w:pPr>
              <w:jc w:val="both"/>
              <w:rPr>
                <w:rFonts w:eastAsia="Times New Roman" w:cs="Arial"/>
              </w:rPr>
            </w:pPr>
          </w:p>
        </w:tc>
      </w:tr>
    </w:tbl>
    <w:p w14:paraId="6FA53640" w14:textId="7731885C" w:rsidR="007F3D10" w:rsidRPr="00EF4E1C" w:rsidRDefault="007F3D10" w:rsidP="007F3D10">
      <w:pPr>
        <w:jc w:val="both"/>
        <w:rPr>
          <w:rFonts w:cs="Arial"/>
        </w:rPr>
      </w:pPr>
    </w:p>
    <w:p w14:paraId="301F31A2" w14:textId="00CC6BAF" w:rsidR="007F3D10" w:rsidRDefault="004A7A82" w:rsidP="1296B87A">
      <w:pPr>
        <w:jc w:val="both"/>
        <w:rPr>
          <w:rFonts w:cs="Arial"/>
          <w:b/>
          <w:bCs/>
          <w:color w:val="000000" w:themeColor="text1"/>
        </w:rPr>
      </w:pPr>
      <w:r w:rsidRPr="1296B87A">
        <w:rPr>
          <w:rFonts w:cs="Arial"/>
          <w:b/>
          <w:bCs/>
          <w:color w:val="000000" w:themeColor="text1"/>
        </w:rPr>
        <w:t xml:space="preserve">TABLE 2 – Funding </w:t>
      </w:r>
      <w:r w:rsidR="00481346">
        <w:rPr>
          <w:rFonts w:cs="Arial"/>
          <w:b/>
          <w:bCs/>
          <w:color w:val="000000" w:themeColor="text1"/>
        </w:rPr>
        <w:t>Sources</w:t>
      </w:r>
    </w:p>
    <w:p w14:paraId="6AD475FE" w14:textId="0D621A7D" w:rsidR="00A621B5" w:rsidRDefault="00A621B5" w:rsidP="1296B87A">
      <w:pPr>
        <w:jc w:val="both"/>
        <w:rPr>
          <w:rFonts w:cs="Arial"/>
          <w:b/>
          <w:bCs/>
          <w:color w:val="000000" w:themeColor="text1"/>
        </w:rPr>
      </w:pPr>
    </w:p>
    <w:tbl>
      <w:tblPr>
        <w:tblW w:w="9346" w:type="dxa"/>
        <w:tblLayout w:type="fixed"/>
        <w:tblLook w:val="04A0" w:firstRow="1" w:lastRow="0" w:firstColumn="1" w:lastColumn="0" w:noHBand="0" w:noVBand="1"/>
      </w:tblPr>
      <w:tblGrid>
        <w:gridCol w:w="3539"/>
        <w:gridCol w:w="1847"/>
        <w:gridCol w:w="1847"/>
        <w:gridCol w:w="1848"/>
        <w:gridCol w:w="265"/>
      </w:tblGrid>
      <w:tr w:rsidR="00C92CD8" w14:paraId="24CD03CC" w14:textId="77777777" w:rsidTr="00A621B5">
        <w:trPr>
          <w:gridAfter w:val="1"/>
          <w:wAfter w:w="265" w:type="dxa"/>
          <w:trHeight w:val="481"/>
        </w:trPr>
        <w:tc>
          <w:tcPr>
            <w:tcW w:w="353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7EE99D" w14:textId="77777777" w:rsidR="00A621B5" w:rsidRPr="00EF4E1C" w:rsidRDefault="004A7A82">
            <w:pPr>
              <w:jc w:val="both"/>
              <w:rPr>
                <w:rFonts w:eastAsia="Times New Roman" w:cs="Arial"/>
                <w:b/>
                <w:bCs/>
                <w:color w:val="000000"/>
              </w:rPr>
            </w:pPr>
            <w:r w:rsidRPr="00EF4E1C">
              <w:rPr>
                <w:rFonts w:eastAsia="Times New Roman" w:cs="Arial"/>
                <w:b/>
                <w:bCs/>
                <w:color w:val="000000"/>
              </w:rPr>
              <w:t>Service Area</w:t>
            </w:r>
          </w:p>
        </w:tc>
        <w:tc>
          <w:tcPr>
            <w:tcW w:w="184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4D4E07C" w14:textId="1FC8AF00" w:rsidR="00A621B5" w:rsidRPr="00EF4E1C" w:rsidRDefault="004A7A82">
            <w:pPr>
              <w:jc w:val="center"/>
              <w:rPr>
                <w:rFonts w:eastAsia="Times New Roman" w:cs="Arial"/>
                <w:b/>
                <w:bCs/>
                <w:color w:val="000000"/>
              </w:rPr>
            </w:pPr>
            <w:r>
              <w:rPr>
                <w:rFonts w:eastAsia="Times New Roman" w:cs="Arial"/>
                <w:b/>
                <w:bCs/>
                <w:color w:val="000000"/>
              </w:rPr>
              <w:t>20</w:t>
            </w:r>
            <w:r w:rsidRPr="00EF4E1C">
              <w:rPr>
                <w:rFonts w:eastAsia="Times New Roman" w:cs="Arial"/>
                <w:b/>
                <w:bCs/>
                <w:color w:val="000000"/>
              </w:rPr>
              <w:t>24/25 funding</w:t>
            </w:r>
          </w:p>
        </w:tc>
        <w:tc>
          <w:tcPr>
            <w:tcW w:w="184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5B4D494" w14:textId="047F150B" w:rsidR="00A621B5" w:rsidRPr="00EF4E1C" w:rsidRDefault="004A7A82">
            <w:pPr>
              <w:jc w:val="center"/>
              <w:rPr>
                <w:rFonts w:eastAsia="Times New Roman" w:cs="Arial"/>
                <w:b/>
                <w:bCs/>
                <w:color w:val="000000"/>
              </w:rPr>
            </w:pPr>
            <w:r>
              <w:rPr>
                <w:rFonts w:eastAsia="Times New Roman" w:cs="Arial"/>
                <w:b/>
                <w:bCs/>
                <w:color w:val="000000"/>
              </w:rPr>
              <w:t>20</w:t>
            </w:r>
            <w:r w:rsidRPr="00EF4E1C">
              <w:rPr>
                <w:rFonts w:eastAsia="Times New Roman" w:cs="Arial"/>
                <w:b/>
                <w:bCs/>
                <w:color w:val="000000"/>
              </w:rPr>
              <w:t>25/26 funding</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54C2250" w14:textId="13E55BE0" w:rsidR="00A621B5" w:rsidRPr="00EF4E1C" w:rsidRDefault="004A7A82">
            <w:pPr>
              <w:jc w:val="center"/>
              <w:rPr>
                <w:rFonts w:eastAsia="Times New Roman" w:cs="Arial"/>
                <w:b/>
                <w:bCs/>
                <w:color w:val="000000"/>
              </w:rPr>
            </w:pPr>
            <w:r>
              <w:rPr>
                <w:rFonts w:eastAsia="Times New Roman" w:cs="Arial"/>
                <w:b/>
                <w:bCs/>
                <w:color w:val="000000"/>
              </w:rPr>
              <w:t>20</w:t>
            </w:r>
            <w:r w:rsidRPr="00EF4E1C">
              <w:rPr>
                <w:rFonts w:eastAsia="Times New Roman" w:cs="Arial"/>
                <w:b/>
                <w:bCs/>
                <w:color w:val="000000"/>
              </w:rPr>
              <w:t>26/27 funding</w:t>
            </w:r>
          </w:p>
        </w:tc>
      </w:tr>
      <w:tr w:rsidR="00C92CD8" w14:paraId="08CFA1D3" w14:textId="77777777" w:rsidTr="00A621B5">
        <w:trPr>
          <w:trHeight w:val="303"/>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68176D71" w14:textId="77777777" w:rsidR="00A621B5" w:rsidRPr="00EF4E1C" w:rsidRDefault="00A621B5">
            <w:pPr>
              <w:jc w:val="both"/>
              <w:rPr>
                <w:rFonts w:eastAsia="Times New Roman" w:cs="Arial"/>
                <w:b/>
                <w:bCs/>
                <w:color w:val="000000"/>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14:paraId="65CE7B10" w14:textId="77777777" w:rsidR="00A621B5" w:rsidRPr="00EF4E1C" w:rsidRDefault="00A621B5">
            <w:pPr>
              <w:jc w:val="both"/>
              <w:rPr>
                <w:rFonts w:eastAsia="Times New Roman" w:cs="Arial"/>
                <w:b/>
                <w:bCs/>
                <w:color w:val="000000"/>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14:paraId="3D540E0C" w14:textId="77777777" w:rsidR="00A621B5" w:rsidRPr="00EF4E1C" w:rsidRDefault="00A621B5">
            <w:pPr>
              <w:jc w:val="both"/>
              <w:rPr>
                <w:rFonts w:eastAsia="Times New Roman" w:cs="Arial"/>
                <w:b/>
                <w:bCs/>
                <w:color w:val="00000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5CABB827" w14:textId="77777777" w:rsidR="00A621B5" w:rsidRPr="00EF4E1C" w:rsidRDefault="00A621B5">
            <w:pPr>
              <w:jc w:val="both"/>
              <w:rPr>
                <w:rFonts w:eastAsia="Times New Roman" w:cs="Arial"/>
                <w:b/>
                <w:bCs/>
                <w:color w:val="000000"/>
              </w:rPr>
            </w:pPr>
          </w:p>
        </w:tc>
        <w:tc>
          <w:tcPr>
            <w:tcW w:w="265" w:type="dxa"/>
            <w:tcBorders>
              <w:top w:val="nil"/>
              <w:left w:val="nil"/>
              <w:bottom w:val="nil"/>
              <w:right w:val="nil"/>
            </w:tcBorders>
            <w:shd w:val="clear" w:color="auto" w:fill="auto"/>
            <w:noWrap/>
            <w:vAlign w:val="bottom"/>
            <w:hideMark/>
          </w:tcPr>
          <w:p w14:paraId="42C4892F" w14:textId="77777777" w:rsidR="00A621B5" w:rsidRPr="00EF4E1C" w:rsidRDefault="00A621B5">
            <w:pPr>
              <w:jc w:val="both"/>
              <w:rPr>
                <w:rFonts w:eastAsia="Times New Roman" w:cs="Arial"/>
                <w:b/>
                <w:bCs/>
                <w:color w:val="000000"/>
              </w:rPr>
            </w:pPr>
          </w:p>
        </w:tc>
      </w:tr>
      <w:tr w:rsidR="00C92CD8" w14:paraId="13F9AF6B" w14:textId="77777777" w:rsidTr="00A621B5">
        <w:trPr>
          <w:trHeight w:val="303"/>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207FD5A6" w14:textId="77777777" w:rsidR="00A621B5" w:rsidRPr="00EF4E1C" w:rsidRDefault="00A621B5">
            <w:pPr>
              <w:jc w:val="both"/>
              <w:rPr>
                <w:rFonts w:eastAsia="Times New Roman" w:cs="Arial"/>
                <w:b/>
                <w:bCs/>
                <w:color w:val="000000"/>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14:paraId="63340B68" w14:textId="77777777" w:rsidR="00A621B5" w:rsidRPr="00EF4E1C" w:rsidRDefault="00A621B5">
            <w:pPr>
              <w:jc w:val="both"/>
              <w:rPr>
                <w:rFonts w:eastAsia="Times New Roman" w:cs="Arial"/>
                <w:b/>
                <w:bCs/>
                <w:color w:val="000000"/>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14:paraId="5EA68745" w14:textId="77777777" w:rsidR="00A621B5" w:rsidRPr="00EF4E1C" w:rsidRDefault="00A621B5">
            <w:pPr>
              <w:jc w:val="both"/>
              <w:rPr>
                <w:rFonts w:eastAsia="Times New Roman" w:cs="Arial"/>
                <w:b/>
                <w:bCs/>
                <w:color w:val="00000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35A050E3" w14:textId="77777777" w:rsidR="00A621B5" w:rsidRPr="00EF4E1C" w:rsidRDefault="00A621B5">
            <w:pPr>
              <w:jc w:val="both"/>
              <w:rPr>
                <w:rFonts w:eastAsia="Times New Roman" w:cs="Arial"/>
                <w:b/>
                <w:bCs/>
                <w:color w:val="000000"/>
              </w:rPr>
            </w:pPr>
          </w:p>
        </w:tc>
        <w:tc>
          <w:tcPr>
            <w:tcW w:w="265" w:type="dxa"/>
            <w:tcBorders>
              <w:top w:val="nil"/>
              <w:left w:val="nil"/>
              <w:bottom w:val="nil"/>
              <w:right w:val="nil"/>
            </w:tcBorders>
            <w:shd w:val="clear" w:color="auto" w:fill="auto"/>
            <w:noWrap/>
            <w:vAlign w:val="bottom"/>
            <w:hideMark/>
          </w:tcPr>
          <w:p w14:paraId="624BE0BD" w14:textId="77777777" w:rsidR="00A621B5" w:rsidRPr="00EF4E1C" w:rsidRDefault="00A621B5">
            <w:pPr>
              <w:jc w:val="both"/>
              <w:rPr>
                <w:rFonts w:eastAsia="Times New Roman" w:cs="Arial"/>
              </w:rPr>
            </w:pPr>
          </w:p>
        </w:tc>
      </w:tr>
      <w:tr w:rsidR="00C92CD8" w14:paraId="6EF198AA" w14:textId="77777777" w:rsidTr="00A621B5">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CCB5FE7" w14:textId="77777777" w:rsidR="00A621B5" w:rsidRPr="00EF4E1C" w:rsidRDefault="004A7A82">
            <w:pPr>
              <w:jc w:val="both"/>
              <w:rPr>
                <w:rFonts w:eastAsia="Times New Roman" w:cs="Arial"/>
                <w:color w:val="000000"/>
              </w:rPr>
            </w:pPr>
            <w:r w:rsidRPr="00EF4E1C">
              <w:rPr>
                <w:rFonts w:eastAsia="Times New Roman" w:cs="Arial"/>
                <w:color w:val="000000"/>
              </w:rPr>
              <w:t>Borrowing</w:t>
            </w:r>
          </w:p>
        </w:tc>
        <w:tc>
          <w:tcPr>
            <w:tcW w:w="1847" w:type="dxa"/>
            <w:tcBorders>
              <w:top w:val="nil"/>
              <w:left w:val="nil"/>
              <w:bottom w:val="single" w:sz="4" w:space="0" w:color="auto"/>
              <w:right w:val="single" w:sz="4" w:space="0" w:color="auto"/>
            </w:tcBorders>
            <w:shd w:val="clear" w:color="auto" w:fill="auto"/>
            <w:vAlign w:val="center"/>
            <w:hideMark/>
          </w:tcPr>
          <w:p w14:paraId="512B1E6C" w14:textId="77777777" w:rsidR="00A621B5" w:rsidRPr="00EF4E1C" w:rsidRDefault="004A7A82">
            <w:pPr>
              <w:jc w:val="right"/>
              <w:rPr>
                <w:rFonts w:eastAsia="Times New Roman" w:cs="Arial"/>
              </w:rPr>
            </w:pPr>
            <w:r w:rsidRPr="00EF4E1C">
              <w:rPr>
                <w:rFonts w:eastAsia="Times New Roman" w:cs="Arial"/>
              </w:rPr>
              <w:t>61.393</w:t>
            </w:r>
          </w:p>
        </w:tc>
        <w:tc>
          <w:tcPr>
            <w:tcW w:w="1847" w:type="dxa"/>
            <w:tcBorders>
              <w:top w:val="nil"/>
              <w:left w:val="nil"/>
              <w:bottom w:val="single" w:sz="4" w:space="0" w:color="auto"/>
              <w:right w:val="single" w:sz="4" w:space="0" w:color="auto"/>
            </w:tcBorders>
            <w:shd w:val="clear" w:color="auto" w:fill="auto"/>
            <w:noWrap/>
            <w:vAlign w:val="center"/>
            <w:hideMark/>
          </w:tcPr>
          <w:p w14:paraId="7E3AF8A9" w14:textId="77777777" w:rsidR="00A621B5" w:rsidRPr="00EF4E1C" w:rsidRDefault="004A7A82">
            <w:pPr>
              <w:jc w:val="right"/>
              <w:rPr>
                <w:rFonts w:eastAsia="Times New Roman" w:cs="Arial"/>
                <w:color w:val="000000"/>
              </w:rPr>
            </w:pPr>
            <w:r w:rsidRPr="00EF4E1C">
              <w:rPr>
                <w:rFonts w:eastAsia="Times New Roman" w:cs="Arial"/>
                <w:color w:val="000000"/>
              </w:rPr>
              <w:t xml:space="preserve">70.187 </w:t>
            </w:r>
          </w:p>
        </w:tc>
        <w:tc>
          <w:tcPr>
            <w:tcW w:w="1848" w:type="dxa"/>
            <w:tcBorders>
              <w:top w:val="nil"/>
              <w:left w:val="nil"/>
              <w:bottom w:val="single" w:sz="4" w:space="0" w:color="auto"/>
              <w:right w:val="single" w:sz="4" w:space="0" w:color="auto"/>
            </w:tcBorders>
            <w:shd w:val="clear" w:color="auto" w:fill="auto"/>
            <w:noWrap/>
            <w:vAlign w:val="center"/>
            <w:hideMark/>
          </w:tcPr>
          <w:p w14:paraId="37626D05" w14:textId="77777777" w:rsidR="00A621B5" w:rsidRPr="00EF4E1C" w:rsidRDefault="004A7A82">
            <w:pPr>
              <w:jc w:val="right"/>
              <w:rPr>
                <w:rFonts w:eastAsia="Times New Roman" w:cs="Arial"/>
                <w:color w:val="000000"/>
              </w:rPr>
            </w:pPr>
            <w:r w:rsidRPr="00EF4E1C">
              <w:rPr>
                <w:rFonts w:eastAsia="Times New Roman" w:cs="Arial"/>
                <w:color w:val="000000"/>
              </w:rPr>
              <w:t>43.800</w:t>
            </w:r>
          </w:p>
        </w:tc>
        <w:tc>
          <w:tcPr>
            <w:tcW w:w="265" w:type="dxa"/>
            <w:vAlign w:val="center"/>
            <w:hideMark/>
          </w:tcPr>
          <w:p w14:paraId="55FD3BF2" w14:textId="77777777" w:rsidR="00A621B5" w:rsidRPr="00EF4E1C" w:rsidRDefault="00A621B5">
            <w:pPr>
              <w:jc w:val="both"/>
              <w:rPr>
                <w:rFonts w:eastAsia="Times New Roman" w:cs="Arial"/>
              </w:rPr>
            </w:pPr>
          </w:p>
        </w:tc>
      </w:tr>
      <w:tr w:rsidR="00C92CD8" w14:paraId="288FC72C" w14:textId="77777777" w:rsidTr="00A621B5">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57AA539" w14:textId="77777777" w:rsidR="00A621B5" w:rsidRPr="00EF4E1C" w:rsidRDefault="004A7A82">
            <w:pPr>
              <w:jc w:val="both"/>
              <w:rPr>
                <w:rFonts w:eastAsia="Times New Roman" w:cs="Arial"/>
                <w:color w:val="000000"/>
              </w:rPr>
            </w:pPr>
            <w:r w:rsidRPr="00EF4E1C">
              <w:rPr>
                <w:rFonts w:eastAsia="Times New Roman" w:cs="Arial"/>
                <w:color w:val="000000"/>
              </w:rPr>
              <w:t>Grant</w:t>
            </w:r>
          </w:p>
        </w:tc>
        <w:tc>
          <w:tcPr>
            <w:tcW w:w="1847" w:type="dxa"/>
            <w:tcBorders>
              <w:top w:val="nil"/>
              <w:left w:val="nil"/>
              <w:bottom w:val="single" w:sz="4" w:space="0" w:color="auto"/>
              <w:right w:val="single" w:sz="4" w:space="0" w:color="auto"/>
            </w:tcBorders>
            <w:shd w:val="clear" w:color="auto" w:fill="auto"/>
            <w:vAlign w:val="center"/>
            <w:hideMark/>
          </w:tcPr>
          <w:p w14:paraId="0D21521A" w14:textId="77777777" w:rsidR="00A621B5" w:rsidRPr="00EF4E1C" w:rsidRDefault="004A7A82">
            <w:pPr>
              <w:jc w:val="right"/>
              <w:rPr>
                <w:rFonts w:eastAsia="Times New Roman" w:cs="Arial"/>
              </w:rPr>
            </w:pPr>
            <w:r w:rsidRPr="00EF4E1C">
              <w:rPr>
                <w:rFonts w:eastAsia="Times New Roman" w:cs="Arial"/>
              </w:rPr>
              <w:t>118.563</w:t>
            </w:r>
          </w:p>
        </w:tc>
        <w:tc>
          <w:tcPr>
            <w:tcW w:w="1847" w:type="dxa"/>
            <w:tcBorders>
              <w:top w:val="nil"/>
              <w:left w:val="nil"/>
              <w:bottom w:val="single" w:sz="4" w:space="0" w:color="auto"/>
              <w:right w:val="single" w:sz="4" w:space="0" w:color="auto"/>
            </w:tcBorders>
            <w:shd w:val="clear" w:color="auto" w:fill="auto"/>
            <w:noWrap/>
            <w:vAlign w:val="center"/>
            <w:hideMark/>
          </w:tcPr>
          <w:p w14:paraId="5257737B" w14:textId="77777777" w:rsidR="00A621B5" w:rsidRPr="00EF4E1C" w:rsidRDefault="004A7A82">
            <w:pPr>
              <w:jc w:val="right"/>
              <w:rPr>
                <w:rFonts w:eastAsia="Times New Roman" w:cs="Arial"/>
                <w:color w:val="000000"/>
              </w:rPr>
            </w:pPr>
            <w:r w:rsidRPr="00EF4E1C">
              <w:rPr>
                <w:rFonts w:eastAsia="Times New Roman" w:cs="Arial"/>
                <w:color w:val="000000"/>
              </w:rPr>
              <w:t xml:space="preserve">136.161 </w:t>
            </w:r>
          </w:p>
        </w:tc>
        <w:tc>
          <w:tcPr>
            <w:tcW w:w="1848" w:type="dxa"/>
            <w:tcBorders>
              <w:top w:val="nil"/>
              <w:left w:val="nil"/>
              <w:bottom w:val="single" w:sz="4" w:space="0" w:color="auto"/>
              <w:right w:val="single" w:sz="4" w:space="0" w:color="auto"/>
            </w:tcBorders>
            <w:shd w:val="clear" w:color="auto" w:fill="auto"/>
            <w:noWrap/>
            <w:vAlign w:val="center"/>
            <w:hideMark/>
          </w:tcPr>
          <w:p w14:paraId="7FF60CD2" w14:textId="77777777" w:rsidR="00A621B5" w:rsidRPr="00EF4E1C" w:rsidRDefault="004A7A82">
            <w:pPr>
              <w:jc w:val="right"/>
              <w:rPr>
                <w:rFonts w:eastAsia="Times New Roman" w:cs="Arial"/>
                <w:color w:val="000000"/>
              </w:rPr>
            </w:pPr>
            <w:r w:rsidRPr="00EF4E1C">
              <w:rPr>
                <w:rFonts w:eastAsia="Times New Roman" w:cs="Arial"/>
                <w:color w:val="000000"/>
              </w:rPr>
              <w:t>81.200</w:t>
            </w:r>
          </w:p>
        </w:tc>
        <w:tc>
          <w:tcPr>
            <w:tcW w:w="265" w:type="dxa"/>
            <w:vAlign w:val="center"/>
            <w:hideMark/>
          </w:tcPr>
          <w:p w14:paraId="1D56DE02" w14:textId="77777777" w:rsidR="00A621B5" w:rsidRPr="00EF4E1C" w:rsidRDefault="00A621B5">
            <w:pPr>
              <w:jc w:val="both"/>
              <w:rPr>
                <w:rFonts w:eastAsia="Times New Roman" w:cs="Arial"/>
              </w:rPr>
            </w:pPr>
          </w:p>
        </w:tc>
      </w:tr>
      <w:tr w:rsidR="00C92CD8" w14:paraId="2D95A728" w14:textId="77777777" w:rsidTr="00A621B5">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ED8B1A9" w14:textId="77777777" w:rsidR="00A621B5" w:rsidRPr="00EF4E1C" w:rsidRDefault="004A7A82">
            <w:pPr>
              <w:jc w:val="both"/>
              <w:rPr>
                <w:rFonts w:eastAsia="Times New Roman" w:cs="Arial"/>
                <w:color w:val="000000"/>
              </w:rPr>
            </w:pPr>
            <w:r w:rsidRPr="00EF4E1C">
              <w:rPr>
                <w:rFonts w:eastAsia="Times New Roman" w:cs="Arial"/>
                <w:color w:val="000000"/>
              </w:rPr>
              <w:t>Contributions</w:t>
            </w:r>
          </w:p>
        </w:tc>
        <w:tc>
          <w:tcPr>
            <w:tcW w:w="1847" w:type="dxa"/>
            <w:tcBorders>
              <w:top w:val="nil"/>
              <w:left w:val="nil"/>
              <w:bottom w:val="single" w:sz="4" w:space="0" w:color="auto"/>
              <w:right w:val="single" w:sz="4" w:space="0" w:color="auto"/>
            </w:tcBorders>
            <w:shd w:val="clear" w:color="auto" w:fill="auto"/>
            <w:vAlign w:val="center"/>
            <w:hideMark/>
          </w:tcPr>
          <w:p w14:paraId="4A246F98" w14:textId="77777777" w:rsidR="00A621B5" w:rsidRPr="00EF4E1C" w:rsidRDefault="004A7A82">
            <w:pPr>
              <w:jc w:val="right"/>
              <w:rPr>
                <w:rFonts w:eastAsia="Times New Roman" w:cs="Arial"/>
              </w:rPr>
            </w:pPr>
            <w:r w:rsidRPr="00EF4E1C">
              <w:rPr>
                <w:rFonts w:eastAsia="Times New Roman" w:cs="Arial"/>
              </w:rPr>
              <w:t>18.568</w:t>
            </w:r>
          </w:p>
        </w:tc>
        <w:tc>
          <w:tcPr>
            <w:tcW w:w="1847" w:type="dxa"/>
            <w:tcBorders>
              <w:top w:val="nil"/>
              <w:left w:val="nil"/>
              <w:bottom w:val="single" w:sz="4" w:space="0" w:color="auto"/>
              <w:right w:val="single" w:sz="4" w:space="0" w:color="auto"/>
            </w:tcBorders>
            <w:shd w:val="clear" w:color="auto" w:fill="auto"/>
            <w:noWrap/>
            <w:vAlign w:val="center"/>
            <w:hideMark/>
          </w:tcPr>
          <w:p w14:paraId="72D9F3D5" w14:textId="77777777" w:rsidR="00A621B5" w:rsidRPr="00EF4E1C" w:rsidRDefault="004A7A82">
            <w:pPr>
              <w:jc w:val="right"/>
              <w:rPr>
                <w:rFonts w:eastAsia="Times New Roman" w:cs="Arial"/>
                <w:color w:val="000000"/>
              </w:rPr>
            </w:pPr>
            <w:r w:rsidRPr="00EF4E1C">
              <w:rPr>
                <w:rFonts w:eastAsia="Times New Roman" w:cs="Arial"/>
                <w:color w:val="000000"/>
              </w:rPr>
              <w:t xml:space="preserve">0.500 </w:t>
            </w:r>
          </w:p>
        </w:tc>
        <w:tc>
          <w:tcPr>
            <w:tcW w:w="1848" w:type="dxa"/>
            <w:tcBorders>
              <w:top w:val="nil"/>
              <w:left w:val="nil"/>
              <w:bottom w:val="single" w:sz="4" w:space="0" w:color="auto"/>
              <w:right w:val="single" w:sz="4" w:space="0" w:color="auto"/>
            </w:tcBorders>
            <w:shd w:val="clear" w:color="auto" w:fill="auto"/>
            <w:noWrap/>
            <w:vAlign w:val="center"/>
            <w:hideMark/>
          </w:tcPr>
          <w:p w14:paraId="2E6C1583" w14:textId="77777777" w:rsidR="00A621B5" w:rsidRPr="00EF4E1C" w:rsidRDefault="004A7A82">
            <w:pPr>
              <w:jc w:val="right"/>
              <w:rPr>
                <w:rFonts w:eastAsia="Times New Roman" w:cs="Arial"/>
                <w:color w:val="000000"/>
              </w:rPr>
            </w:pPr>
            <w:r w:rsidRPr="00EF4E1C">
              <w:rPr>
                <w:rFonts w:eastAsia="Times New Roman" w:cs="Arial"/>
                <w:color w:val="000000"/>
              </w:rPr>
              <w:t>0.500</w:t>
            </w:r>
          </w:p>
        </w:tc>
        <w:tc>
          <w:tcPr>
            <w:tcW w:w="265" w:type="dxa"/>
            <w:vAlign w:val="center"/>
            <w:hideMark/>
          </w:tcPr>
          <w:p w14:paraId="0382020F" w14:textId="77777777" w:rsidR="00A621B5" w:rsidRPr="00EF4E1C" w:rsidRDefault="00A621B5">
            <w:pPr>
              <w:jc w:val="both"/>
              <w:rPr>
                <w:rFonts w:eastAsia="Times New Roman" w:cs="Arial"/>
              </w:rPr>
            </w:pPr>
          </w:p>
        </w:tc>
      </w:tr>
      <w:tr w:rsidR="00C92CD8" w14:paraId="69D4AF7F" w14:textId="77777777" w:rsidTr="00A621B5">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13A7BBA" w14:textId="77777777" w:rsidR="00A621B5" w:rsidRPr="00EF4E1C" w:rsidRDefault="004A7A82">
            <w:pPr>
              <w:jc w:val="both"/>
              <w:rPr>
                <w:rFonts w:eastAsia="Times New Roman" w:cs="Arial"/>
                <w:b/>
                <w:bCs/>
                <w:color w:val="000000"/>
              </w:rPr>
            </w:pPr>
            <w:r w:rsidRPr="00EF4E1C">
              <w:rPr>
                <w:rFonts w:eastAsia="Times New Roman" w:cs="Arial"/>
                <w:b/>
                <w:bCs/>
                <w:color w:val="000000"/>
              </w:rPr>
              <w:t>Totals</w:t>
            </w:r>
          </w:p>
        </w:tc>
        <w:tc>
          <w:tcPr>
            <w:tcW w:w="1847" w:type="dxa"/>
            <w:tcBorders>
              <w:top w:val="nil"/>
              <w:left w:val="nil"/>
              <w:bottom w:val="single" w:sz="4" w:space="0" w:color="auto"/>
              <w:right w:val="single" w:sz="4" w:space="0" w:color="auto"/>
            </w:tcBorders>
            <w:shd w:val="clear" w:color="auto" w:fill="auto"/>
            <w:noWrap/>
            <w:vAlign w:val="center"/>
            <w:hideMark/>
          </w:tcPr>
          <w:p w14:paraId="1BA97261" w14:textId="77777777" w:rsidR="00A621B5" w:rsidRPr="00EF4E1C" w:rsidRDefault="004A7A82">
            <w:pPr>
              <w:jc w:val="right"/>
              <w:rPr>
                <w:rFonts w:eastAsia="Times New Roman" w:cs="Arial"/>
                <w:b/>
                <w:bCs/>
                <w:color w:val="000000"/>
              </w:rPr>
            </w:pPr>
            <w:r w:rsidRPr="00EF4E1C">
              <w:rPr>
                <w:rFonts w:eastAsia="Times New Roman" w:cs="Arial"/>
                <w:b/>
                <w:bCs/>
                <w:color w:val="000000"/>
              </w:rPr>
              <w:t xml:space="preserve">198.524 </w:t>
            </w:r>
          </w:p>
        </w:tc>
        <w:tc>
          <w:tcPr>
            <w:tcW w:w="1847" w:type="dxa"/>
            <w:tcBorders>
              <w:top w:val="nil"/>
              <w:left w:val="nil"/>
              <w:bottom w:val="single" w:sz="4" w:space="0" w:color="auto"/>
              <w:right w:val="single" w:sz="4" w:space="0" w:color="auto"/>
            </w:tcBorders>
            <w:shd w:val="clear" w:color="auto" w:fill="auto"/>
            <w:noWrap/>
            <w:vAlign w:val="center"/>
            <w:hideMark/>
          </w:tcPr>
          <w:p w14:paraId="4E95A49E" w14:textId="77777777" w:rsidR="00A621B5" w:rsidRPr="00EF4E1C" w:rsidRDefault="004A7A82">
            <w:pPr>
              <w:jc w:val="right"/>
              <w:rPr>
                <w:rFonts w:eastAsia="Times New Roman" w:cs="Arial"/>
                <w:b/>
                <w:bCs/>
                <w:color w:val="000000"/>
              </w:rPr>
            </w:pPr>
            <w:r w:rsidRPr="00EF4E1C">
              <w:rPr>
                <w:rFonts w:eastAsia="Times New Roman" w:cs="Arial"/>
                <w:b/>
                <w:bCs/>
                <w:color w:val="000000"/>
              </w:rPr>
              <w:t xml:space="preserve">206.848 </w:t>
            </w:r>
          </w:p>
        </w:tc>
        <w:tc>
          <w:tcPr>
            <w:tcW w:w="1848" w:type="dxa"/>
            <w:tcBorders>
              <w:top w:val="nil"/>
              <w:left w:val="nil"/>
              <w:bottom w:val="single" w:sz="4" w:space="0" w:color="auto"/>
              <w:right w:val="single" w:sz="4" w:space="0" w:color="auto"/>
            </w:tcBorders>
            <w:shd w:val="clear" w:color="auto" w:fill="auto"/>
            <w:noWrap/>
            <w:vAlign w:val="center"/>
            <w:hideMark/>
          </w:tcPr>
          <w:p w14:paraId="5DD90FC6" w14:textId="77777777" w:rsidR="00A621B5" w:rsidRPr="00EF4E1C" w:rsidRDefault="004A7A82">
            <w:pPr>
              <w:jc w:val="right"/>
              <w:rPr>
                <w:rFonts w:eastAsia="Times New Roman" w:cs="Arial"/>
                <w:b/>
                <w:bCs/>
                <w:color w:val="000000"/>
              </w:rPr>
            </w:pPr>
            <w:r w:rsidRPr="00EF4E1C">
              <w:rPr>
                <w:rFonts w:eastAsia="Times New Roman" w:cs="Arial"/>
                <w:b/>
                <w:bCs/>
                <w:color w:val="000000"/>
              </w:rPr>
              <w:t xml:space="preserve">125.500 </w:t>
            </w:r>
          </w:p>
        </w:tc>
        <w:tc>
          <w:tcPr>
            <w:tcW w:w="265" w:type="dxa"/>
            <w:vAlign w:val="center"/>
            <w:hideMark/>
          </w:tcPr>
          <w:p w14:paraId="6B3EF89E" w14:textId="77777777" w:rsidR="00A621B5" w:rsidRPr="00EF4E1C" w:rsidRDefault="00A621B5">
            <w:pPr>
              <w:jc w:val="both"/>
              <w:rPr>
                <w:rFonts w:eastAsia="Times New Roman" w:cs="Arial"/>
              </w:rPr>
            </w:pPr>
          </w:p>
        </w:tc>
      </w:tr>
    </w:tbl>
    <w:p w14:paraId="37BFDB69" w14:textId="69F6DFC2" w:rsidR="007F3D10" w:rsidRPr="00EF4E1C" w:rsidRDefault="007F3D10" w:rsidP="007F3D10">
      <w:pPr>
        <w:jc w:val="both"/>
        <w:rPr>
          <w:rFonts w:cs="Arial"/>
        </w:rPr>
      </w:pPr>
    </w:p>
    <w:tbl>
      <w:tblPr>
        <w:tblW w:w="7917" w:type="dxa"/>
        <w:tblInd w:w="5" w:type="dxa"/>
        <w:tblLook w:val="04A0" w:firstRow="1" w:lastRow="0" w:firstColumn="1" w:lastColumn="0" w:noHBand="0" w:noVBand="1"/>
      </w:tblPr>
      <w:tblGrid>
        <w:gridCol w:w="9065"/>
      </w:tblGrid>
      <w:tr w:rsidR="00C92CD8" w14:paraId="6F39E987" w14:textId="77777777">
        <w:trPr>
          <w:trHeight w:val="320"/>
        </w:trPr>
        <w:tc>
          <w:tcPr>
            <w:tcW w:w="7917" w:type="dxa"/>
            <w:tcBorders>
              <w:top w:val="nil"/>
              <w:left w:val="nil"/>
              <w:bottom w:val="nil"/>
              <w:right w:val="nil"/>
            </w:tcBorders>
            <w:shd w:val="clear" w:color="auto" w:fill="auto"/>
            <w:noWrap/>
            <w:vAlign w:val="bottom"/>
            <w:hideMark/>
          </w:tcPr>
          <w:p w14:paraId="387B5A09" w14:textId="77777777" w:rsidR="007F3D10" w:rsidRPr="00EF4E1C" w:rsidRDefault="007F3D10">
            <w:pPr>
              <w:jc w:val="both"/>
              <w:rPr>
                <w:rFonts w:eastAsia="Times New Roman" w:cs="Arial"/>
                <w:b/>
                <w:bCs/>
                <w:color w:val="000000"/>
              </w:rPr>
            </w:pPr>
          </w:p>
        </w:tc>
      </w:tr>
      <w:tr w:rsidR="00C92CD8" w14:paraId="5CE9D0EF" w14:textId="77777777">
        <w:trPr>
          <w:trHeight w:val="320"/>
        </w:trPr>
        <w:tc>
          <w:tcPr>
            <w:tcW w:w="7917" w:type="dxa"/>
            <w:tcBorders>
              <w:top w:val="nil"/>
              <w:left w:val="nil"/>
              <w:bottom w:val="nil"/>
              <w:right w:val="nil"/>
            </w:tcBorders>
            <w:shd w:val="clear" w:color="auto" w:fill="auto"/>
            <w:noWrap/>
            <w:vAlign w:val="bottom"/>
          </w:tcPr>
          <w:p w14:paraId="5710781C" w14:textId="56D65D93" w:rsidR="00EA3D1E" w:rsidRDefault="00EA3D1E">
            <w:pPr>
              <w:jc w:val="both"/>
              <w:rPr>
                <w:rFonts w:eastAsia="Times New Roman" w:cs="Arial"/>
                <w:b/>
                <w:bCs/>
                <w:color w:val="000000"/>
              </w:rPr>
            </w:pPr>
          </w:p>
          <w:p w14:paraId="7ACEDF48" w14:textId="77777777" w:rsidR="00EA3D1E" w:rsidRDefault="00EA3D1E">
            <w:pPr>
              <w:jc w:val="both"/>
              <w:rPr>
                <w:rFonts w:eastAsia="Times New Roman" w:cs="Arial"/>
                <w:b/>
                <w:bCs/>
                <w:color w:val="000000"/>
              </w:rPr>
            </w:pPr>
          </w:p>
          <w:p w14:paraId="049CBF39" w14:textId="77777777" w:rsidR="00EA3D1E" w:rsidRDefault="00EA3D1E">
            <w:pPr>
              <w:jc w:val="both"/>
              <w:rPr>
                <w:rFonts w:eastAsia="Times New Roman" w:cs="Arial"/>
                <w:b/>
                <w:bCs/>
                <w:color w:val="000000"/>
              </w:rPr>
            </w:pPr>
          </w:p>
          <w:p w14:paraId="1E860842" w14:textId="77777777" w:rsidR="00EA3D1E" w:rsidRDefault="00EA3D1E">
            <w:pPr>
              <w:jc w:val="both"/>
              <w:rPr>
                <w:rFonts w:eastAsia="Times New Roman" w:cs="Arial"/>
                <w:b/>
                <w:bCs/>
                <w:color w:val="000000"/>
              </w:rPr>
            </w:pPr>
          </w:p>
          <w:p w14:paraId="07C4E481" w14:textId="77777777" w:rsidR="00942BB7" w:rsidRDefault="00942BB7">
            <w:pPr>
              <w:jc w:val="both"/>
              <w:rPr>
                <w:rFonts w:eastAsia="Times New Roman" w:cs="Arial"/>
                <w:b/>
                <w:bCs/>
                <w:color w:val="000000"/>
              </w:rPr>
            </w:pPr>
          </w:p>
          <w:p w14:paraId="32F7D340" w14:textId="77777777" w:rsidR="00EA3D1E" w:rsidRDefault="00EA3D1E">
            <w:pPr>
              <w:jc w:val="both"/>
              <w:rPr>
                <w:rFonts w:eastAsia="Times New Roman" w:cs="Arial"/>
                <w:b/>
                <w:bCs/>
                <w:color w:val="000000"/>
              </w:rPr>
            </w:pPr>
          </w:p>
          <w:p w14:paraId="2C2B80A1" w14:textId="77777777" w:rsidR="00EA3D1E" w:rsidRDefault="00EA3D1E">
            <w:pPr>
              <w:jc w:val="both"/>
              <w:rPr>
                <w:rFonts w:eastAsia="Times New Roman" w:cs="Arial"/>
                <w:b/>
                <w:bCs/>
                <w:color w:val="000000"/>
              </w:rPr>
            </w:pPr>
          </w:p>
          <w:p w14:paraId="47FCCB7E" w14:textId="77777777" w:rsidR="00EA3D1E" w:rsidRDefault="004A7A82" w:rsidP="00EA3D1E">
            <w:pPr>
              <w:jc w:val="both"/>
              <w:rPr>
                <w:rFonts w:eastAsia="Times New Roman" w:cs="Arial"/>
                <w:b/>
                <w:bCs/>
                <w:color w:val="000000"/>
              </w:rPr>
            </w:pPr>
            <w:r>
              <w:rPr>
                <w:rFonts w:eastAsia="Times New Roman" w:cs="Arial"/>
                <w:b/>
                <w:bCs/>
                <w:color w:val="000000"/>
              </w:rPr>
              <w:lastRenderedPageBreak/>
              <w:t>TABLE 3 – Additional Borrowing Requirement</w:t>
            </w:r>
          </w:p>
          <w:p w14:paraId="48178C98" w14:textId="77777777" w:rsidR="00EA3D1E" w:rsidRPr="00EF4E1C" w:rsidRDefault="00EA3D1E" w:rsidP="00EA3D1E">
            <w:pPr>
              <w:jc w:val="both"/>
              <w:rPr>
                <w:rFonts w:eastAsia="Times New Roman" w:cs="Arial"/>
                <w:b/>
                <w:bCs/>
                <w:color w:val="000000"/>
              </w:rPr>
            </w:pPr>
          </w:p>
          <w:tbl>
            <w:tblPr>
              <w:tblW w:w="8829" w:type="dxa"/>
              <w:tblCellMar>
                <w:left w:w="0" w:type="dxa"/>
                <w:right w:w="0" w:type="dxa"/>
              </w:tblCellMar>
              <w:tblLook w:val="04A0" w:firstRow="1" w:lastRow="0" w:firstColumn="1" w:lastColumn="0" w:noHBand="0" w:noVBand="1"/>
            </w:tblPr>
            <w:tblGrid>
              <w:gridCol w:w="3421"/>
              <w:gridCol w:w="1843"/>
              <w:gridCol w:w="1843"/>
              <w:gridCol w:w="1722"/>
            </w:tblGrid>
            <w:tr w:rsidR="00C92CD8" w14:paraId="6CB87DE5" w14:textId="77777777" w:rsidTr="00740EED">
              <w:trPr>
                <w:trHeight w:val="390"/>
              </w:trPr>
              <w:tc>
                <w:tcPr>
                  <w:tcW w:w="3421" w:type="dxa"/>
                  <w:vMerge w:val="restart"/>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4A798BAB" w14:textId="77777777" w:rsidR="00EA3D1E" w:rsidRPr="00B55046" w:rsidRDefault="004A7A82" w:rsidP="00EA3D1E">
                  <w:pPr>
                    <w:jc w:val="center"/>
                    <w:rPr>
                      <w:rFonts w:cs="Arial"/>
                      <w:b/>
                      <w:bCs/>
                      <w:color w:val="000000"/>
                    </w:rPr>
                  </w:pPr>
                  <w:r w:rsidRPr="00B55046">
                    <w:rPr>
                      <w:rFonts w:cs="Arial"/>
                      <w:b/>
                      <w:bCs/>
                      <w:color w:val="000000"/>
                    </w:rPr>
                    <w:t>Service Area</w:t>
                  </w:r>
                </w:p>
              </w:tc>
              <w:tc>
                <w:tcPr>
                  <w:tcW w:w="1843"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3F000E7" w14:textId="77777777" w:rsidR="00EA3D1E" w:rsidRPr="00B55046" w:rsidRDefault="004A7A82" w:rsidP="00EA3D1E">
                  <w:pPr>
                    <w:jc w:val="center"/>
                    <w:rPr>
                      <w:rFonts w:cs="Arial"/>
                      <w:b/>
                      <w:bCs/>
                      <w:color w:val="000000"/>
                    </w:rPr>
                  </w:pPr>
                  <w:r w:rsidRPr="00B55046">
                    <w:rPr>
                      <w:rFonts w:cs="Arial"/>
                      <w:b/>
                      <w:bCs/>
                      <w:color w:val="000000"/>
                    </w:rPr>
                    <w:t xml:space="preserve">24/25 delivery plan borrowing </w:t>
                  </w:r>
                </w:p>
              </w:tc>
              <w:tc>
                <w:tcPr>
                  <w:tcW w:w="1843"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95F7955" w14:textId="77777777" w:rsidR="00EA3D1E" w:rsidRPr="00B55046" w:rsidRDefault="004A7A82" w:rsidP="00EA3D1E">
                  <w:pPr>
                    <w:jc w:val="center"/>
                    <w:rPr>
                      <w:rFonts w:cs="Arial"/>
                      <w:b/>
                      <w:bCs/>
                      <w:color w:val="000000"/>
                    </w:rPr>
                  </w:pPr>
                  <w:r w:rsidRPr="00B55046">
                    <w:rPr>
                      <w:rFonts w:cs="Arial"/>
                      <w:b/>
                      <w:bCs/>
                      <w:color w:val="000000"/>
                    </w:rPr>
                    <w:t xml:space="preserve">25/26 delivery plan borrowing </w:t>
                  </w:r>
                </w:p>
              </w:tc>
              <w:tc>
                <w:tcPr>
                  <w:tcW w:w="1722"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EBE7C6E" w14:textId="77777777" w:rsidR="00EA3D1E" w:rsidRPr="00B55046" w:rsidRDefault="004A7A82" w:rsidP="00EA3D1E">
                  <w:pPr>
                    <w:jc w:val="center"/>
                    <w:rPr>
                      <w:rFonts w:cs="Arial"/>
                      <w:b/>
                      <w:bCs/>
                      <w:color w:val="000000"/>
                    </w:rPr>
                  </w:pPr>
                  <w:r w:rsidRPr="00B55046">
                    <w:rPr>
                      <w:rFonts w:cs="Arial"/>
                      <w:b/>
                      <w:bCs/>
                      <w:color w:val="000000"/>
                    </w:rPr>
                    <w:t xml:space="preserve">26/27 delivery plan borrowing </w:t>
                  </w:r>
                </w:p>
              </w:tc>
            </w:tr>
            <w:tr w:rsidR="00C92CD8" w14:paraId="7ED776AF" w14:textId="77777777" w:rsidTr="00740EED">
              <w:trPr>
                <w:trHeight w:val="383"/>
              </w:trPr>
              <w:tc>
                <w:tcPr>
                  <w:tcW w:w="3421" w:type="dxa"/>
                  <w:vMerge/>
                  <w:tcBorders>
                    <w:top w:val="single" w:sz="8" w:space="0" w:color="auto"/>
                    <w:left w:val="single" w:sz="8" w:space="0" w:color="auto"/>
                    <w:bottom w:val="single" w:sz="8" w:space="0" w:color="auto"/>
                    <w:right w:val="single" w:sz="8" w:space="0" w:color="auto"/>
                  </w:tcBorders>
                  <w:vAlign w:val="center"/>
                  <w:hideMark/>
                </w:tcPr>
                <w:p w14:paraId="7CC2B6CB" w14:textId="77777777" w:rsidR="00EA3D1E" w:rsidRPr="00B55046" w:rsidRDefault="00EA3D1E" w:rsidP="00EA3D1E">
                  <w:pPr>
                    <w:rPr>
                      <w:rFonts w:cs="Arial"/>
                      <w:b/>
                      <w:bCs/>
                      <w:color w:val="000000"/>
                    </w:rPr>
                  </w:pPr>
                </w:p>
              </w:tc>
              <w:tc>
                <w:tcPr>
                  <w:tcW w:w="1843" w:type="dxa"/>
                  <w:vMerge/>
                  <w:tcBorders>
                    <w:top w:val="single" w:sz="8" w:space="0" w:color="auto"/>
                    <w:left w:val="nil"/>
                    <w:bottom w:val="single" w:sz="8" w:space="0" w:color="auto"/>
                    <w:right w:val="single" w:sz="8" w:space="0" w:color="auto"/>
                  </w:tcBorders>
                  <w:vAlign w:val="center"/>
                  <w:hideMark/>
                </w:tcPr>
                <w:p w14:paraId="54EB8CA5" w14:textId="77777777" w:rsidR="00EA3D1E" w:rsidRPr="00B55046" w:rsidRDefault="00EA3D1E" w:rsidP="00EA3D1E">
                  <w:pPr>
                    <w:rPr>
                      <w:rFonts w:cs="Arial"/>
                      <w:b/>
                      <w:bCs/>
                      <w:color w:val="000000"/>
                    </w:rPr>
                  </w:pPr>
                </w:p>
              </w:tc>
              <w:tc>
                <w:tcPr>
                  <w:tcW w:w="1843" w:type="dxa"/>
                  <w:vMerge/>
                  <w:tcBorders>
                    <w:top w:val="single" w:sz="8" w:space="0" w:color="auto"/>
                    <w:left w:val="nil"/>
                    <w:bottom w:val="single" w:sz="8" w:space="0" w:color="auto"/>
                    <w:right w:val="single" w:sz="8" w:space="0" w:color="auto"/>
                  </w:tcBorders>
                  <w:vAlign w:val="center"/>
                  <w:hideMark/>
                </w:tcPr>
                <w:p w14:paraId="6B7F7C5E" w14:textId="77777777" w:rsidR="00EA3D1E" w:rsidRPr="00B55046" w:rsidRDefault="00EA3D1E" w:rsidP="00EA3D1E">
                  <w:pPr>
                    <w:rPr>
                      <w:rFonts w:cs="Arial"/>
                      <w:b/>
                      <w:bCs/>
                      <w:color w:val="000000"/>
                    </w:rPr>
                  </w:pPr>
                </w:p>
              </w:tc>
              <w:tc>
                <w:tcPr>
                  <w:tcW w:w="1722" w:type="dxa"/>
                  <w:vMerge/>
                  <w:tcBorders>
                    <w:top w:val="single" w:sz="8" w:space="0" w:color="auto"/>
                    <w:left w:val="nil"/>
                    <w:bottom w:val="single" w:sz="8" w:space="0" w:color="auto"/>
                    <w:right w:val="single" w:sz="8" w:space="0" w:color="auto"/>
                  </w:tcBorders>
                  <w:vAlign w:val="center"/>
                  <w:hideMark/>
                </w:tcPr>
                <w:p w14:paraId="14D3079B" w14:textId="77777777" w:rsidR="00EA3D1E" w:rsidRPr="00B55046" w:rsidRDefault="00EA3D1E" w:rsidP="00EA3D1E">
                  <w:pPr>
                    <w:rPr>
                      <w:rFonts w:cs="Arial"/>
                      <w:b/>
                      <w:bCs/>
                      <w:color w:val="000000"/>
                    </w:rPr>
                  </w:pPr>
                </w:p>
              </w:tc>
            </w:tr>
            <w:tr w:rsidR="00C92CD8" w14:paraId="449771DA" w14:textId="77777777" w:rsidTr="00740EED">
              <w:trPr>
                <w:trHeight w:val="600"/>
              </w:trPr>
              <w:tc>
                <w:tcPr>
                  <w:tcW w:w="3421" w:type="dxa"/>
                  <w:vMerge/>
                  <w:tcBorders>
                    <w:top w:val="single" w:sz="8" w:space="0" w:color="auto"/>
                    <w:left w:val="single" w:sz="8" w:space="0" w:color="auto"/>
                    <w:bottom w:val="single" w:sz="8" w:space="0" w:color="auto"/>
                    <w:right w:val="single" w:sz="8" w:space="0" w:color="auto"/>
                  </w:tcBorders>
                  <w:vAlign w:val="center"/>
                  <w:hideMark/>
                </w:tcPr>
                <w:p w14:paraId="2AF10C50" w14:textId="77777777" w:rsidR="00EA3D1E" w:rsidRPr="00B55046" w:rsidRDefault="00EA3D1E" w:rsidP="00EA3D1E">
                  <w:pPr>
                    <w:rPr>
                      <w:rFonts w:cs="Arial"/>
                      <w:b/>
                      <w:bCs/>
                      <w:color w:val="000000"/>
                    </w:rPr>
                  </w:pPr>
                </w:p>
              </w:tc>
              <w:tc>
                <w:tcPr>
                  <w:tcW w:w="1843" w:type="dxa"/>
                  <w:vMerge/>
                  <w:tcBorders>
                    <w:top w:val="single" w:sz="8" w:space="0" w:color="auto"/>
                    <w:left w:val="nil"/>
                    <w:bottom w:val="single" w:sz="8" w:space="0" w:color="auto"/>
                    <w:right w:val="single" w:sz="8" w:space="0" w:color="auto"/>
                  </w:tcBorders>
                  <w:vAlign w:val="center"/>
                  <w:hideMark/>
                </w:tcPr>
                <w:p w14:paraId="7C7232E6" w14:textId="77777777" w:rsidR="00EA3D1E" w:rsidRPr="00B55046" w:rsidRDefault="00EA3D1E" w:rsidP="00EA3D1E">
                  <w:pPr>
                    <w:rPr>
                      <w:rFonts w:cs="Arial"/>
                      <w:b/>
                      <w:bCs/>
                      <w:color w:val="000000"/>
                    </w:rPr>
                  </w:pPr>
                </w:p>
              </w:tc>
              <w:tc>
                <w:tcPr>
                  <w:tcW w:w="1843" w:type="dxa"/>
                  <w:vMerge/>
                  <w:tcBorders>
                    <w:top w:val="single" w:sz="8" w:space="0" w:color="auto"/>
                    <w:left w:val="nil"/>
                    <w:bottom w:val="single" w:sz="8" w:space="0" w:color="auto"/>
                    <w:right w:val="single" w:sz="8" w:space="0" w:color="auto"/>
                  </w:tcBorders>
                  <w:vAlign w:val="center"/>
                  <w:hideMark/>
                </w:tcPr>
                <w:p w14:paraId="44179997" w14:textId="77777777" w:rsidR="00EA3D1E" w:rsidRPr="00B55046" w:rsidRDefault="00EA3D1E" w:rsidP="00EA3D1E">
                  <w:pPr>
                    <w:rPr>
                      <w:rFonts w:cs="Arial"/>
                      <w:b/>
                      <w:bCs/>
                      <w:color w:val="000000"/>
                    </w:rPr>
                  </w:pPr>
                </w:p>
              </w:tc>
              <w:tc>
                <w:tcPr>
                  <w:tcW w:w="1722" w:type="dxa"/>
                  <w:vMerge/>
                  <w:tcBorders>
                    <w:top w:val="single" w:sz="8" w:space="0" w:color="auto"/>
                    <w:left w:val="nil"/>
                    <w:bottom w:val="single" w:sz="8" w:space="0" w:color="auto"/>
                    <w:right w:val="single" w:sz="8" w:space="0" w:color="auto"/>
                  </w:tcBorders>
                  <w:vAlign w:val="center"/>
                  <w:hideMark/>
                </w:tcPr>
                <w:p w14:paraId="586C0F65" w14:textId="77777777" w:rsidR="00EA3D1E" w:rsidRPr="00B55046" w:rsidRDefault="00EA3D1E" w:rsidP="00EA3D1E">
                  <w:pPr>
                    <w:rPr>
                      <w:rFonts w:cs="Arial"/>
                      <w:b/>
                      <w:bCs/>
                      <w:color w:val="000000"/>
                    </w:rPr>
                  </w:pPr>
                </w:p>
              </w:tc>
            </w:tr>
            <w:tr w:rsidR="00C92CD8" w14:paraId="2E409E20" w14:textId="77777777" w:rsidTr="00740EED">
              <w:trPr>
                <w:trHeight w:val="254"/>
              </w:trPr>
              <w:tc>
                <w:tcPr>
                  <w:tcW w:w="3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753BE6" w14:textId="77777777" w:rsidR="00EA3D1E" w:rsidRPr="00B55046" w:rsidRDefault="004A7A82" w:rsidP="00EA3D1E">
                  <w:pPr>
                    <w:rPr>
                      <w:rFonts w:cs="Arial"/>
                      <w:color w:val="000000"/>
                    </w:rPr>
                  </w:pPr>
                  <w:r w:rsidRPr="00B55046">
                    <w:rPr>
                      <w:rFonts w:cs="Arial"/>
                      <w:color w:val="000000"/>
                    </w:rPr>
                    <w:t>Highways</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878E58" w14:textId="77777777" w:rsidR="00EA3D1E" w:rsidRPr="00B55046" w:rsidRDefault="004A7A82" w:rsidP="00EA3D1E">
                  <w:pPr>
                    <w:jc w:val="right"/>
                    <w:rPr>
                      <w:rFonts w:cs="Arial"/>
                      <w:color w:val="000000"/>
                    </w:rPr>
                  </w:pPr>
                  <w:r w:rsidRPr="00B55046">
                    <w:rPr>
                      <w:rFonts w:cs="Arial"/>
                      <w:color w:val="000000"/>
                    </w:rPr>
                    <w:t>13.090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6C8AC0" w14:textId="721B7E5F" w:rsidR="00EA3D1E" w:rsidRPr="00B55046" w:rsidRDefault="004A7A82" w:rsidP="00EA3D1E">
                  <w:pPr>
                    <w:jc w:val="right"/>
                    <w:rPr>
                      <w:rFonts w:cs="Arial"/>
                      <w:color w:val="000000"/>
                    </w:rPr>
                  </w:pPr>
                  <w:r w:rsidRPr="00B55046">
                    <w:rPr>
                      <w:rFonts w:cs="Arial"/>
                      <w:color w:val="000000"/>
                    </w:rPr>
                    <w:t>1</w:t>
                  </w:r>
                  <w:r w:rsidR="00232CE2">
                    <w:rPr>
                      <w:rFonts w:cs="Arial"/>
                      <w:color w:val="000000"/>
                    </w:rPr>
                    <w:t>3</w:t>
                  </w:r>
                  <w:r w:rsidRPr="00B55046">
                    <w:rPr>
                      <w:rFonts w:cs="Arial"/>
                      <w:color w:val="000000"/>
                    </w:rPr>
                    <w:t>.655</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13DE36" w14:textId="22B18339" w:rsidR="00EA3D1E" w:rsidRPr="00B55046" w:rsidRDefault="004A7A82" w:rsidP="00EA3D1E">
                  <w:pPr>
                    <w:jc w:val="right"/>
                    <w:rPr>
                      <w:rFonts w:cs="Arial"/>
                      <w:color w:val="000000"/>
                    </w:rPr>
                  </w:pPr>
                  <w:r w:rsidRPr="00B55046">
                    <w:rPr>
                      <w:rFonts w:cs="Arial"/>
                      <w:color w:val="000000"/>
                    </w:rPr>
                    <w:t>1</w:t>
                  </w:r>
                  <w:r w:rsidR="00232CE2">
                    <w:rPr>
                      <w:rFonts w:cs="Arial"/>
                      <w:color w:val="000000"/>
                    </w:rPr>
                    <w:t>5</w:t>
                  </w:r>
                  <w:r w:rsidRPr="00B55046">
                    <w:rPr>
                      <w:rFonts w:cs="Arial"/>
                      <w:color w:val="000000"/>
                    </w:rPr>
                    <w:t>.155</w:t>
                  </w:r>
                </w:p>
              </w:tc>
            </w:tr>
            <w:tr w:rsidR="00C92CD8" w14:paraId="4D050EA5" w14:textId="77777777" w:rsidTr="00740EED">
              <w:trPr>
                <w:trHeight w:val="254"/>
              </w:trPr>
              <w:tc>
                <w:tcPr>
                  <w:tcW w:w="3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FF09AA" w14:textId="77777777" w:rsidR="00EA3D1E" w:rsidRPr="00B55046" w:rsidRDefault="004A7A82" w:rsidP="00EA3D1E">
                  <w:pPr>
                    <w:rPr>
                      <w:rFonts w:cs="Arial"/>
                      <w:color w:val="000000"/>
                    </w:rPr>
                  </w:pPr>
                  <w:r w:rsidRPr="00B55046">
                    <w:rPr>
                      <w:rFonts w:cs="Arial"/>
                      <w:color w:val="000000"/>
                    </w:rPr>
                    <w:t>Transport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22A901" w14:textId="77777777" w:rsidR="00EA3D1E" w:rsidRPr="00B55046" w:rsidRDefault="004A7A82" w:rsidP="00EA3D1E">
                  <w:pPr>
                    <w:jc w:val="right"/>
                    <w:rPr>
                      <w:rFonts w:cs="Arial"/>
                      <w:color w:val="000000"/>
                    </w:rPr>
                  </w:pPr>
                  <w:r w:rsidRPr="00B55046">
                    <w:rPr>
                      <w:rFonts w:cs="Arial"/>
                      <w:color w:val="000000"/>
                    </w:rPr>
                    <w:t>3.179</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BA7B15" w14:textId="77777777" w:rsidR="00EA3D1E" w:rsidRPr="00B55046" w:rsidRDefault="004A7A82" w:rsidP="00EA3D1E">
                  <w:pPr>
                    <w:jc w:val="right"/>
                    <w:rPr>
                      <w:rFonts w:cs="Arial"/>
                      <w:color w:val="000000"/>
                    </w:rPr>
                  </w:pPr>
                  <w:r w:rsidRPr="00B55046">
                    <w:rPr>
                      <w:rFonts w:cs="Arial"/>
                      <w:color w:val="000000"/>
                    </w:rPr>
                    <w:t>0.074</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10A7E0" w14:textId="77777777" w:rsidR="00EA3D1E" w:rsidRPr="00B55046" w:rsidRDefault="004A7A82" w:rsidP="00EA3D1E">
                  <w:pPr>
                    <w:jc w:val="right"/>
                    <w:rPr>
                      <w:rFonts w:cs="Arial"/>
                      <w:color w:val="000000"/>
                    </w:rPr>
                  </w:pPr>
                  <w:r w:rsidRPr="00B55046">
                    <w:rPr>
                      <w:rFonts w:cs="Arial"/>
                      <w:color w:val="000000"/>
                    </w:rPr>
                    <w:t>5.445</w:t>
                  </w:r>
                </w:p>
              </w:tc>
            </w:tr>
            <w:tr w:rsidR="00C92CD8" w14:paraId="58D65625" w14:textId="77777777" w:rsidTr="00740EED">
              <w:trPr>
                <w:trHeight w:val="254"/>
              </w:trPr>
              <w:tc>
                <w:tcPr>
                  <w:tcW w:w="3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C21418" w14:textId="77777777" w:rsidR="00EA3D1E" w:rsidRPr="00B55046" w:rsidRDefault="004A7A82" w:rsidP="00EA3D1E">
                  <w:pPr>
                    <w:rPr>
                      <w:rFonts w:cs="Arial"/>
                      <w:color w:val="000000"/>
                    </w:rPr>
                  </w:pPr>
                  <w:r w:rsidRPr="00B55046">
                    <w:rPr>
                      <w:rFonts w:cs="Arial"/>
                      <w:color w:val="000000"/>
                    </w:rPr>
                    <w:t>Central Systems &amp; ICT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899F8F" w14:textId="77777777" w:rsidR="00EA3D1E" w:rsidRPr="00B55046" w:rsidRDefault="004A7A82" w:rsidP="00EA3D1E">
                  <w:pPr>
                    <w:jc w:val="right"/>
                    <w:rPr>
                      <w:rFonts w:cs="Arial"/>
                      <w:color w:val="000000"/>
                    </w:rPr>
                  </w:pPr>
                  <w:r w:rsidRPr="00B55046">
                    <w:rPr>
                      <w:rFonts w:cs="Arial"/>
                      <w:color w:val="000000"/>
                    </w:rPr>
                    <w:t>2.596</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BAE553" w14:textId="77777777" w:rsidR="00EA3D1E" w:rsidRPr="00B55046" w:rsidRDefault="004A7A82" w:rsidP="00EA3D1E">
                  <w:pPr>
                    <w:jc w:val="right"/>
                    <w:rPr>
                      <w:rFonts w:cs="Arial"/>
                      <w:color w:val="000000"/>
                    </w:rPr>
                  </w:pPr>
                  <w:r w:rsidRPr="00B55046">
                    <w:rPr>
                      <w:rFonts w:cs="Arial"/>
                      <w:color w:val="000000"/>
                    </w:rPr>
                    <w:t>0.800</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FC79B9" w14:textId="77777777" w:rsidR="00EA3D1E" w:rsidRPr="00B55046" w:rsidRDefault="004A7A82" w:rsidP="00EA3D1E">
                  <w:pPr>
                    <w:jc w:val="right"/>
                    <w:rPr>
                      <w:rFonts w:cs="Arial"/>
                      <w:color w:val="000000"/>
                    </w:rPr>
                  </w:pPr>
                  <w:r w:rsidRPr="00B55046">
                    <w:rPr>
                      <w:rFonts w:cs="Arial"/>
                      <w:color w:val="000000"/>
                    </w:rPr>
                    <w:t>0.000</w:t>
                  </w:r>
                </w:p>
              </w:tc>
            </w:tr>
            <w:tr w:rsidR="00C92CD8" w14:paraId="4F4F04AC" w14:textId="77777777" w:rsidTr="00740EED">
              <w:trPr>
                <w:trHeight w:val="254"/>
              </w:trPr>
              <w:tc>
                <w:tcPr>
                  <w:tcW w:w="3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902A8D" w14:textId="77777777" w:rsidR="00EA3D1E" w:rsidRPr="00B55046" w:rsidRDefault="004A7A82" w:rsidP="00EA3D1E">
                  <w:pPr>
                    <w:rPr>
                      <w:rFonts w:cs="Arial"/>
                      <w:color w:val="000000"/>
                    </w:rPr>
                  </w:pPr>
                  <w:r w:rsidRPr="00B55046">
                    <w:rPr>
                      <w:rFonts w:cs="Arial"/>
                      <w:color w:val="000000"/>
                    </w:rPr>
                    <w:t>Corporate - Property</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BD2B9C" w14:textId="77777777" w:rsidR="00EA3D1E" w:rsidRPr="00B55046" w:rsidRDefault="004A7A82" w:rsidP="00EA3D1E">
                  <w:pPr>
                    <w:jc w:val="right"/>
                    <w:rPr>
                      <w:rFonts w:cs="Arial"/>
                      <w:color w:val="000000"/>
                    </w:rPr>
                  </w:pPr>
                  <w:r w:rsidRPr="00B55046">
                    <w:rPr>
                      <w:rFonts w:cs="Arial"/>
                      <w:color w:val="000000"/>
                    </w:rPr>
                    <w:t>9.608</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3E9E9E" w14:textId="77777777" w:rsidR="00EA3D1E" w:rsidRPr="00B55046" w:rsidRDefault="004A7A82" w:rsidP="00EA3D1E">
                  <w:pPr>
                    <w:jc w:val="right"/>
                    <w:rPr>
                      <w:rFonts w:cs="Arial"/>
                      <w:color w:val="000000"/>
                    </w:rPr>
                  </w:pPr>
                  <w:r w:rsidRPr="00B55046">
                    <w:rPr>
                      <w:rFonts w:cs="Arial"/>
                      <w:color w:val="000000"/>
                    </w:rPr>
                    <w:t>3.648</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57EDEA" w14:textId="77777777" w:rsidR="00EA3D1E" w:rsidRPr="00B55046" w:rsidRDefault="004A7A82" w:rsidP="00EA3D1E">
                  <w:pPr>
                    <w:jc w:val="right"/>
                    <w:rPr>
                      <w:rFonts w:cs="Arial"/>
                      <w:color w:val="000000"/>
                    </w:rPr>
                  </w:pPr>
                  <w:r w:rsidRPr="00B55046">
                    <w:rPr>
                      <w:rFonts w:cs="Arial"/>
                      <w:color w:val="000000"/>
                    </w:rPr>
                    <w:t>0.000</w:t>
                  </w:r>
                </w:p>
              </w:tc>
            </w:tr>
            <w:tr w:rsidR="00C92CD8" w14:paraId="2338C0DF" w14:textId="77777777" w:rsidTr="00740EED">
              <w:trPr>
                <w:trHeight w:val="254"/>
              </w:trPr>
              <w:tc>
                <w:tcPr>
                  <w:tcW w:w="3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730C15" w14:textId="77777777" w:rsidR="00EA3D1E" w:rsidRPr="00B55046" w:rsidRDefault="004A7A82" w:rsidP="00EA3D1E">
                  <w:pPr>
                    <w:rPr>
                      <w:rFonts w:cs="Arial"/>
                      <w:color w:val="000000"/>
                    </w:rPr>
                  </w:pPr>
                  <w:r w:rsidRPr="00B55046">
                    <w:rPr>
                      <w:rFonts w:cs="Arial"/>
                      <w:color w:val="000000"/>
                    </w:rPr>
                    <w:t>Economic Development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A3540D" w14:textId="77777777" w:rsidR="00EA3D1E" w:rsidRPr="00B55046" w:rsidRDefault="004A7A82" w:rsidP="00EA3D1E">
                  <w:pPr>
                    <w:jc w:val="right"/>
                    <w:rPr>
                      <w:rFonts w:cs="Arial"/>
                      <w:color w:val="000000"/>
                    </w:rPr>
                  </w:pPr>
                  <w:r w:rsidRPr="00B55046">
                    <w:rPr>
                      <w:rFonts w:cs="Arial"/>
                      <w:color w:val="000000"/>
                    </w:rPr>
                    <w:t>28.920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DC4912" w14:textId="77777777" w:rsidR="00EA3D1E" w:rsidRPr="00B55046" w:rsidRDefault="004A7A82" w:rsidP="00EA3D1E">
                  <w:pPr>
                    <w:jc w:val="right"/>
                    <w:rPr>
                      <w:rFonts w:cs="Arial"/>
                      <w:color w:val="000000"/>
                    </w:rPr>
                  </w:pPr>
                  <w:r w:rsidRPr="00B55046">
                    <w:rPr>
                      <w:rFonts w:cs="Arial"/>
                      <w:color w:val="000000"/>
                    </w:rPr>
                    <w:t>48.010</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EC02EB" w14:textId="77777777" w:rsidR="00EA3D1E" w:rsidRPr="00B55046" w:rsidRDefault="004A7A82" w:rsidP="00EA3D1E">
                  <w:pPr>
                    <w:jc w:val="right"/>
                    <w:rPr>
                      <w:rFonts w:cs="Arial"/>
                      <w:color w:val="000000"/>
                    </w:rPr>
                  </w:pPr>
                  <w:r w:rsidRPr="00B55046">
                    <w:rPr>
                      <w:rFonts w:cs="Arial"/>
                      <w:color w:val="000000"/>
                    </w:rPr>
                    <w:t>14.200</w:t>
                  </w:r>
                </w:p>
              </w:tc>
            </w:tr>
            <w:tr w:rsidR="00C92CD8" w14:paraId="7BBFACE8" w14:textId="77777777" w:rsidTr="00740EED">
              <w:trPr>
                <w:trHeight w:val="254"/>
              </w:trPr>
              <w:tc>
                <w:tcPr>
                  <w:tcW w:w="3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4BFA23" w14:textId="77777777" w:rsidR="00EA3D1E" w:rsidRPr="00B55046" w:rsidRDefault="004A7A82" w:rsidP="00EA3D1E">
                  <w:pPr>
                    <w:rPr>
                      <w:rFonts w:cs="Arial"/>
                      <w:color w:val="000000"/>
                    </w:rPr>
                  </w:pPr>
                  <w:r w:rsidRPr="00B55046">
                    <w:rPr>
                      <w:rFonts w:cs="Arial"/>
                      <w:color w:val="000000"/>
                    </w:rPr>
                    <w:t>East Lancs levelling up fund</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C7E35D" w14:textId="77777777" w:rsidR="00EA3D1E" w:rsidRPr="00B55046" w:rsidRDefault="004A7A82" w:rsidP="00EA3D1E">
                  <w:pPr>
                    <w:jc w:val="right"/>
                    <w:rPr>
                      <w:rFonts w:cs="Arial"/>
                      <w:color w:val="000000"/>
                    </w:rPr>
                  </w:pPr>
                  <w:r w:rsidRPr="00B55046">
                    <w:rPr>
                      <w:rFonts w:cs="Arial"/>
                      <w:color w:val="000000"/>
                    </w:rPr>
                    <w:t>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6A27AD" w14:textId="77777777" w:rsidR="00EA3D1E" w:rsidRPr="00B55046" w:rsidRDefault="004A7A82" w:rsidP="00EA3D1E">
                  <w:pPr>
                    <w:jc w:val="right"/>
                    <w:rPr>
                      <w:rFonts w:cs="Arial"/>
                      <w:color w:val="000000"/>
                    </w:rPr>
                  </w:pPr>
                  <w:r w:rsidRPr="00B55046">
                    <w:rPr>
                      <w:rFonts w:cs="Arial"/>
                      <w:color w:val="000000"/>
                    </w:rPr>
                    <w:t>0.000</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80D6DD" w14:textId="5DB3A775" w:rsidR="00EA3D1E" w:rsidRPr="00B55046" w:rsidRDefault="004A7A82" w:rsidP="00EA3D1E">
                  <w:pPr>
                    <w:jc w:val="right"/>
                    <w:rPr>
                      <w:rFonts w:cs="Arial"/>
                      <w:color w:val="000000"/>
                    </w:rPr>
                  </w:pPr>
                  <w:r>
                    <w:rPr>
                      <w:rFonts w:cs="Arial"/>
                      <w:color w:val="000000"/>
                    </w:rPr>
                    <w:t>5</w:t>
                  </w:r>
                  <w:r w:rsidRPr="00B55046">
                    <w:rPr>
                      <w:rFonts w:cs="Arial"/>
                      <w:color w:val="000000"/>
                    </w:rPr>
                    <w:t>.000</w:t>
                  </w:r>
                </w:p>
              </w:tc>
            </w:tr>
            <w:tr w:rsidR="00C92CD8" w14:paraId="5B813B57" w14:textId="77777777" w:rsidTr="00740EED">
              <w:trPr>
                <w:trHeight w:val="254"/>
              </w:trPr>
              <w:tc>
                <w:tcPr>
                  <w:tcW w:w="3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592B35" w14:textId="77777777" w:rsidR="00EA3D1E" w:rsidRPr="00B55046" w:rsidRDefault="004A7A82" w:rsidP="00EA3D1E">
                  <w:pPr>
                    <w:rPr>
                      <w:rFonts w:cs="Arial"/>
                      <w:color w:val="000000"/>
                    </w:rPr>
                  </w:pPr>
                  <w:r w:rsidRPr="00B55046">
                    <w:rPr>
                      <w:rFonts w:cs="Arial"/>
                      <w:color w:val="000000"/>
                    </w:rPr>
                    <w:t>Vehicles</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DB4B87" w14:textId="77777777" w:rsidR="00EA3D1E" w:rsidRPr="00B55046" w:rsidRDefault="004A7A82" w:rsidP="00EA3D1E">
                  <w:pPr>
                    <w:jc w:val="right"/>
                    <w:rPr>
                      <w:rFonts w:cs="Arial"/>
                      <w:color w:val="000000"/>
                    </w:rPr>
                  </w:pPr>
                  <w:r w:rsidRPr="00B55046">
                    <w:rPr>
                      <w:rFonts w:cs="Arial"/>
                      <w:color w:val="000000"/>
                    </w:rPr>
                    <w:t>4.000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ED2129" w14:textId="77777777" w:rsidR="00EA3D1E" w:rsidRPr="00B55046" w:rsidRDefault="004A7A82" w:rsidP="00EA3D1E">
                  <w:pPr>
                    <w:jc w:val="right"/>
                    <w:rPr>
                      <w:rFonts w:cs="Arial"/>
                      <w:color w:val="000000"/>
                    </w:rPr>
                  </w:pPr>
                  <w:r w:rsidRPr="00B55046">
                    <w:rPr>
                      <w:rFonts w:cs="Arial"/>
                      <w:color w:val="000000"/>
                    </w:rPr>
                    <w:t>4.000</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1DCE53" w14:textId="77777777" w:rsidR="00EA3D1E" w:rsidRPr="00B55046" w:rsidRDefault="004A7A82" w:rsidP="00EA3D1E">
                  <w:pPr>
                    <w:jc w:val="right"/>
                    <w:rPr>
                      <w:rFonts w:cs="Arial"/>
                      <w:color w:val="000000"/>
                    </w:rPr>
                  </w:pPr>
                  <w:r w:rsidRPr="00B55046">
                    <w:rPr>
                      <w:rFonts w:cs="Arial"/>
                      <w:color w:val="000000"/>
                    </w:rPr>
                    <w:t>4.000</w:t>
                  </w:r>
                </w:p>
              </w:tc>
            </w:tr>
            <w:tr w:rsidR="00C92CD8" w14:paraId="6AFD6B41" w14:textId="77777777" w:rsidTr="00740EED">
              <w:trPr>
                <w:trHeight w:val="254"/>
              </w:trPr>
              <w:tc>
                <w:tcPr>
                  <w:tcW w:w="3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F9806E" w14:textId="77777777" w:rsidR="00EA3D1E" w:rsidRPr="00B55046" w:rsidRDefault="004A7A82" w:rsidP="00EA3D1E">
                  <w:pPr>
                    <w:rPr>
                      <w:rFonts w:cs="Arial"/>
                      <w:b/>
                      <w:bCs/>
                      <w:color w:val="000000"/>
                    </w:rPr>
                  </w:pPr>
                  <w:r w:rsidRPr="00B55046">
                    <w:rPr>
                      <w:rFonts w:cs="Arial"/>
                      <w:b/>
                      <w:bCs/>
                      <w:color w:val="000000"/>
                    </w:rPr>
                    <w:t>Total</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C0BC2C" w14:textId="77777777" w:rsidR="00EA3D1E" w:rsidRPr="00B55046" w:rsidRDefault="004A7A82" w:rsidP="00EA3D1E">
                  <w:pPr>
                    <w:jc w:val="right"/>
                    <w:rPr>
                      <w:rFonts w:cs="Arial"/>
                      <w:b/>
                      <w:bCs/>
                      <w:color w:val="000000"/>
                    </w:rPr>
                  </w:pPr>
                  <w:r w:rsidRPr="00B55046">
                    <w:rPr>
                      <w:rFonts w:cs="Arial"/>
                      <w:b/>
                      <w:bCs/>
                      <w:color w:val="000000"/>
                    </w:rPr>
                    <w:t xml:space="preserve">61.393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FFD761" w14:textId="654DBA1A" w:rsidR="00EA3D1E" w:rsidRPr="00B55046" w:rsidRDefault="004A7A82" w:rsidP="00EA3D1E">
                  <w:pPr>
                    <w:jc w:val="right"/>
                    <w:rPr>
                      <w:rFonts w:cs="Arial"/>
                      <w:b/>
                      <w:bCs/>
                      <w:color w:val="000000"/>
                    </w:rPr>
                  </w:pPr>
                  <w:r>
                    <w:rPr>
                      <w:rFonts w:cs="Arial"/>
                      <w:b/>
                      <w:bCs/>
                      <w:color w:val="000000"/>
                    </w:rPr>
                    <w:t>70</w:t>
                  </w:r>
                  <w:r w:rsidRPr="00B55046">
                    <w:rPr>
                      <w:rFonts w:cs="Arial"/>
                      <w:b/>
                      <w:bCs/>
                      <w:color w:val="000000"/>
                    </w:rPr>
                    <w:t xml:space="preserve">.187 </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F64D3A" w14:textId="23C81EB6" w:rsidR="00EA3D1E" w:rsidRPr="00B55046" w:rsidRDefault="004A7A82" w:rsidP="00EA3D1E">
                  <w:pPr>
                    <w:jc w:val="right"/>
                    <w:rPr>
                      <w:rFonts w:cs="Arial"/>
                      <w:b/>
                      <w:bCs/>
                      <w:color w:val="000000"/>
                    </w:rPr>
                  </w:pPr>
                  <w:r>
                    <w:rPr>
                      <w:rFonts w:cs="Arial"/>
                      <w:b/>
                      <w:bCs/>
                      <w:color w:val="000000"/>
                    </w:rPr>
                    <w:t>4</w:t>
                  </w:r>
                  <w:r w:rsidR="00232CE2">
                    <w:rPr>
                      <w:rFonts w:cs="Arial"/>
                      <w:b/>
                      <w:bCs/>
                      <w:color w:val="000000"/>
                    </w:rPr>
                    <w:t>3</w:t>
                  </w:r>
                  <w:r w:rsidRPr="00B55046">
                    <w:rPr>
                      <w:rFonts w:cs="Arial"/>
                      <w:b/>
                      <w:bCs/>
                      <w:color w:val="000000"/>
                    </w:rPr>
                    <w:t xml:space="preserve">.800 </w:t>
                  </w:r>
                </w:p>
              </w:tc>
            </w:tr>
            <w:tr w:rsidR="00C92CD8" w14:paraId="025F9C9C" w14:textId="77777777" w:rsidTr="00740EED">
              <w:trPr>
                <w:trHeight w:val="254"/>
              </w:trPr>
              <w:tc>
                <w:tcPr>
                  <w:tcW w:w="342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3A5AA6C8" w14:textId="77777777" w:rsidR="00EA3D1E" w:rsidRPr="00B55046" w:rsidRDefault="00EA3D1E" w:rsidP="00EA3D1E">
                  <w:pPr>
                    <w:rPr>
                      <w:rFonts w:cs="Arial"/>
                      <w:b/>
                      <w:bCs/>
                      <w:color w:val="000000"/>
                    </w:rPr>
                  </w:pP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2BD170E" w14:textId="77777777" w:rsidR="00EA3D1E" w:rsidRPr="00B55046" w:rsidRDefault="00EA3D1E" w:rsidP="00EA3D1E">
                  <w:pPr>
                    <w:jc w:val="right"/>
                    <w:rPr>
                      <w:rFonts w:cs="Arial"/>
                      <w:b/>
                      <w:bCs/>
                      <w:color w:val="000000"/>
                    </w:rPr>
                  </w:pP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B2A4A1A" w14:textId="77777777" w:rsidR="00EA3D1E" w:rsidRPr="00B55046" w:rsidRDefault="00EA3D1E" w:rsidP="00EA3D1E">
                  <w:pPr>
                    <w:jc w:val="right"/>
                    <w:rPr>
                      <w:rFonts w:cs="Arial"/>
                      <w:b/>
                      <w:bCs/>
                      <w:color w:val="000000"/>
                    </w:rPr>
                  </w:pP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069B55D" w14:textId="77777777" w:rsidR="00EA3D1E" w:rsidRPr="00B55046" w:rsidRDefault="00EA3D1E" w:rsidP="00EA3D1E">
                  <w:pPr>
                    <w:jc w:val="right"/>
                    <w:rPr>
                      <w:rFonts w:cs="Arial"/>
                      <w:b/>
                      <w:bCs/>
                      <w:color w:val="000000"/>
                    </w:rPr>
                  </w:pPr>
                </w:p>
              </w:tc>
            </w:tr>
            <w:tr w:rsidR="00C92CD8" w14:paraId="2C91606A" w14:textId="77777777" w:rsidTr="00740EED">
              <w:trPr>
                <w:trHeight w:val="254"/>
              </w:trPr>
              <w:tc>
                <w:tcPr>
                  <w:tcW w:w="5264" w:type="dxa"/>
                  <w:gridSpan w:val="2"/>
                  <w:tcBorders>
                    <w:left w:val="single" w:sz="4" w:space="0" w:color="auto"/>
                    <w:right w:val="single" w:sz="4" w:space="0" w:color="auto"/>
                  </w:tcBorders>
                  <w:noWrap/>
                  <w:tcMar>
                    <w:top w:w="0" w:type="dxa"/>
                    <w:left w:w="108" w:type="dxa"/>
                    <w:bottom w:w="0" w:type="dxa"/>
                    <w:right w:w="108" w:type="dxa"/>
                  </w:tcMar>
                  <w:vAlign w:val="bottom"/>
                  <w:hideMark/>
                </w:tcPr>
                <w:p w14:paraId="17089DDE" w14:textId="77777777" w:rsidR="00EA3D1E" w:rsidRPr="00B55046" w:rsidRDefault="004A7A82" w:rsidP="00EA3D1E">
                  <w:pPr>
                    <w:rPr>
                      <w:rFonts w:cs="Arial"/>
                      <w:color w:val="000000"/>
                    </w:rPr>
                  </w:pPr>
                  <w:r w:rsidRPr="00B55046">
                    <w:rPr>
                      <w:rFonts w:cs="Arial"/>
                      <w:color w:val="000000"/>
                    </w:rPr>
                    <w:t>Adjustments for annual requirements:</w:t>
                  </w:r>
                </w:p>
              </w:tc>
              <w:tc>
                <w:tcPr>
                  <w:tcW w:w="1843" w:type="dxa"/>
                  <w:tcBorders>
                    <w:left w:val="single" w:sz="4" w:space="0" w:color="auto"/>
                    <w:right w:val="single" w:sz="4" w:space="0" w:color="auto"/>
                  </w:tcBorders>
                  <w:noWrap/>
                  <w:tcMar>
                    <w:top w:w="0" w:type="dxa"/>
                    <w:left w:w="108" w:type="dxa"/>
                    <w:bottom w:w="0" w:type="dxa"/>
                    <w:right w:w="108" w:type="dxa"/>
                  </w:tcMar>
                  <w:vAlign w:val="bottom"/>
                  <w:hideMark/>
                </w:tcPr>
                <w:p w14:paraId="409D0DDD" w14:textId="77777777" w:rsidR="00EA3D1E" w:rsidRPr="00B55046" w:rsidRDefault="00EA3D1E" w:rsidP="00EA3D1E">
                  <w:pPr>
                    <w:rPr>
                      <w:rFonts w:cs="Arial"/>
                      <w:color w:val="000000"/>
                    </w:rPr>
                  </w:pPr>
                </w:p>
              </w:tc>
              <w:tc>
                <w:tcPr>
                  <w:tcW w:w="1722" w:type="dxa"/>
                  <w:tcBorders>
                    <w:left w:val="single" w:sz="4" w:space="0" w:color="auto"/>
                    <w:right w:val="single" w:sz="4" w:space="0" w:color="auto"/>
                  </w:tcBorders>
                  <w:noWrap/>
                  <w:tcMar>
                    <w:top w:w="0" w:type="dxa"/>
                    <w:left w:w="108" w:type="dxa"/>
                    <w:bottom w:w="0" w:type="dxa"/>
                    <w:right w:w="108" w:type="dxa"/>
                  </w:tcMar>
                  <w:vAlign w:val="bottom"/>
                  <w:hideMark/>
                </w:tcPr>
                <w:p w14:paraId="6429A44F" w14:textId="77777777" w:rsidR="00EA3D1E" w:rsidRPr="00B55046" w:rsidRDefault="00EA3D1E" w:rsidP="00EA3D1E">
                  <w:pPr>
                    <w:rPr>
                      <w:rFonts w:eastAsia="Times New Roman" w:cs="Arial"/>
                    </w:rPr>
                  </w:pPr>
                </w:p>
              </w:tc>
            </w:tr>
            <w:tr w:rsidR="00C92CD8" w14:paraId="2292FA09" w14:textId="77777777" w:rsidTr="00740EED">
              <w:trPr>
                <w:trHeight w:val="254"/>
              </w:trPr>
              <w:tc>
                <w:tcPr>
                  <w:tcW w:w="3421"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602C83B2" w14:textId="77777777" w:rsidR="00EA3D1E" w:rsidRPr="00B55046" w:rsidRDefault="004A7A82" w:rsidP="00EA3D1E">
                  <w:pPr>
                    <w:rPr>
                      <w:rFonts w:cs="Arial"/>
                      <w:color w:val="000000"/>
                    </w:rPr>
                  </w:pPr>
                  <w:r w:rsidRPr="00B55046">
                    <w:rPr>
                      <w:rFonts w:cs="Arial"/>
                      <w:color w:val="000000"/>
                    </w:rPr>
                    <w:t xml:space="preserve">ICT </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C51E8E" w14:textId="77777777" w:rsidR="00EA3D1E" w:rsidRPr="00B55046" w:rsidRDefault="004A7A82" w:rsidP="00EA3D1E">
                  <w:pPr>
                    <w:jc w:val="right"/>
                    <w:rPr>
                      <w:rFonts w:cs="Arial"/>
                      <w:color w:val="000000"/>
                    </w:rPr>
                  </w:pPr>
                  <w:r w:rsidRPr="00B55046">
                    <w:rPr>
                      <w:rFonts w:cs="Arial"/>
                      <w:color w:val="000000"/>
                    </w:rPr>
                    <w:t>3.000</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331EDB9" w14:textId="77777777" w:rsidR="00EA3D1E" w:rsidRPr="00B55046" w:rsidRDefault="004A7A82" w:rsidP="00EA3D1E">
                  <w:pPr>
                    <w:jc w:val="right"/>
                    <w:rPr>
                      <w:rFonts w:cs="Arial"/>
                      <w:color w:val="000000"/>
                    </w:rPr>
                  </w:pPr>
                  <w:r w:rsidRPr="00B55046">
                    <w:rPr>
                      <w:rFonts w:cs="Arial"/>
                      <w:color w:val="000000"/>
                    </w:rPr>
                    <w:t>3.000</w:t>
                  </w:r>
                </w:p>
              </w:tc>
              <w:tc>
                <w:tcPr>
                  <w:tcW w:w="17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D79BEA0" w14:textId="77777777" w:rsidR="00EA3D1E" w:rsidRPr="00B55046" w:rsidRDefault="004A7A82" w:rsidP="00EA3D1E">
                  <w:pPr>
                    <w:jc w:val="right"/>
                    <w:rPr>
                      <w:rFonts w:cs="Arial"/>
                      <w:color w:val="000000"/>
                    </w:rPr>
                  </w:pPr>
                  <w:r w:rsidRPr="00B55046">
                    <w:rPr>
                      <w:rFonts w:cs="Arial"/>
                      <w:color w:val="000000"/>
                    </w:rPr>
                    <w:t>3.000</w:t>
                  </w:r>
                </w:p>
              </w:tc>
            </w:tr>
            <w:tr w:rsidR="00C92CD8" w14:paraId="0D816886" w14:textId="77777777" w:rsidTr="00740EED">
              <w:trPr>
                <w:trHeight w:val="254"/>
              </w:trPr>
              <w:tc>
                <w:tcPr>
                  <w:tcW w:w="3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8EF30C" w14:textId="77777777" w:rsidR="00EA3D1E" w:rsidRPr="00B55046" w:rsidRDefault="004A7A82" w:rsidP="00EA3D1E">
                  <w:pPr>
                    <w:rPr>
                      <w:rFonts w:cs="Arial"/>
                      <w:color w:val="000000"/>
                    </w:rPr>
                  </w:pPr>
                  <w:r w:rsidRPr="00B55046">
                    <w:rPr>
                      <w:rFonts w:cs="Arial"/>
                      <w:color w:val="000000"/>
                    </w:rPr>
                    <w:t xml:space="preserve">Property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0F1403" w14:textId="77777777" w:rsidR="00EA3D1E" w:rsidRPr="00B55046" w:rsidRDefault="004A7A82" w:rsidP="00EA3D1E">
                  <w:pPr>
                    <w:jc w:val="right"/>
                    <w:rPr>
                      <w:rFonts w:cs="Arial"/>
                      <w:color w:val="000000"/>
                    </w:rPr>
                  </w:pPr>
                  <w:r w:rsidRPr="00B55046">
                    <w:rPr>
                      <w:rFonts w:cs="Arial"/>
                      <w:color w:val="000000"/>
                    </w:rPr>
                    <w:t>10.000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7F8C48" w14:textId="77777777" w:rsidR="00EA3D1E" w:rsidRPr="00B55046" w:rsidRDefault="004A7A82" w:rsidP="00EA3D1E">
                  <w:pPr>
                    <w:jc w:val="right"/>
                    <w:rPr>
                      <w:rFonts w:cs="Arial"/>
                      <w:color w:val="000000"/>
                    </w:rPr>
                  </w:pPr>
                  <w:r w:rsidRPr="00B55046">
                    <w:rPr>
                      <w:rFonts w:cs="Arial"/>
                      <w:color w:val="000000"/>
                    </w:rPr>
                    <w:t>10.000</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359426" w14:textId="77777777" w:rsidR="00EA3D1E" w:rsidRPr="00B55046" w:rsidRDefault="004A7A82" w:rsidP="00EA3D1E">
                  <w:pPr>
                    <w:jc w:val="right"/>
                    <w:rPr>
                      <w:rFonts w:cs="Arial"/>
                      <w:color w:val="000000"/>
                    </w:rPr>
                  </w:pPr>
                  <w:r w:rsidRPr="00B55046">
                    <w:rPr>
                      <w:rFonts w:cs="Arial"/>
                      <w:color w:val="000000"/>
                    </w:rPr>
                    <w:t>10.000</w:t>
                  </w:r>
                </w:p>
              </w:tc>
            </w:tr>
            <w:tr w:rsidR="00C92CD8" w14:paraId="4054A1B2" w14:textId="77777777" w:rsidTr="00740EED">
              <w:trPr>
                <w:trHeight w:val="254"/>
              </w:trPr>
              <w:tc>
                <w:tcPr>
                  <w:tcW w:w="3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89393AE" w14:textId="77777777" w:rsidR="00EA3D1E" w:rsidRPr="00B55046" w:rsidRDefault="004A7A82" w:rsidP="00EA3D1E">
                  <w:pPr>
                    <w:rPr>
                      <w:rFonts w:cs="Arial"/>
                      <w:b/>
                      <w:bCs/>
                      <w:color w:val="000000"/>
                    </w:rPr>
                  </w:pPr>
                  <w:r w:rsidRPr="00B55046">
                    <w:rPr>
                      <w:rFonts w:cs="Arial"/>
                      <w:b/>
                      <w:bCs/>
                      <w:color w:val="000000"/>
                    </w:rPr>
                    <w:t>Total</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0953A21" w14:textId="77777777" w:rsidR="00EA3D1E" w:rsidRPr="00B55046" w:rsidRDefault="004A7A82" w:rsidP="00EA3D1E">
                  <w:pPr>
                    <w:jc w:val="right"/>
                    <w:rPr>
                      <w:rFonts w:cs="Arial"/>
                      <w:b/>
                      <w:bCs/>
                      <w:color w:val="000000"/>
                    </w:rPr>
                  </w:pPr>
                  <w:r w:rsidRPr="00B55046">
                    <w:rPr>
                      <w:rFonts w:cs="Arial"/>
                      <w:b/>
                      <w:bCs/>
                      <w:color w:val="000000"/>
                    </w:rPr>
                    <w:t>74.393</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7E3B524" w14:textId="12B68700" w:rsidR="00EA3D1E" w:rsidRPr="00B55046" w:rsidRDefault="004A7A82" w:rsidP="00EA3D1E">
                  <w:pPr>
                    <w:jc w:val="right"/>
                    <w:rPr>
                      <w:rFonts w:cs="Arial"/>
                      <w:b/>
                      <w:bCs/>
                      <w:color w:val="000000"/>
                    </w:rPr>
                  </w:pPr>
                  <w:r w:rsidRPr="00B55046">
                    <w:rPr>
                      <w:rFonts w:cs="Arial"/>
                      <w:b/>
                      <w:bCs/>
                      <w:color w:val="000000"/>
                    </w:rPr>
                    <w:t>8</w:t>
                  </w:r>
                  <w:r w:rsidR="002F4517">
                    <w:rPr>
                      <w:rFonts w:cs="Arial"/>
                      <w:b/>
                      <w:bCs/>
                      <w:color w:val="000000"/>
                    </w:rPr>
                    <w:t>3</w:t>
                  </w:r>
                  <w:r w:rsidRPr="00B55046">
                    <w:rPr>
                      <w:rFonts w:cs="Arial"/>
                      <w:b/>
                      <w:bCs/>
                      <w:color w:val="000000"/>
                    </w:rPr>
                    <w:t>.187</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5A905EA" w14:textId="1F65C186" w:rsidR="00EA3D1E" w:rsidRPr="00B55046" w:rsidRDefault="004A7A82" w:rsidP="00EA3D1E">
                  <w:pPr>
                    <w:jc w:val="right"/>
                    <w:rPr>
                      <w:rFonts w:cs="Arial"/>
                      <w:b/>
                      <w:bCs/>
                      <w:color w:val="000000"/>
                    </w:rPr>
                  </w:pPr>
                  <w:r>
                    <w:rPr>
                      <w:rFonts w:cs="Arial"/>
                      <w:b/>
                      <w:bCs/>
                      <w:color w:val="000000"/>
                    </w:rPr>
                    <w:t>56</w:t>
                  </w:r>
                  <w:r w:rsidRPr="00B55046">
                    <w:rPr>
                      <w:rFonts w:cs="Arial"/>
                      <w:b/>
                      <w:bCs/>
                      <w:color w:val="000000"/>
                    </w:rPr>
                    <w:t>.800</w:t>
                  </w:r>
                </w:p>
              </w:tc>
            </w:tr>
            <w:tr w:rsidR="00C92CD8" w14:paraId="38D8E26C" w14:textId="77777777" w:rsidTr="00740EED">
              <w:trPr>
                <w:trHeight w:val="254"/>
              </w:trPr>
              <w:tc>
                <w:tcPr>
                  <w:tcW w:w="3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9CC12A4" w14:textId="77777777" w:rsidR="00EA3D1E" w:rsidRPr="00EA3D1E" w:rsidRDefault="004A7A82" w:rsidP="00EA3D1E">
                  <w:pPr>
                    <w:rPr>
                      <w:rFonts w:cs="Arial"/>
                      <w:color w:val="000000"/>
                    </w:rPr>
                  </w:pPr>
                  <w:r w:rsidRPr="00EA3D1E">
                    <w:rPr>
                      <w:rFonts w:cs="Arial"/>
                      <w:color w:val="000000"/>
                    </w:rPr>
                    <w:t>Less reduction for borrowing being repaid through additional income generation</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4F3E369" w14:textId="77777777" w:rsidR="00EA3D1E" w:rsidRPr="00EA3D1E" w:rsidRDefault="004A7A82" w:rsidP="00EA3D1E">
                  <w:pPr>
                    <w:jc w:val="right"/>
                    <w:rPr>
                      <w:rFonts w:cs="Arial"/>
                      <w:color w:val="000000"/>
                    </w:rPr>
                  </w:pPr>
                  <w:r w:rsidRPr="00EA3D1E">
                    <w:rPr>
                      <w:rFonts w:cs="Arial"/>
                      <w:color w:val="000000"/>
                    </w:rPr>
                    <w:t>-15.487</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B681813" w14:textId="77777777" w:rsidR="00EA3D1E" w:rsidRPr="00EA3D1E" w:rsidRDefault="004A7A82" w:rsidP="00EA3D1E">
                  <w:pPr>
                    <w:jc w:val="right"/>
                    <w:rPr>
                      <w:rFonts w:cs="Arial"/>
                      <w:color w:val="000000"/>
                    </w:rPr>
                  </w:pPr>
                  <w:r w:rsidRPr="00EA3D1E">
                    <w:rPr>
                      <w:rFonts w:cs="Arial"/>
                      <w:color w:val="000000"/>
                    </w:rPr>
                    <w:t>-26.462</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3705E27" w14:textId="77777777" w:rsidR="00EA3D1E" w:rsidRPr="00EA3D1E" w:rsidRDefault="004A7A82" w:rsidP="00EA3D1E">
                  <w:pPr>
                    <w:jc w:val="right"/>
                    <w:rPr>
                      <w:rFonts w:cs="Arial"/>
                      <w:color w:val="000000"/>
                    </w:rPr>
                  </w:pPr>
                  <w:r w:rsidRPr="00EA3D1E">
                    <w:rPr>
                      <w:rFonts w:cs="Arial"/>
                      <w:color w:val="000000"/>
                    </w:rPr>
                    <w:t>-6.200</w:t>
                  </w:r>
                </w:p>
              </w:tc>
            </w:tr>
            <w:tr w:rsidR="00C92CD8" w14:paraId="496E3D5F" w14:textId="77777777" w:rsidTr="00740EED">
              <w:trPr>
                <w:trHeight w:val="254"/>
              </w:trPr>
              <w:tc>
                <w:tcPr>
                  <w:tcW w:w="3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3732492" w14:textId="77777777" w:rsidR="00EA3D1E" w:rsidRPr="00B55046" w:rsidRDefault="004A7A82" w:rsidP="00EA3D1E">
                  <w:pPr>
                    <w:rPr>
                      <w:rFonts w:cs="Arial"/>
                      <w:b/>
                      <w:bCs/>
                      <w:color w:val="000000"/>
                    </w:rPr>
                  </w:pPr>
                  <w:r w:rsidRPr="00B55046">
                    <w:rPr>
                      <w:rFonts w:cs="Arial"/>
                      <w:b/>
                      <w:bCs/>
                      <w:color w:val="000000"/>
                    </w:rPr>
                    <w:t>Net Borrowing Requirement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34EDEFD" w14:textId="77777777" w:rsidR="00EA3D1E" w:rsidRPr="00B55046" w:rsidRDefault="004A7A82" w:rsidP="00EA3D1E">
                  <w:pPr>
                    <w:jc w:val="right"/>
                    <w:rPr>
                      <w:rFonts w:cs="Arial"/>
                      <w:b/>
                      <w:bCs/>
                      <w:color w:val="000000"/>
                    </w:rPr>
                  </w:pPr>
                  <w:r w:rsidRPr="00B55046">
                    <w:rPr>
                      <w:rFonts w:cs="Arial"/>
                      <w:b/>
                      <w:bCs/>
                      <w:color w:val="000000"/>
                    </w:rPr>
                    <w:t>58.906</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3CD63C2" w14:textId="19D91806" w:rsidR="00EA3D1E" w:rsidRPr="00B55046" w:rsidRDefault="004A7A82" w:rsidP="00EA3D1E">
                  <w:pPr>
                    <w:jc w:val="right"/>
                    <w:rPr>
                      <w:rFonts w:cs="Arial"/>
                      <w:b/>
                      <w:bCs/>
                      <w:color w:val="000000"/>
                    </w:rPr>
                  </w:pPr>
                  <w:r w:rsidRPr="00B55046">
                    <w:rPr>
                      <w:rFonts w:cs="Arial"/>
                      <w:b/>
                      <w:bCs/>
                      <w:color w:val="000000"/>
                    </w:rPr>
                    <w:t>5</w:t>
                  </w:r>
                  <w:r w:rsidR="00533076">
                    <w:rPr>
                      <w:rFonts w:cs="Arial"/>
                      <w:b/>
                      <w:bCs/>
                      <w:color w:val="000000"/>
                    </w:rPr>
                    <w:t>6</w:t>
                  </w:r>
                  <w:r w:rsidRPr="00B55046">
                    <w:rPr>
                      <w:rFonts w:cs="Arial"/>
                      <w:b/>
                      <w:bCs/>
                      <w:color w:val="000000"/>
                    </w:rPr>
                    <w:t>.725</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978C6C5" w14:textId="2DA52667" w:rsidR="00EA3D1E" w:rsidRPr="00B55046" w:rsidRDefault="004A7A82" w:rsidP="00EA3D1E">
                  <w:pPr>
                    <w:jc w:val="right"/>
                    <w:rPr>
                      <w:rFonts w:cs="Arial"/>
                      <w:b/>
                      <w:bCs/>
                      <w:color w:val="000000"/>
                    </w:rPr>
                  </w:pPr>
                  <w:r>
                    <w:rPr>
                      <w:rFonts w:cs="Arial"/>
                      <w:b/>
                      <w:bCs/>
                      <w:color w:val="000000"/>
                    </w:rPr>
                    <w:t>50</w:t>
                  </w:r>
                  <w:r w:rsidRPr="00B55046">
                    <w:rPr>
                      <w:rFonts w:cs="Arial"/>
                      <w:b/>
                      <w:bCs/>
                      <w:color w:val="000000"/>
                    </w:rPr>
                    <w:t>.600</w:t>
                  </w:r>
                </w:p>
              </w:tc>
            </w:tr>
          </w:tbl>
          <w:p w14:paraId="40963130" w14:textId="77777777" w:rsidR="007F3D10" w:rsidRPr="00EF4E1C" w:rsidRDefault="007F3D10">
            <w:pPr>
              <w:jc w:val="both"/>
              <w:rPr>
                <w:rFonts w:eastAsia="Times New Roman" w:cs="Arial"/>
                <w:b/>
                <w:bCs/>
                <w:color w:val="000000"/>
              </w:rPr>
            </w:pPr>
          </w:p>
        </w:tc>
      </w:tr>
      <w:tr w:rsidR="00C92CD8" w14:paraId="77203E55" w14:textId="77777777">
        <w:trPr>
          <w:trHeight w:val="320"/>
        </w:trPr>
        <w:tc>
          <w:tcPr>
            <w:tcW w:w="7917" w:type="dxa"/>
            <w:tcBorders>
              <w:top w:val="nil"/>
              <w:left w:val="nil"/>
              <w:bottom w:val="nil"/>
              <w:right w:val="nil"/>
            </w:tcBorders>
            <w:shd w:val="clear" w:color="auto" w:fill="auto"/>
            <w:noWrap/>
            <w:vAlign w:val="bottom"/>
            <w:hideMark/>
          </w:tcPr>
          <w:p w14:paraId="1E48C8B1" w14:textId="77777777" w:rsidR="00EA3D1E" w:rsidRDefault="00EA3D1E">
            <w:pPr>
              <w:jc w:val="both"/>
              <w:rPr>
                <w:rFonts w:eastAsia="Times New Roman" w:cs="Arial"/>
              </w:rPr>
            </w:pPr>
          </w:p>
          <w:p w14:paraId="7F1C2727" w14:textId="6F2B5FD2" w:rsidR="007F3D10" w:rsidRDefault="004A7A82">
            <w:pPr>
              <w:jc w:val="both"/>
              <w:rPr>
                <w:rFonts w:eastAsia="Times New Roman" w:cs="Arial"/>
              </w:rPr>
            </w:pPr>
            <w:r>
              <w:rPr>
                <w:rFonts w:eastAsia="Times New Roman" w:cs="Arial"/>
              </w:rPr>
              <w:t xml:space="preserve">Whilst the net borrowing requirement in 2024/25 and 2025/26 exceeds the £50m ceiling this is more than offset by a significant lower </w:t>
            </w:r>
            <w:r w:rsidR="00FA1DC0">
              <w:rPr>
                <w:rFonts w:eastAsia="Times New Roman" w:cs="Arial"/>
              </w:rPr>
              <w:t xml:space="preserve">level </w:t>
            </w:r>
            <w:r>
              <w:rPr>
                <w:rFonts w:eastAsia="Times New Roman" w:cs="Arial"/>
              </w:rPr>
              <w:t xml:space="preserve">of actual borrowing in 2023/24 </w:t>
            </w:r>
            <w:r w:rsidR="00AB31B9">
              <w:rPr>
                <w:rFonts w:eastAsia="Times New Roman" w:cs="Arial"/>
              </w:rPr>
              <w:t xml:space="preserve">of c£17m </w:t>
            </w:r>
            <w:r>
              <w:rPr>
                <w:rFonts w:eastAsia="Times New Roman" w:cs="Arial"/>
              </w:rPr>
              <w:t>(</w:t>
            </w:r>
            <w:r w:rsidR="00EE379B">
              <w:rPr>
                <w:rFonts w:eastAsia="Times New Roman" w:cs="Arial"/>
              </w:rPr>
              <w:t>ex</w:t>
            </w:r>
            <w:r w:rsidR="00AB31B9">
              <w:rPr>
                <w:rFonts w:eastAsia="Times New Roman" w:cs="Arial"/>
              </w:rPr>
              <w:t xml:space="preserve">pected borrowing of </w:t>
            </w:r>
            <w:r>
              <w:rPr>
                <w:rFonts w:eastAsia="Times New Roman" w:cs="Arial"/>
              </w:rPr>
              <w:t>£33m</w:t>
            </w:r>
            <w:r w:rsidR="00AB31B9">
              <w:rPr>
                <w:rFonts w:eastAsia="Times New Roman" w:cs="Arial"/>
              </w:rPr>
              <w:t xml:space="preserve"> compared to the £50m headroom available</w:t>
            </w:r>
            <w:r>
              <w:rPr>
                <w:rFonts w:eastAsia="Times New Roman" w:cs="Arial"/>
              </w:rPr>
              <w:t xml:space="preserve">) than budgeted and therefore remains under the ceiling level over the </w:t>
            </w:r>
            <w:r w:rsidR="00EA3D1E">
              <w:rPr>
                <w:rFonts w:eastAsia="Times New Roman" w:cs="Arial"/>
              </w:rPr>
              <w:t>4-year</w:t>
            </w:r>
            <w:r>
              <w:rPr>
                <w:rFonts w:eastAsia="Times New Roman" w:cs="Arial"/>
              </w:rPr>
              <w:t xml:space="preserve"> period.</w:t>
            </w:r>
          </w:p>
          <w:p w14:paraId="6B568BC7" w14:textId="77777777" w:rsidR="003008C5" w:rsidRDefault="003008C5">
            <w:pPr>
              <w:jc w:val="both"/>
              <w:rPr>
                <w:rFonts w:eastAsia="Times New Roman" w:cs="Arial"/>
              </w:rPr>
            </w:pPr>
          </w:p>
          <w:p w14:paraId="325E6A10" w14:textId="77777777" w:rsidR="003008C5" w:rsidRDefault="003008C5">
            <w:pPr>
              <w:jc w:val="both"/>
              <w:rPr>
                <w:rFonts w:eastAsia="Times New Roman" w:cs="Arial"/>
              </w:rPr>
            </w:pPr>
          </w:p>
          <w:p w14:paraId="05EC1DB2" w14:textId="77777777" w:rsidR="003008C5" w:rsidRDefault="003008C5">
            <w:pPr>
              <w:jc w:val="both"/>
              <w:rPr>
                <w:rFonts w:eastAsia="Times New Roman" w:cs="Arial"/>
              </w:rPr>
            </w:pPr>
          </w:p>
          <w:p w14:paraId="68977C57" w14:textId="77777777" w:rsidR="003008C5" w:rsidRDefault="003008C5">
            <w:pPr>
              <w:jc w:val="both"/>
              <w:rPr>
                <w:rFonts w:eastAsia="Times New Roman" w:cs="Arial"/>
              </w:rPr>
            </w:pPr>
          </w:p>
          <w:p w14:paraId="4509F635" w14:textId="77777777" w:rsidR="003008C5" w:rsidRDefault="003008C5">
            <w:pPr>
              <w:jc w:val="both"/>
              <w:rPr>
                <w:rFonts w:eastAsia="Times New Roman" w:cs="Arial"/>
              </w:rPr>
            </w:pPr>
          </w:p>
          <w:p w14:paraId="1FD75EE9" w14:textId="77777777" w:rsidR="003008C5" w:rsidRDefault="003008C5">
            <w:pPr>
              <w:jc w:val="both"/>
              <w:rPr>
                <w:rFonts w:eastAsia="Times New Roman" w:cs="Arial"/>
              </w:rPr>
            </w:pPr>
          </w:p>
          <w:p w14:paraId="345E30BD" w14:textId="77777777" w:rsidR="003008C5" w:rsidRDefault="003008C5">
            <w:pPr>
              <w:jc w:val="both"/>
              <w:rPr>
                <w:rFonts w:eastAsia="Times New Roman" w:cs="Arial"/>
              </w:rPr>
            </w:pPr>
          </w:p>
          <w:p w14:paraId="0AFB4374" w14:textId="77777777" w:rsidR="003008C5" w:rsidRDefault="003008C5">
            <w:pPr>
              <w:jc w:val="both"/>
              <w:rPr>
                <w:rFonts w:eastAsia="Times New Roman" w:cs="Arial"/>
              </w:rPr>
            </w:pPr>
          </w:p>
          <w:p w14:paraId="494AC21B" w14:textId="77777777" w:rsidR="00942BB7" w:rsidRDefault="00942BB7">
            <w:pPr>
              <w:jc w:val="both"/>
              <w:rPr>
                <w:rFonts w:eastAsia="Times New Roman" w:cs="Arial"/>
              </w:rPr>
            </w:pPr>
          </w:p>
          <w:p w14:paraId="6B6D0968" w14:textId="77777777" w:rsidR="00942BB7" w:rsidRDefault="00942BB7">
            <w:pPr>
              <w:jc w:val="both"/>
              <w:rPr>
                <w:rFonts w:eastAsia="Times New Roman" w:cs="Arial"/>
              </w:rPr>
            </w:pPr>
          </w:p>
          <w:p w14:paraId="41BA49E1" w14:textId="77777777" w:rsidR="00942BB7" w:rsidRDefault="00942BB7">
            <w:pPr>
              <w:jc w:val="both"/>
              <w:rPr>
                <w:rFonts w:eastAsia="Times New Roman" w:cs="Arial"/>
              </w:rPr>
            </w:pPr>
          </w:p>
          <w:p w14:paraId="0090885D" w14:textId="77777777" w:rsidR="00942BB7" w:rsidRDefault="00942BB7">
            <w:pPr>
              <w:jc w:val="both"/>
              <w:rPr>
                <w:rFonts w:eastAsia="Times New Roman" w:cs="Arial"/>
              </w:rPr>
            </w:pPr>
          </w:p>
          <w:p w14:paraId="0ACBE59B" w14:textId="77777777" w:rsidR="003008C5" w:rsidRDefault="003008C5">
            <w:pPr>
              <w:jc w:val="both"/>
              <w:rPr>
                <w:rFonts w:eastAsia="Times New Roman" w:cs="Arial"/>
              </w:rPr>
            </w:pPr>
          </w:p>
          <w:p w14:paraId="741C9FFC" w14:textId="77777777" w:rsidR="002645AE" w:rsidRDefault="002645AE">
            <w:pPr>
              <w:jc w:val="both"/>
              <w:rPr>
                <w:rFonts w:eastAsia="Times New Roman" w:cs="Arial"/>
              </w:rPr>
            </w:pPr>
          </w:p>
          <w:p w14:paraId="7370B999" w14:textId="77777777" w:rsidR="002645AE" w:rsidRDefault="002645AE">
            <w:pPr>
              <w:jc w:val="both"/>
              <w:rPr>
                <w:rFonts w:eastAsia="Times New Roman" w:cs="Arial"/>
              </w:rPr>
            </w:pPr>
          </w:p>
          <w:p w14:paraId="2B631A0C" w14:textId="77777777" w:rsidR="002645AE" w:rsidRDefault="002645AE">
            <w:pPr>
              <w:jc w:val="both"/>
              <w:rPr>
                <w:rFonts w:eastAsia="Times New Roman" w:cs="Arial"/>
              </w:rPr>
            </w:pPr>
          </w:p>
          <w:p w14:paraId="3A856B4C" w14:textId="77777777" w:rsidR="002645AE" w:rsidRDefault="002645AE">
            <w:pPr>
              <w:jc w:val="both"/>
              <w:rPr>
                <w:rFonts w:eastAsia="Times New Roman" w:cs="Arial"/>
              </w:rPr>
            </w:pPr>
          </w:p>
          <w:p w14:paraId="54A30EF9" w14:textId="77777777" w:rsidR="002645AE" w:rsidRDefault="002645AE">
            <w:pPr>
              <w:jc w:val="both"/>
              <w:rPr>
                <w:rFonts w:eastAsia="Times New Roman" w:cs="Arial"/>
              </w:rPr>
            </w:pPr>
          </w:p>
          <w:p w14:paraId="2A73CC59" w14:textId="77777777" w:rsidR="003008C5" w:rsidRDefault="003008C5">
            <w:pPr>
              <w:jc w:val="both"/>
              <w:rPr>
                <w:rFonts w:eastAsia="Times New Roman" w:cs="Arial"/>
              </w:rPr>
            </w:pPr>
          </w:p>
          <w:p w14:paraId="11013A24" w14:textId="623B891D" w:rsidR="003008C5" w:rsidRPr="00EF4E1C" w:rsidRDefault="003008C5">
            <w:pPr>
              <w:jc w:val="both"/>
              <w:rPr>
                <w:rFonts w:eastAsia="Times New Roman" w:cs="Arial"/>
              </w:rPr>
            </w:pPr>
          </w:p>
        </w:tc>
      </w:tr>
    </w:tbl>
    <w:p w14:paraId="5C0FFFA6" w14:textId="0BB09D4B" w:rsidR="007F3D10" w:rsidRPr="00EA3D1E" w:rsidRDefault="007F3D10" w:rsidP="1296B87A">
      <w:pPr>
        <w:jc w:val="both"/>
        <w:rPr>
          <w:rFonts w:cs="Arial"/>
          <w:b/>
          <w:bCs/>
        </w:rPr>
      </w:pPr>
    </w:p>
    <w:p w14:paraId="6CCF75A5" w14:textId="0D11A67E" w:rsidR="007F3D10" w:rsidRPr="00EF4E1C" w:rsidRDefault="004A7A82" w:rsidP="005838A0">
      <w:pPr>
        <w:pStyle w:val="ListParagraph"/>
        <w:numPr>
          <w:ilvl w:val="0"/>
          <w:numId w:val="22"/>
        </w:numPr>
        <w:spacing w:line="259" w:lineRule="auto"/>
        <w:ind w:left="426" w:hanging="426"/>
        <w:jc w:val="both"/>
        <w:rPr>
          <w:rFonts w:cs="Arial"/>
          <w:b/>
          <w:bCs/>
        </w:rPr>
      </w:pPr>
      <w:r w:rsidRPr="1296B87A">
        <w:rPr>
          <w:rFonts w:cs="Arial"/>
          <w:b/>
          <w:bCs/>
        </w:rPr>
        <w:t>Detailed narrative for 2024/25 delivery plan</w:t>
      </w:r>
    </w:p>
    <w:p w14:paraId="6DE11BD2" w14:textId="716DD135" w:rsidR="007F3D10" w:rsidRPr="00EF4E1C" w:rsidRDefault="007F3D10" w:rsidP="1296B87A">
      <w:pPr>
        <w:ind w:left="360"/>
        <w:jc w:val="both"/>
        <w:rPr>
          <w:rFonts w:cs="Arial"/>
          <w:b/>
          <w:bCs/>
          <w:color w:val="000000" w:themeColor="text1"/>
        </w:rPr>
      </w:pPr>
    </w:p>
    <w:p w14:paraId="6FF5423E" w14:textId="6883C4D9" w:rsidR="007F3D10" w:rsidRDefault="004A7A82" w:rsidP="1296B87A">
      <w:pPr>
        <w:jc w:val="both"/>
        <w:rPr>
          <w:rFonts w:cs="Arial"/>
          <w:b/>
          <w:bCs/>
          <w:color w:val="000000" w:themeColor="text1"/>
        </w:rPr>
      </w:pPr>
      <w:r w:rsidRPr="1296B87A">
        <w:rPr>
          <w:rFonts w:cs="Arial"/>
          <w:b/>
          <w:bCs/>
          <w:color w:val="000000" w:themeColor="text1"/>
        </w:rPr>
        <w:t xml:space="preserve">Schools </w:t>
      </w:r>
    </w:p>
    <w:p w14:paraId="2EFB4793" w14:textId="6244D988" w:rsidR="007F3D10" w:rsidRPr="00EF4E1C" w:rsidRDefault="007F3D10" w:rsidP="1296B87A">
      <w:pPr>
        <w:jc w:val="both"/>
        <w:rPr>
          <w:rFonts w:cs="Arial"/>
          <w:b/>
          <w:bCs/>
          <w:color w:val="000000" w:themeColor="text1"/>
        </w:rPr>
      </w:pPr>
    </w:p>
    <w:p w14:paraId="78F5A066" w14:textId="2974ABD2" w:rsidR="007F3D10" w:rsidRDefault="004A7A82" w:rsidP="1296B87A">
      <w:pPr>
        <w:jc w:val="both"/>
        <w:rPr>
          <w:rFonts w:cs="Arial"/>
          <w:b/>
          <w:bCs/>
          <w:color w:val="000000" w:themeColor="text1"/>
        </w:rPr>
      </w:pPr>
      <w:r w:rsidRPr="1296B87A">
        <w:rPr>
          <w:rFonts w:cs="Arial"/>
          <w:b/>
          <w:bCs/>
          <w:color w:val="000000" w:themeColor="text1"/>
        </w:rPr>
        <w:t xml:space="preserve">The </w:t>
      </w:r>
      <w:proofErr w:type="gramStart"/>
      <w:r w:rsidRPr="1296B87A">
        <w:rPr>
          <w:rFonts w:cs="Arial"/>
          <w:b/>
          <w:bCs/>
          <w:color w:val="000000" w:themeColor="text1"/>
        </w:rPr>
        <w:t>schools</w:t>
      </w:r>
      <w:proofErr w:type="gramEnd"/>
      <w:r w:rsidRPr="1296B87A">
        <w:rPr>
          <w:rFonts w:cs="Arial"/>
          <w:b/>
          <w:bCs/>
          <w:color w:val="000000" w:themeColor="text1"/>
        </w:rPr>
        <w:t xml:space="preserve"> capital programme has a 2024/25 delivery programme of £32.816m and a total 3 year delivery plan of £88.228m</w:t>
      </w:r>
    </w:p>
    <w:p w14:paraId="02176CA2" w14:textId="5D840ADC" w:rsidR="007F3D10" w:rsidRPr="00EF4E1C" w:rsidRDefault="007F3D10" w:rsidP="1296B87A">
      <w:pPr>
        <w:jc w:val="both"/>
        <w:rPr>
          <w:rFonts w:cs="Arial"/>
          <w:b/>
          <w:bCs/>
          <w:color w:val="000000" w:themeColor="text1"/>
        </w:rPr>
      </w:pPr>
    </w:p>
    <w:p w14:paraId="57AF34D4" w14:textId="49AC0FD3" w:rsidR="007F3D10" w:rsidRDefault="004A7A82" w:rsidP="1296B87A">
      <w:pPr>
        <w:jc w:val="both"/>
        <w:rPr>
          <w:rFonts w:cs="Arial"/>
          <w:color w:val="000000" w:themeColor="text1"/>
        </w:rPr>
      </w:pPr>
      <w:r w:rsidRPr="1296B87A">
        <w:rPr>
          <w:rFonts w:cs="Arial"/>
          <w:color w:val="000000" w:themeColor="text1"/>
        </w:rPr>
        <w:t xml:space="preserve">The </w:t>
      </w:r>
      <w:proofErr w:type="gramStart"/>
      <w:r w:rsidRPr="1296B87A">
        <w:rPr>
          <w:rFonts w:cs="Arial"/>
          <w:color w:val="000000" w:themeColor="text1"/>
        </w:rPr>
        <w:t>schools</w:t>
      </w:r>
      <w:proofErr w:type="gramEnd"/>
      <w:r w:rsidRPr="1296B87A">
        <w:rPr>
          <w:rFonts w:cs="Arial"/>
          <w:color w:val="000000" w:themeColor="text1"/>
        </w:rPr>
        <w:t xml:space="preserve"> delivery programme is split into three areas: </w:t>
      </w:r>
    </w:p>
    <w:p w14:paraId="778A88C6" w14:textId="580FFA91" w:rsidR="007F3D10" w:rsidRPr="00EF4E1C" w:rsidRDefault="007F3D10" w:rsidP="1296B87A">
      <w:pPr>
        <w:jc w:val="both"/>
        <w:rPr>
          <w:rFonts w:cs="Arial"/>
          <w:color w:val="000000" w:themeColor="text1"/>
        </w:rPr>
      </w:pPr>
    </w:p>
    <w:p w14:paraId="18AE0A05" w14:textId="575D29E8" w:rsidR="007F3D10" w:rsidRDefault="004A7A82" w:rsidP="00C35785">
      <w:pPr>
        <w:ind w:left="720" w:hanging="720"/>
        <w:jc w:val="both"/>
        <w:rPr>
          <w:rFonts w:cs="Arial"/>
          <w:color w:val="000000" w:themeColor="text1"/>
        </w:rPr>
      </w:pPr>
      <w:r>
        <w:rPr>
          <w:rFonts w:cs="Arial"/>
          <w:color w:val="000000" w:themeColor="text1"/>
        </w:rPr>
        <w:t>2.1</w:t>
      </w:r>
      <w:r>
        <w:rPr>
          <w:rFonts w:cs="Arial"/>
          <w:color w:val="000000" w:themeColor="text1"/>
        </w:rPr>
        <w:tab/>
      </w:r>
      <w:r w:rsidRPr="003B31F7">
        <w:rPr>
          <w:rFonts w:cs="Arial"/>
          <w:b/>
          <w:bCs/>
          <w:color w:val="000000" w:themeColor="text1"/>
        </w:rPr>
        <w:t>The basic need programme</w:t>
      </w:r>
      <w:r w:rsidRPr="1296B87A">
        <w:rPr>
          <w:rFonts w:cs="Arial"/>
          <w:color w:val="000000" w:themeColor="text1"/>
        </w:rPr>
        <w:t xml:space="preserve"> is to increase school pupil places in targeted areas via grant funded school expansions or new school build projects. An amount of £14.755m has been included in the delivery programme for 2024/25, including large projects such as the expansions of Colne </w:t>
      </w:r>
      <w:proofErr w:type="spellStart"/>
      <w:r w:rsidRPr="1296B87A">
        <w:rPr>
          <w:rFonts w:cs="Arial"/>
          <w:color w:val="000000" w:themeColor="text1"/>
        </w:rPr>
        <w:t>Primet</w:t>
      </w:r>
      <w:proofErr w:type="spellEnd"/>
      <w:r w:rsidRPr="1296B87A">
        <w:rPr>
          <w:rFonts w:cs="Arial"/>
          <w:color w:val="000000" w:themeColor="text1"/>
        </w:rPr>
        <w:t xml:space="preserve"> academy and </w:t>
      </w:r>
      <w:proofErr w:type="spellStart"/>
      <w:r w:rsidRPr="1296B87A">
        <w:rPr>
          <w:rFonts w:cs="Arial"/>
          <w:color w:val="000000" w:themeColor="text1"/>
        </w:rPr>
        <w:t>Billington</w:t>
      </w:r>
      <w:proofErr w:type="spellEnd"/>
      <w:r w:rsidRPr="1296B87A">
        <w:rPr>
          <w:rFonts w:cs="Arial"/>
          <w:color w:val="000000" w:themeColor="text1"/>
        </w:rPr>
        <w:t xml:space="preserve"> St Augustine's high school and the demolition of </w:t>
      </w:r>
      <w:proofErr w:type="spellStart"/>
      <w:r w:rsidRPr="1296B87A">
        <w:rPr>
          <w:rFonts w:cs="Arial"/>
          <w:color w:val="000000" w:themeColor="text1"/>
        </w:rPr>
        <w:t>Tulketh</w:t>
      </w:r>
      <w:proofErr w:type="spellEnd"/>
      <w:r w:rsidRPr="1296B87A">
        <w:rPr>
          <w:rFonts w:cs="Arial"/>
          <w:color w:val="000000" w:themeColor="text1"/>
        </w:rPr>
        <w:t xml:space="preserve"> high school. A high delivery across basic need schemes in 2023/24 has resulted in </w:t>
      </w:r>
      <w:proofErr w:type="gramStart"/>
      <w:r w:rsidRPr="1296B87A">
        <w:rPr>
          <w:rFonts w:cs="Arial"/>
          <w:color w:val="000000" w:themeColor="text1"/>
        </w:rPr>
        <w:t>a large number of</w:t>
      </w:r>
      <w:proofErr w:type="gramEnd"/>
      <w:r w:rsidRPr="1296B87A">
        <w:rPr>
          <w:rFonts w:cs="Arial"/>
          <w:color w:val="000000" w:themeColor="text1"/>
        </w:rPr>
        <w:t xml:space="preserve"> projects forecast to partly slip into 2024/25, the 2024/25 delivery plan will be revisited and adjusted once the final 2023/24 slippage figures are known.</w:t>
      </w:r>
    </w:p>
    <w:p w14:paraId="67C31F7B" w14:textId="5875139D" w:rsidR="007F3D10" w:rsidRPr="00EF4E1C" w:rsidRDefault="007F3D10" w:rsidP="1296B87A">
      <w:pPr>
        <w:jc w:val="both"/>
        <w:rPr>
          <w:rFonts w:cs="Arial"/>
          <w:color w:val="000000" w:themeColor="text1"/>
        </w:rPr>
      </w:pPr>
    </w:p>
    <w:p w14:paraId="439B9E54" w14:textId="2AF3FFA4" w:rsidR="007F3D10" w:rsidRDefault="004A7A82" w:rsidP="00896CEC">
      <w:pPr>
        <w:spacing w:before="240"/>
        <w:ind w:left="720" w:hanging="720"/>
        <w:jc w:val="both"/>
        <w:rPr>
          <w:rFonts w:cs="Arial"/>
          <w:color w:val="000000" w:themeColor="text1"/>
        </w:rPr>
      </w:pPr>
      <w:r>
        <w:rPr>
          <w:rFonts w:cs="Arial"/>
          <w:color w:val="000000" w:themeColor="text1"/>
        </w:rPr>
        <w:t>2.2</w:t>
      </w:r>
      <w:r>
        <w:rPr>
          <w:rFonts w:cs="Arial"/>
          <w:color w:val="000000" w:themeColor="text1"/>
        </w:rPr>
        <w:tab/>
      </w:r>
      <w:r w:rsidRPr="00852C04">
        <w:rPr>
          <w:rFonts w:cs="Arial"/>
          <w:b/>
          <w:bCs/>
          <w:color w:val="000000" w:themeColor="text1"/>
        </w:rPr>
        <w:t>The condition programme</w:t>
      </w:r>
      <w:r w:rsidRPr="1296B87A">
        <w:rPr>
          <w:rFonts w:cs="Arial"/>
          <w:color w:val="000000" w:themeColor="text1"/>
        </w:rPr>
        <w:t xml:space="preserve"> delivers a variety of grant funded works to address priority condition issues at school buildings. An amount of £13.654m has been included in the delivery programme for 2024/25, an increase from the 2023/24 delivery plan figure which was affected by the drive on basic needs schemes for that year. The delivery plan figures assume the continuation of the school condition allocation grant from D</w:t>
      </w:r>
      <w:r w:rsidR="00896CEC">
        <w:rPr>
          <w:rFonts w:cs="Arial"/>
          <w:color w:val="000000" w:themeColor="text1"/>
        </w:rPr>
        <w:t xml:space="preserve">epartment </w:t>
      </w:r>
      <w:r w:rsidRPr="1296B87A">
        <w:rPr>
          <w:rFonts w:cs="Arial"/>
          <w:color w:val="000000" w:themeColor="text1"/>
        </w:rPr>
        <w:t>f</w:t>
      </w:r>
      <w:r w:rsidR="00896CEC">
        <w:rPr>
          <w:rFonts w:cs="Arial"/>
          <w:color w:val="000000" w:themeColor="text1"/>
        </w:rPr>
        <w:t>or Education (Df</w:t>
      </w:r>
      <w:r w:rsidRPr="1296B87A">
        <w:rPr>
          <w:rFonts w:cs="Arial"/>
          <w:color w:val="000000" w:themeColor="text1"/>
        </w:rPr>
        <w:t>E</w:t>
      </w:r>
      <w:r w:rsidR="00896CEC">
        <w:rPr>
          <w:rFonts w:cs="Arial"/>
          <w:color w:val="000000" w:themeColor="text1"/>
        </w:rPr>
        <w:t>)</w:t>
      </w:r>
      <w:r w:rsidRPr="1296B87A">
        <w:rPr>
          <w:rFonts w:cs="Arial"/>
          <w:color w:val="000000" w:themeColor="text1"/>
        </w:rPr>
        <w:t xml:space="preserve"> based on prior year averages, from which Cabinet will agree a programme of works. If this grant is not received as usual, then the programme of works will need to be adjusted in 2024/25 and future years. Performance to delivery plan will be refined during the year as work programmes are developed and finalised. It is not unusual for some schemes to slip into the following year pending further preparatory work or funding requests if required.</w:t>
      </w:r>
    </w:p>
    <w:p w14:paraId="4415E4E4" w14:textId="1DECB55F" w:rsidR="007F3D10" w:rsidRPr="00EF4E1C" w:rsidRDefault="007F3D10" w:rsidP="1296B87A">
      <w:pPr>
        <w:jc w:val="both"/>
        <w:rPr>
          <w:rFonts w:cs="Arial"/>
          <w:color w:val="000000" w:themeColor="text1"/>
        </w:rPr>
      </w:pPr>
    </w:p>
    <w:p w14:paraId="16FAD9A5" w14:textId="17E7E87A" w:rsidR="007F3D10" w:rsidRDefault="004A7A82" w:rsidP="00443325">
      <w:pPr>
        <w:ind w:left="720"/>
        <w:jc w:val="both"/>
        <w:rPr>
          <w:rFonts w:cs="Arial"/>
          <w:color w:val="000000" w:themeColor="text1"/>
        </w:rPr>
      </w:pPr>
      <w:r w:rsidRPr="1296B87A">
        <w:rPr>
          <w:rFonts w:cs="Arial"/>
          <w:color w:val="000000" w:themeColor="text1"/>
        </w:rPr>
        <w:t xml:space="preserve">The high needs grant has been awarded </w:t>
      </w:r>
      <w:r w:rsidR="0060585B">
        <w:rPr>
          <w:rFonts w:cs="Arial"/>
          <w:color w:val="000000" w:themeColor="text1"/>
        </w:rPr>
        <w:t>to the county council</w:t>
      </w:r>
      <w:r w:rsidRPr="1296B87A">
        <w:rPr>
          <w:rFonts w:cs="Arial"/>
          <w:color w:val="000000" w:themeColor="text1"/>
        </w:rPr>
        <w:t xml:space="preserve"> to support the provision of new school places and improve existing provision for children with special educational needs and disabilities or requiring alternative provision. The delivery plan for 2024/25 on high needs projects is set at £2.019m across 6 schemes. These schemes remain in the early phases but are expected to deliver most of the work in 2024/25. There is </w:t>
      </w:r>
      <w:r w:rsidR="00360490">
        <w:rPr>
          <w:rFonts w:cs="Arial"/>
          <w:color w:val="000000" w:themeColor="text1"/>
        </w:rPr>
        <w:t>the</w:t>
      </w:r>
      <w:r w:rsidRPr="1296B87A">
        <w:rPr>
          <w:rFonts w:cs="Arial"/>
          <w:color w:val="000000" w:themeColor="text1"/>
        </w:rPr>
        <w:t xml:space="preserve"> potential </w:t>
      </w:r>
      <w:r w:rsidR="00360490">
        <w:rPr>
          <w:rFonts w:cs="Arial"/>
          <w:color w:val="000000" w:themeColor="text1"/>
        </w:rPr>
        <w:t>for</w:t>
      </w:r>
      <w:r w:rsidRPr="1296B87A">
        <w:rPr>
          <w:rFonts w:cs="Arial"/>
          <w:color w:val="000000" w:themeColor="text1"/>
        </w:rPr>
        <w:t xml:space="preserve"> more schemes to be added to this programme during the year to </w:t>
      </w:r>
      <w:r w:rsidR="00360490">
        <w:rPr>
          <w:rFonts w:cs="Arial"/>
          <w:color w:val="000000" w:themeColor="text1"/>
        </w:rPr>
        <w:t xml:space="preserve">fully </w:t>
      </w:r>
      <w:r w:rsidRPr="1296B87A">
        <w:rPr>
          <w:rFonts w:cs="Arial"/>
          <w:color w:val="000000" w:themeColor="text1"/>
        </w:rPr>
        <w:t xml:space="preserve">utilise the grant, which </w:t>
      </w:r>
      <w:r w:rsidR="00360490">
        <w:rPr>
          <w:rFonts w:cs="Arial"/>
          <w:color w:val="000000" w:themeColor="text1"/>
        </w:rPr>
        <w:t>will</w:t>
      </w:r>
      <w:r w:rsidRPr="1296B87A">
        <w:rPr>
          <w:rFonts w:cs="Arial"/>
          <w:color w:val="000000" w:themeColor="text1"/>
        </w:rPr>
        <w:t xml:space="preserve"> be reflected in the final delivery plan produced in </w:t>
      </w:r>
      <w:r w:rsidR="00030828">
        <w:rPr>
          <w:rFonts w:cs="Arial"/>
          <w:color w:val="000000" w:themeColor="text1"/>
        </w:rPr>
        <w:t>July</w:t>
      </w:r>
      <w:r w:rsidRPr="1296B87A">
        <w:rPr>
          <w:rFonts w:cs="Arial"/>
          <w:color w:val="000000" w:themeColor="text1"/>
        </w:rPr>
        <w:t xml:space="preserve"> 2024.</w:t>
      </w:r>
    </w:p>
    <w:p w14:paraId="307C481D" w14:textId="57C0C0FC" w:rsidR="007F3D10" w:rsidRPr="00EF4E1C" w:rsidRDefault="007F3D10" w:rsidP="1296B87A">
      <w:pPr>
        <w:jc w:val="both"/>
        <w:rPr>
          <w:rFonts w:cs="Arial"/>
          <w:color w:val="000000" w:themeColor="text1"/>
        </w:rPr>
      </w:pPr>
    </w:p>
    <w:p w14:paraId="2AE74AB7" w14:textId="55B03BA0" w:rsidR="007F3D10" w:rsidRPr="00EF4E1C" w:rsidRDefault="004A7A82" w:rsidP="00443325">
      <w:pPr>
        <w:ind w:left="720" w:hanging="720"/>
        <w:jc w:val="both"/>
        <w:rPr>
          <w:rFonts w:cs="Arial"/>
          <w:color w:val="000000" w:themeColor="text1"/>
        </w:rPr>
      </w:pPr>
      <w:r>
        <w:rPr>
          <w:rFonts w:cs="Arial"/>
          <w:color w:val="000000" w:themeColor="text1"/>
        </w:rPr>
        <w:t>2.3</w:t>
      </w:r>
      <w:r>
        <w:rPr>
          <w:rFonts w:cs="Arial"/>
          <w:color w:val="000000" w:themeColor="text1"/>
        </w:rPr>
        <w:tab/>
      </w:r>
      <w:r w:rsidRPr="00852C04">
        <w:rPr>
          <w:rFonts w:cs="Arial"/>
          <w:b/>
          <w:bCs/>
          <w:color w:val="000000" w:themeColor="text1"/>
        </w:rPr>
        <w:t>The devolved formula capital programme</w:t>
      </w:r>
      <w:r w:rsidRPr="1296B87A">
        <w:rPr>
          <w:rFonts w:cs="Arial"/>
          <w:color w:val="000000" w:themeColor="text1"/>
        </w:rPr>
        <w:t xml:space="preserve"> is a grant funded programme for small to medium capital projects. It is allocated to schools on a formula basis by the DfE </w:t>
      </w:r>
      <w:proofErr w:type="gramStart"/>
      <w:r w:rsidRPr="1296B87A">
        <w:rPr>
          <w:rFonts w:cs="Arial"/>
          <w:color w:val="000000" w:themeColor="text1"/>
        </w:rPr>
        <w:t>in order for</w:t>
      </w:r>
      <w:proofErr w:type="gramEnd"/>
      <w:r w:rsidRPr="1296B87A">
        <w:rPr>
          <w:rFonts w:cs="Arial"/>
          <w:color w:val="000000" w:themeColor="text1"/>
        </w:rPr>
        <w:t xml:space="preserve"> schools to spend on capital projects within expenditure guidelines and a delivery programme amount of £2.388m has been included for 2024/25.</w:t>
      </w:r>
    </w:p>
    <w:p w14:paraId="062A2194" w14:textId="54035D60" w:rsidR="007F3D10" w:rsidRDefault="007F3D10" w:rsidP="1296B87A">
      <w:pPr>
        <w:jc w:val="both"/>
        <w:rPr>
          <w:rFonts w:cs="Arial"/>
          <w:b/>
          <w:bCs/>
          <w:color w:val="000000" w:themeColor="text1"/>
        </w:rPr>
      </w:pPr>
      <w:bookmarkStart w:id="2" w:name="_Hlk92722398"/>
    </w:p>
    <w:p w14:paraId="0164A6E5" w14:textId="77777777" w:rsidR="000C6654" w:rsidRDefault="000C6654" w:rsidP="1296B87A">
      <w:pPr>
        <w:jc w:val="both"/>
        <w:rPr>
          <w:rFonts w:cs="Arial"/>
          <w:b/>
          <w:bCs/>
          <w:color w:val="000000" w:themeColor="text1"/>
        </w:rPr>
      </w:pPr>
    </w:p>
    <w:p w14:paraId="34A6CFF8" w14:textId="77777777" w:rsidR="000C6654" w:rsidRPr="00EF4E1C" w:rsidRDefault="000C6654" w:rsidP="1296B87A">
      <w:pPr>
        <w:jc w:val="both"/>
        <w:rPr>
          <w:rFonts w:cs="Arial"/>
          <w:b/>
          <w:bCs/>
          <w:color w:val="000000" w:themeColor="text1"/>
        </w:rPr>
      </w:pPr>
    </w:p>
    <w:p w14:paraId="1956EF1A" w14:textId="52CA9F6E" w:rsidR="007F3D10" w:rsidRDefault="004A7A82" w:rsidP="1296B87A">
      <w:pPr>
        <w:jc w:val="both"/>
        <w:rPr>
          <w:rFonts w:cs="Arial"/>
          <w:b/>
          <w:bCs/>
          <w:color w:val="000000" w:themeColor="text1"/>
        </w:rPr>
      </w:pPr>
      <w:r w:rsidRPr="1296B87A">
        <w:rPr>
          <w:rFonts w:cs="Arial"/>
          <w:b/>
          <w:bCs/>
          <w:color w:val="000000" w:themeColor="text1"/>
        </w:rPr>
        <w:lastRenderedPageBreak/>
        <w:t>Highways</w:t>
      </w:r>
    </w:p>
    <w:p w14:paraId="371F8519" w14:textId="44824439" w:rsidR="007F3D10" w:rsidRPr="00EF4E1C" w:rsidRDefault="007F3D10" w:rsidP="1296B87A">
      <w:pPr>
        <w:jc w:val="both"/>
        <w:rPr>
          <w:rFonts w:cs="Arial"/>
          <w:b/>
          <w:bCs/>
          <w:color w:val="000000" w:themeColor="text1"/>
        </w:rPr>
      </w:pPr>
    </w:p>
    <w:p w14:paraId="4F41E2F4" w14:textId="0E25499D" w:rsidR="007F3D10" w:rsidRDefault="004A7A82" w:rsidP="1296B87A">
      <w:pPr>
        <w:jc w:val="both"/>
        <w:rPr>
          <w:rFonts w:cs="Arial"/>
          <w:b/>
          <w:bCs/>
          <w:color w:val="000000" w:themeColor="text1"/>
        </w:rPr>
      </w:pPr>
      <w:r w:rsidRPr="1296B87A">
        <w:rPr>
          <w:rFonts w:cs="Arial"/>
          <w:b/>
          <w:bCs/>
          <w:color w:val="000000" w:themeColor="text1"/>
        </w:rPr>
        <w:t xml:space="preserve">The Highways capital programme </w:t>
      </w:r>
      <w:bookmarkEnd w:id="2"/>
      <w:r w:rsidRPr="1296B87A">
        <w:rPr>
          <w:rFonts w:cs="Arial"/>
          <w:b/>
          <w:bCs/>
          <w:color w:val="000000" w:themeColor="text1"/>
        </w:rPr>
        <w:t xml:space="preserve">has a 2024/25 delivery programme of £51.129m and a total </w:t>
      </w:r>
      <w:proofErr w:type="gramStart"/>
      <w:r w:rsidRPr="1296B87A">
        <w:rPr>
          <w:rFonts w:cs="Arial"/>
          <w:b/>
          <w:bCs/>
          <w:color w:val="000000" w:themeColor="text1"/>
        </w:rPr>
        <w:t>3 year</w:t>
      </w:r>
      <w:proofErr w:type="gramEnd"/>
      <w:r w:rsidRPr="1296B87A">
        <w:rPr>
          <w:rFonts w:cs="Arial"/>
          <w:b/>
          <w:bCs/>
          <w:color w:val="000000" w:themeColor="text1"/>
        </w:rPr>
        <w:t xml:space="preserve"> delivery plan of £150.614m</w:t>
      </w:r>
    </w:p>
    <w:p w14:paraId="2DAC806F" w14:textId="0EC6145A" w:rsidR="007F3D10" w:rsidRPr="00EF4E1C" w:rsidRDefault="007F3D10" w:rsidP="1296B87A">
      <w:pPr>
        <w:jc w:val="both"/>
        <w:rPr>
          <w:rFonts w:cs="Arial"/>
          <w:b/>
          <w:bCs/>
          <w:color w:val="000000" w:themeColor="text1"/>
        </w:rPr>
      </w:pPr>
    </w:p>
    <w:p w14:paraId="4DC7FB57" w14:textId="7EBD2D46" w:rsidR="007F3D10" w:rsidRDefault="004A7A82" w:rsidP="1296B87A">
      <w:pPr>
        <w:jc w:val="both"/>
        <w:rPr>
          <w:rFonts w:cs="Arial"/>
          <w:color w:val="000000" w:themeColor="text1"/>
        </w:rPr>
      </w:pPr>
      <w:r w:rsidRPr="1296B87A">
        <w:rPr>
          <w:rFonts w:cs="Arial"/>
          <w:color w:val="000000" w:themeColor="text1"/>
        </w:rPr>
        <w:t xml:space="preserve">The Highways delivery programme contains £15.333m of projects </w:t>
      </w:r>
      <w:r w:rsidR="004948F6">
        <w:rPr>
          <w:rFonts w:cs="Arial"/>
          <w:color w:val="000000" w:themeColor="text1"/>
        </w:rPr>
        <w:t xml:space="preserve">previously </w:t>
      </w:r>
      <w:r w:rsidRPr="1296B87A">
        <w:rPr>
          <w:rFonts w:cs="Arial"/>
          <w:color w:val="000000" w:themeColor="text1"/>
        </w:rPr>
        <w:t xml:space="preserve">planned </w:t>
      </w:r>
      <w:r w:rsidR="00025303">
        <w:rPr>
          <w:rFonts w:cs="Arial"/>
          <w:color w:val="000000" w:themeColor="text1"/>
        </w:rPr>
        <w:t xml:space="preserve">and </w:t>
      </w:r>
      <w:r w:rsidR="004948F6">
        <w:rPr>
          <w:rFonts w:cs="Arial"/>
          <w:color w:val="000000" w:themeColor="text1"/>
        </w:rPr>
        <w:t>agree</w:t>
      </w:r>
      <w:r w:rsidR="00025303">
        <w:rPr>
          <w:rFonts w:cs="Arial"/>
          <w:color w:val="000000" w:themeColor="text1"/>
        </w:rPr>
        <w:t>d</w:t>
      </w:r>
      <w:r w:rsidR="004948F6">
        <w:rPr>
          <w:rFonts w:cs="Arial"/>
          <w:color w:val="000000" w:themeColor="text1"/>
        </w:rPr>
        <w:t xml:space="preserve"> </w:t>
      </w:r>
      <w:r w:rsidRPr="1296B87A">
        <w:rPr>
          <w:rFonts w:cs="Arial"/>
          <w:color w:val="000000" w:themeColor="text1"/>
        </w:rPr>
        <w:t xml:space="preserve">prior to 2024 which are expected to be delivered within 2024/25. This includes c£9.000m programmed for bridge maintenance work including works to Higher Road North bridge A601(M) Carnforth and Derby Street bridge, Ormskirk. </w:t>
      </w:r>
    </w:p>
    <w:p w14:paraId="0C020A5B" w14:textId="25227400" w:rsidR="007F3D10" w:rsidRPr="00EF4E1C" w:rsidRDefault="007F3D10" w:rsidP="1296B87A">
      <w:pPr>
        <w:jc w:val="both"/>
        <w:rPr>
          <w:rFonts w:cs="Arial"/>
          <w:color w:val="000000" w:themeColor="text1"/>
        </w:rPr>
      </w:pPr>
    </w:p>
    <w:p w14:paraId="4553FF0E" w14:textId="3AB16059" w:rsidR="007F3D10" w:rsidRDefault="004A7A82" w:rsidP="1296B87A">
      <w:pPr>
        <w:jc w:val="both"/>
        <w:rPr>
          <w:rFonts w:cs="Arial"/>
          <w:color w:val="000000" w:themeColor="text1"/>
        </w:rPr>
      </w:pPr>
      <w:r w:rsidRPr="1296B87A">
        <w:rPr>
          <w:rFonts w:cs="Arial"/>
          <w:color w:val="000000" w:themeColor="text1"/>
        </w:rPr>
        <w:t>The delivery plan includes funding from the 2024/25 confirmed grant from the department for transport of £32.472m. The transport asset management plan (TAMP), originally approved in 2014, sets out how the county council intends to maintain its publicly maintainable vehicular highway assets (</w:t>
      </w:r>
      <w:proofErr w:type="gramStart"/>
      <w:r w:rsidRPr="1296B87A">
        <w:rPr>
          <w:rFonts w:cs="Arial"/>
          <w:color w:val="000000" w:themeColor="text1"/>
        </w:rPr>
        <w:t>i.e.</w:t>
      </w:r>
      <w:proofErr w:type="gramEnd"/>
      <w:r w:rsidRPr="1296B87A">
        <w:rPr>
          <w:rFonts w:cs="Arial"/>
          <w:color w:val="000000" w:themeColor="text1"/>
        </w:rPr>
        <w:t xml:space="preserve"> A, B and C roads, unclassified road network, footways, street lighting, traffic signals and structures) over the period 2015/16 to 2029/30.  Along with ongoing condition data, the TAMP priorities are used to draw up a detailed list of the projects that will be funded from the grant, this list will be drawn up prior to the submission of the final 2024/25 delivery programme in </w:t>
      </w:r>
      <w:r w:rsidR="00FB5941">
        <w:rPr>
          <w:rFonts w:cs="Arial"/>
          <w:color w:val="000000" w:themeColor="text1"/>
        </w:rPr>
        <w:t>July</w:t>
      </w:r>
      <w:r w:rsidRPr="1296B87A">
        <w:rPr>
          <w:rFonts w:cs="Arial"/>
          <w:color w:val="000000" w:themeColor="text1"/>
        </w:rPr>
        <w:t xml:space="preserve"> 2024. </w:t>
      </w:r>
    </w:p>
    <w:p w14:paraId="426C8631" w14:textId="5BEDEBBD" w:rsidR="007F3D10" w:rsidRPr="00EF4E1C" w:rsidRDefault="007F3D10" w:rsidP="1296B87A">
      <w:pPr>
        <w:jc w:val="both"/>
        <w:rPr>
          <w:rFonts w:cs="Arial"/>
          <w:color w:val="000000" w:themeColor="text1"/>
        </w:rPr>
      </w:pPr>
    </w:p>
    <w:p w14:paraId="5864D1ED" w14:textId="76752447" w:rsidR="007F3D10" w:rsidRDefault="004A7A82" w:rsidP="1296B87A">
      <w:pPr>
        <w:jc w:val="both"/>
        <w:rPr>
          <w:rFonts w:cs="Arial"/>
          <w:color w:val="000000" w:themeColor="text1"/>
        </w:rPr>
      </w:pPr>
      <w:r w:rsidRPr="1296B87A">
        <w:rPr>
          <w:rFonts w:cs="Arial"/>
          <w:color w:val="000000" w:themeColor="text1"/>
        </w:rPr>
        <w:t>The D</w:t>
      </w:r>
      <w:r w:rsidR="00BB17F7">
        <w:rPr>
          <w:rFonts w:cs="Arial"/>
          <w:color w:val="000000" w:themeColor="text1"/>
        </w:rPr>
        <w:t xml:space="preserve">epartment </w:t>
      </w:r>
      <w:r w:rsidRPr="1296B87A">
        <w:rPr>
          <w:rFonts w:cs="Arial"/>
          <w:color w:val="000000" w:themeColor="text1"/>
        </w:rPr>
        <w:t>f</w:t>
      </w:r>
      <w:r w:rsidR="00BB17F7">
        <w:rPr>
          <w:rFonts w:cs="Arial"/>
          <w:color w:val="000000" w:themeColor="text1"/>
        </w:rPr>
        <w:t xml:space="preserve">or </w:t>
      </w:r>
      <w:r w:rsidRPr="1296B87A">
        <w:rPr>
          <w:rFonts w:cs="Arial"/>
          <w:color w:val="000000" w:themeColor="text1"/>
        </w:rPr>
        <w:t>T</w:t>
      </w:r>
      <w:r w:rsidR="00BB17F7">
        <w:rPr>
          <w:rFonts w:cs="Arial"/>
          <w:color w:val="000000" w:themeColor="text1"/>
        </w:rPr>
        <w:t>ransport</w:t>
      </w:r>
      <w:r w:rsidR="00565580">
        <w:rPr>
          <w:rFonts w:cs="Arial"/>
          <w:color w:val="000000" w:themeColor="text1"/>
        </w:rPr>
        <w:t xml:space="preserve"> (DfT)</w:t>
      </w:r>
      <w:r w:rsidRPr="1296B87A">
        <w:rPr>
          <w:rFonts w:cs="Arial"/>
          <w:color w:val="000000" w:themeColor="text1"/>
        </w:rPr>
        <w:t xml:space="preserve"> grant is supplemented by borrowing of £13.100m to deliver the level of work required to meet TAMP priorities and health and safety intervention criteria. </w:t>
      </w:r>
    </w:p>
    <w:p w14:paraId="2ED65FEB" w14:textId="1BC2AFEC" w:rsidR="007F3D10" w:rsidRPr="00EF4E1C" w:rsidRDefault="007F3D10" w:rsidP="1296B87A">
      <w:pPr>
        <w:jc w:val="both"/>
        <w:rPr>
          <w:rFonts w:cs="Arial"/>
          <w:color w:val="000000" w:themeColor="text1"/>
        </w:rPr>
      </w:pPr>
    </w:p>
    <w:p w14:paraId="712A86A5" w14:textId="07B204EC" w:rsidR="007F3D10" w:rsidRDefault="004A7A82" w:rsidP="1296B87A">
      <w:pPr>
        <w:jc w:val="both"/>
        <w:rPr>
          <w:rFonts w:cs="Arial"/>
          <w:color w:val="000000" w:themeColor="text1"/>
        </w:rPr>
      </w:pPr>
      <w:r w:rsidRPr="1296B87A">
        <w:rPr>
          <w:rFonts w:cs="Arial"/>
          <w:color w:val="000000" w:themeColor="text1"/>
        </w:rPr>
        <w:t>A risk to the 2024/25 delivery programme is the continued high numbers of structural defects meeting intervention levels. This will continue to be monitored going forward, if it is to remain at such a high level the funding of this programme may have to be reconsidered potentially reducing the grant allocations to other highways programmes to fund this prioritised work.</w:t>
      </w:r>
    </w:p>
    <w:p w14:paraId="077C64B3" w14:textId="5D3736F5" w:rsidR="007F3D10" w:rsidRPr="00EF4E1C" w:rsidRDefault="007F3D10" w:rsidP="1296B87A">
      <w:pPr>
        <w:jc w:val="both"/>
        <w:rPr>
          <w:rFonts w:cs="Arial"/>
          <w:color w:val="000000" w:themeColor="text1"/>
        </w:rPr>
      </w:pPr>
    </w:p>
    <w:p w14:paraId="4A2FEB23" w14:textId="28B91429" w:rsidR="007F3D10" w:rsidRPr="00EF4E1C" w:rsidRDefault="004A7A82" w:rsidP="1296B87A">
      <w:pPr>
        <w:jc w:val="both"/>
        <w:rPr>
          <w:rFonts w:cs="Arial"/>
          <w:color w:val="000000" w:themeColor="text1"/>
        </w:rPr>
      </w:pPr>
      <w:r w:rsidRPr="1296B87A">
        <w:rPr>
          <w:rFonts w:cs="Arial"/>
          <w:color w:val="000000" w:themeColor="text1"/>
        </w:rPr>
        <w:t>In October 2023 the government announced additional highways maintenance funding for the next ten years.  The annual allocations beyond 2024/25 are yet to be confirmed therefore for 2025/26 and 2026/27 the delivery plan is anticipated to be £50.713m and £48.772m but will be revised once the figures are confirmed.</w:t>
      </w:r>
    </w:p>
    <w:p w14:paraId="2B5C7BD4" w14:textId="1F73341C" w:rsidR="007F3D10" w:rsidRPr="00EF4E1C" w:rsidRDefault="007F3D10" w:rsidP="1296B87A">
      <w:pPr>
        <w:jc w:val="both"/>
        <w:rPr>
          <w:rFonts w:cs="Arial"/>
          <w:b/>
          <w:bCs/>
          <w:color w:val="000000" w:themeColor="text1"/>
        </w:rPr>
      </w:pPr>
    </w:p>
    <w:p w14:paraId="16072CE4" w14:textId="702F6913" w:rsidR="007F3D10" w:rsidRDefault="004A7A82" w:rsidP="1296B87A">
      <w:pPr>
        <w:jc w:val="both"/>
        <w:rPr>
          <w:rFonts w:cs="Arial"/>
          <w:b/>
          <w:bCs/>
          <w:color w:val="000000" w:themeColor="text1"/>
        </w:rPr>
      </w:pPr>
      <w:bookmarkStart w:id="3" w:name="_Hlk92786951"/>
      <w:r w:rsidRPr="1296B87A">
        <w:rPr>
          <w:rFonts w:cs="Arial"/>
          <w:b/>
          <w:bCs/>
          <w:color w:val="000000" w:themeColor="text1"/>
        </w:rPr>
        <w:t>Transport</w:t>
      </w:r>
    </w:p>
    <w:p w14:paraId="2C51D523" w14:textId="1A159677" w:rsidR="007F3D10" w:rsidRPr="00EF4E1C" w:rsidRDefault="007F3D10" w:rsidP="1296B87A">
      <w:pPr>
        <w:jc w:val="both"/>
        <w:rPr>
          <w:rFonts w:cs="Arial"/>
          <w:b/>
          <w:bCs/>
          <w:color w:val="000000" w:themeColor="text1"/>
        </w:rPr>
      </w:pPr>
    </w:p>
    <w:p w14:paraId="5A6A5CEE" w14:textId="60CF7035" w:rsidR="007F3D10" w:rsidRDefault="004A7A82" w:rsidP="1296B87A">
      <w:pPr>
        <w:jc w:val="both"/>
        <w:rPr>
          <w:rFonts w:cs="Arial"/>
          <w:b/>
          <w:bCs/>
          <w:color w:val="000000" w:themeColor="text1"/>
        </w:rPr>
      </w:pPr>
      <w:r w:rsidRPr="1296B87A">
        <w:rPr>
          <w:rFonts w:cs="Arial"/>
          <w:b/>
          <w:bCs/>
          <w:color w:val="000000" w:themeColor="text1"/>
        </w:rPr>
        <w:t xml:space="preserve">The transport capital programme has a 2024/25 delivery programme of £27.889m and a total </w:t>
      </w:r>
      <w:proofErr w:type="gramStart"/>
      <w:r w:rsidRPr="1296B87A">
        <w:rPr>
          <w:rFonts w:cs="Arial"/>
          <w:b/>
          <w:bCs/>
          <w:color w:val="000000" w:themeColor="text1"/>
        </w:rPr>
        <w:t>3 year</w:t>
      </w:r>
      <w:proofErr w:type="gramEnd"/>
      <w:r w:rsidRPr="1296B87A">
        <w:rPr>
          <w:rFonts w:cs="Arial"/>
          <w:b/>
          <w:bCs/>
          <w:color w:val="000000" w:themeColor="text1"/>
        </w:rPr>
        <w:t xml:space="preserve"> delivery plan of £51.429m</w:t>
      </w:r>
    </w:p>
    <w:p w14:paraId="3D7BFFA9" w14:textId="5F8856CC" w:rsidR="007F3D10" w:rsidRPr="00EF4E1C" w:rsidRDefault="007F3D10" w:rsidP="1296B87A">
      <w:pPr>
        <w:jc w:val="both"/>
        <w:rPr>
          <w:rFonts w:cs="Arial"/>
          <w:b/>
          <w:bCs/>
          <w:color w:val="000000" w:themeColor="text1"/>
        </w:rPr>
      </w:pPr>
    </w:p>
    <w:p w14:paraId="590BD122" w14:textId="591C89C1" w:rsidR="007F3D10" w:rsidRDefault="004A7A82" w:rsidP="1296B87A">
      <w:pPr>
        <w:jc w:val="both"/>
        <w:rPr>
          <w:rFonts w:cs="Arial"/>
          <w:color w:val="000000" w:themeColor="text1"/>
        </w:rPr>
      </w:pPr>
      <w:bookmarkStart w:id="4" w:name="_Hlk92706126"/>
      <w:bookmarkEnd w:id="3"/>
      <w:r w:rsidRPr="1296B87A">
        <w:rPr>
          <w:rFonts w:cs="Arial"/>
          <w:color w:val="000000" w:themeColor="text1"/>
        </w:rPr>
        <w:t xml:space="preserve">The </w:t>
      </w:r>
      <w:r w:rsidR="00931E3D">
        <w:rPr>
          <w:rFonts w:cs="Arial"/>
          <w:color w:val="000000" w:themeColor="text1"/>
        </w:rPr>
        <w:t>mult</w:t>
      </w:r>
      <w:r w:rsidR="00BF2CDA">
        <w:rPr>
          <w:rFonts w:cs="Arial"/>
          <w:color w:val="000000" w:themeColor="text1"/>
        </w:rPr>
        <w:t>i-year</w:t>
      </w:r>
      <w:r w:rsidRPr="1296B87A">
        <w:rPr>
          <w:rFonts w:cs="Arial"/>
          <w:color w:val="000000" w:themeColor="text1"/>
        </w:rPr>
        <w:t xml:space="preserve"> project for the build of the M55 </w:t>
      </w:r>
      <w:proofErr w:type="spellStart"/>
      <w:r w:rsidRPr="1296B87A">
        <w:rPr>
          <w:rFonts w:cs="Arial"/>
          <w:color w:val="000000" w:themeColor="text1"/>
        </w:rPr>
        <w:t>Heyhouses</w:t>
      </w:r>
      <w:proofErr w:type="spellEnd"/>
      <w:r w:rsidRPr="1296B87A">
        <w:rPr>
          <w:rFonts w:cs="Arial"/>
          <w:color w:val="000000" w:themeColor="text1"/>
        </w:rPr>
        <w:t xml:space="preserve"> link road is expected to complete in early 2024/25 with the final costs including all the surfacing to utilise £10.000m in year, with a further £0.500m per year included post 2024/25 for ongoing costs.</w:t>
      </w:r>
    </w:p>
    <w:p w14:paraId="3562DDEB" w14:textId="5AABA417" w:rsidR="007F3D10" w:rsidRPr="00EF4E1C" w:rsidRDefault="007F3D10" w:rsidP="1296B87A">
      <w:pPr>
        <w:jc w:val="both"/>
        <w:rPr>
          <w:rFonts w:cs="Arial"/>
          <w:color w:val="000000" w:themeColor="text1"/>
        </w:rPr>
      </w:pPr>
    </w:p>
    <w:p w14:paraId="2CE84EAC" w14:textId="63BE73AA" w:rsidR="007F3D10" w:rsidRDefault="004A7A82" w:rsidP="1296B87A">
      <w:pPr>
        <w:jc w:val="both"/>
        <w:rPr>
          <w:rFonts w:cs="Arial"/>
          <w:color w:val="000000" w:themeColor="text1"/>
        </w:rPr>
      </w:pPr>
      <w:r w:rsidRPr="1296B87A">
        <w:rPr>
          <w:rFonts w:cs="Arial"/>
          <w:color w:val="000000" w:themeColor="text1"/>
        </w:rPr>
        <w:t xml:space="preserve">A further £10.189m is to be received from the DfT in 2024/25 for intelligent bus priority schemes with the original stipulation that it is utilised by March 2025.  A six-month extension has been approved if projects can be shown to have begun </w:t>
      </w:r>
      <w:r w:rsidR="00BF2CDA">
        <w:rPr>
          <w:rFonts w:cs="Arial"/>
          <w:color w:val="000000" w:themeColor="text1"/>
        </w:rPr>
        <w:t xml:space="preserve">in 2024/25 </w:t>
      </w:r>
      <w:proofErr w:type="gramStart"/>
      <w:r w:rsidR="00BF2CDA">
        <w:rPr>
          <w:rFonts w:cs="Arial"/>
          <w:color w:val="000000" w:themeColor="text1"/>
        </w:rPr>
        <w:t xml:space="preserve">and </w:t>
      </w:r>
      <w:r w:rsidRPr="1296B87A">
        <w:rPr>
          <w:rFonts w:cs="Arial"/>
          <w:color w:val="000000" w:themeColor="text1"/>
        </w:rPr>
        <w:t xml:space="preserve"> therefore</w:t>
      </w:r>
      <w:proofErr w:type="gramEnd"/>
      <w:r w:rsidRPr="1296B87A">
        <w:rPr>
          <w:rFonts w:cs="Arial"/>
          <w:color w:val="000000" w:themeColor="text1"/>
        </w:rPr>
        <w:t xml:space="preserve"> the remaining £4.990m of the grant is forecast to be used in 2025/26 to adhere to these conditions. A procurement framework to outsource these works is </w:t>
      </w:r>
      <w:r w:rsidRPr="1296B87A">
        <w:rPr>
          <w:rFonts w:cs="Arial"/>
          <w:color w:val="000000" w:themeColor="text1"/>
        </w:rPr>
        <w:lastRenderedPageBreak/>
        <w:t xml:space="preserve">currently being drawn </w:t>
      </w:r>
      <w:r w:rsidR="000A3474">
        <w:rPr>
          <w:rFonts w:cs="Arial"/>
          <w:color w:val="000000" w:themeColor="text1"/>
        </w:rPr>
        <w:t>as a safeguard should</w:t>
      </w:r>
      <w:r w:rsidRPr="1296B87A">
        <w:rPr>
          <w:rFonts w:cs="Arial"/>
          <w:color w:val="000000" w:themeColor="text1"/>
        </w:rPr>
        <w:t xml:space="preserve"> internal teams have </w:t>
      </w:r>
      <w:r w:rsidR="000A3474">
        <w:rPr>
          <w:rFonts w:cs="Arial"/>
          <w:color w:val="000000" w:themeColor="text1"/>
        </w:rPr>
        <w:t>insufficient</w:t>
      </w:r>
      <w:r w:rsidRPr="1296B87A">
        <w:rPr>
          <w:rFonts w:cs="Arial"/>
          <w:color w:val="000000" w:themeColor="text1"/>
        </w:rPr>
        <w:t xml:space="preserve"> capacity to deliver within the timeframes.</w:t>
      </w:r>
    </w:p>
    <w:p w14:paraId="671EEF34" w14:textId="58C0BC51" w:rsidR="007F3D10" w:rsidRPr="00EF4E1C" w:rsidRDefault="007F3D10" w:rsidP="1296B87A">
      <w:pPr>
        <w:jc w:val="both"/>
        <w:rPr>
          <w:rFonts w:cs="Arial"/>
          <w:color w:val="000000" w:themeColor="text1"/>
        </w:rPr>
      </w:pPr>
    </w:p>
    <w:p w14:paraId="7467F09B" w14:textId="250F66B5" w:rsidR="000B3BC0" w:rsidRDefault="004A7A82" w:rsidP="1296B87A">
      <w:pPr>
        <w:jc w:val="both"/>
        <w:rPr>
          <w:rFonts w:cs="Arial"/>
          <w:color w:val="000000" w:themeColor="text1"/>
        </w:rPr>
      </w:pPr>
      <w:r w:rsidRPr="1296B87A">
        <w:rPr>
          <w:rFonts w:cs="Arial"/>
          <w:color w:val="000000" w:themeColor="text1"/>
        </w:rPr>
        <w:t>The active travel programme has received £5.447m additional funding. An amount of £1.047m for the extension of Clifton Drive has been included for 2024/25 with the remaining £4.400m split over the following two years to fund the work on Sagar Street gateway, Nelson and the supplementary work on East Lanc</w:t>
      </w:r>
      <w:r w:rsidR="00570499">
        <w:rPr>
          <w:rFonts w:cs="Arial"/>
          <w:color w:val="000000" w:themeColor="text1"/>
        </w:rPr>
        <w:t>ashire</w:t>
      </w:r>
      <w:r w:rsidRPr="1296B87A">
        <w:rPr>
          <w:rFonts w:cs="Arial"/>
          <w:color w:val="000000" w:themeColor="text1"/>
        </w:rPr>
        <w:t xml:space="preserve"> strategic cycleway which links in with the East Lanc</w:t>
      </w:r>
      <w:r w:rsidR="00570499">
        <w:rPr>
          <w:rFonts w:cs="Arial"/>
          <w:color w:val="000000" w:themeColor="text1"/>
        </w:rPr>
        <w:t>ashire</w:t>
      </w:r>
      <w:r w:rsidRPr="1296B87A">
        <w:rPr>
          <w:rFonts w:cs="Arial"/>
          <w:color w:val="000000" w:themeColor="text1"/>
        </w:rPr>
        <w:t xml:space="preserve"> levelling up fund projects.</w:t>
      </w:r>
    </w:p>
    <w:p w14:paraId="3A68A212" w14:textId="77777777" w:rsidR="002F2737" w:rsidRDefault="002F2737" w:rsidP="1296B87A">
      <w:pPr>
        <w:jc w:val="both"/>
        <w:rPr>
          <w:rFonts w:cs="Arial"/>
          <w:color w:val="000000" w:themeColor="text1"/>
        </w:rPr>
      </w:pPr>
    </w:p>
    <w:p w14:paraId="3B501FF6" w14:textId="0BDE90DC" w:rsidR="007F3D10" w:rsidRPr="000B3BC0" w:rsidRDefault="004A7A82" w:rsidP="1296B87A">
      <w:pPr>
        <w:jc w:val="both"/>
        <w:rPr>
          <w:rFonts w:cs="Arial"/>
          <w:color w:val="000000" w:themeColor="text1"/>
        </w:rPr>
      </w:pPr>
      <w:r w:rsidRPr="1296B87A">
        <w:rPr>
          <w:rFonts w:cs="Arial"/>
          <w:b/>
          <w:bCs/>
          <w:color w:val="000000" w:themeColor="text1"/>
        </w:rPr>
        <w:t>Externally Funded Schemes</w:t>
      </w:r>
    </w:p>
    <w:p w14:paraId="0BE6E169" w14:textId="11DF26B4" w:rsidR="007F3D10" w:rsidRPr="00EF4E1C" w:rsidRDefault="007F3D10" w:rsidP="1296B87A">
      <w:pPr>
        <w:jc w:val="both"/>
        <w:rPr>
          <w:rFonts w:cs="Arial"/>
          <w:color w:val="000000" w:themeColor="text1"/>
        </w:rPr>
      </w:pPr>
    </w:p>
    <w:p w14:paraId="33621FBC" w14:textId="49EFC3D9" w:rsidR="007F3D10" w:rsidRDefault="004A7A82" w:rsidP="1296B87A">
      <w:pPr>
        <w:jc w:val="both"/>
        <w:rPr>
          <w:rFonts w:cs="Arial"/>
          <w:b/>
          <w:bCs/>
          <w:color w:val="000000" w:themeColor="text1"/>
        </w:rPr>
      </w:pPr>
      <w:r w:rsidRPr="1296B87A">
        <w:rPr>
          <w:rFonts w:cs="Arial"/>
          <w:b/>
          <w:bCs/>
          <w:color w:val="000000" w:themeColor="text1"/>
        </w:rPr>
        <w:t xml:space="preserve">The externally funded schemes capital programme has a 2024/25 delivery programme of £3.137m and a total </w:t>
      </w:r>
      <w:proofErr w:type="gramStart"/>
      <w:r w:rsidRPr="1296B87A">
        <w:rPr>
          <w:rFonts w:cs="Arial"/>
          <w:b/>
          <w:bCs/>
          <w:color w:val="000000" w:themeColor="text1"/>
        </w:rPr>
        <w:t>3 year</w:t>
      </w:r>
      <w:proofErr w:type="gramEnd"/>
      <w:r w:rsidRPr="1296B87A">
        <w:rPr>
          <w:rFonts w:cs="Arial"/>
          <w:b/>
          <w:bCs/>
          <w:color w:val="000000" w:themeColor="text1"/>
        </w:rPr>
        <w:t xml:space="preserve"> delivery plan of £3.137m</w:t>
      </w:r>
    </w:p>
    <w:p w14:paraId="297BB351" w14:textId="77777777" w:rsidR="002F534E" w:rsidRDefault="002F534E" w:rsidP="1296B87A">
      <w:pPr>
        <w:jc w:val="both"/>
        <w:rPr>
          <w:rFonts w:cs="Arial"/>
          <w:color w:val="000000" w:themeColor="text1"/>
        </w:rPr>
      </w:pPr>
    </w:p>
    <w:p w14:paraId="566837AD" w14:textId="1AD64758" w:rsidR="007F3D10" w:rsidRDefault="004A7A82" w:rsidP="1296B87A">
      <w:pPr>
        <w:jc w:val="both"/>
        <w:rPr>
          <w:rFonts w:cs="Arial"/>
          <w:color w:val="000000" w:themeColor="text1"/>
        </w:rPr>
      </w:pPr>
      <w:r w:rsidRPr="1296B87A">
        <w:rPr>
          <w:rFonts w:cs="Arial"/>
          <w:color w:val="000000" w:themeColor="text1"/>
        </w:rPr>
        <w:t xml:space="preserve">The externally funded schemes block are projects funded from external contributions, predominately S106 and S278 contributions from developers. </w:t>
      </w:r>
    </w:p>
    <w:p w14:paraId="772CD384" w14:textId="31A2AD2D" w:rsidR="007F3D10" w:rsidRPr="00EF4E1C" w:rsidRDefault="007F3D10" w:rsidP="1296B87A">
      <w:pPr>
        <w:jc w:val="both"/>
        <w:rPr>
          <w:rFonts w:cs="Arial"/>
          <w:color w:val="000000" w:themeColor="text1"/>
        </w:rPr>
      </w:pPr>
    </w:p>
    <w:p w14:paraId="0DBB6FD5" w14:textId="676AF5A8" w:rsidR="007F3D10" w:rsidRDefault="004A7A82" w:rsidP="1296B87A">
      <w:pPr>
        <w:jc w:val="both"/>
        <w:rPr>
          <w:rFonts w:cs="Arial"/>
          <w:color w:val="000000" w:themeColor="text1"/>
        </w:rPr>
      </w:pPr>
      <w:r w:rsidRPr="1296B87A">
        <w:rPr>
          <w:rFonts w:cs="Arial"/>
          <w:color w:val="000000" w:themeColor="text1"/>
        </w:rPr>
        <w:t xml:space="preserve">The largest scheme within the delivery plan is the S278 Burnley Town2Turf project, which has a delivery plan of £1.270m of the overall block. The project is estimated to be completed by July 2024. It has been advised that expenditure is dependent on achieving good progress which is weather dependant. </w:t>
      </w:r>
    </w:p>
    <w:p w14:paraId="6ABE0209" w14:textId="688EC8CB" w:rsidR="007F3D10" w:rsidRPr="00EF4E1C" w:rsidRDefault="007F3D10" w:rsidP="1296B87A">
      <w:pPr>
        <w:jc w:val="both"/>
        <w:rPr>
          <w:rFonts w:cs="Arial"/>
          <w:color w:val="000000" w:themeColor="text1"/>
        </w:rPr>
      </w:pPr>
    </w:p>
    <w:p w14:paraId="1661144D" w14:textId="060291A1" w:rsidR="007F3D10" w:rsidRDefault="004A7A82" w:rsidP="1296B87A">
      <w:pPr>
        <w:jc w:val="both"/>
        <w:rPr>
          <w:rFonts w:cs="Arial"/>
          <w:color w:val="000000" w:themeColor="text1"/>
        </w:rPr>
      </w:pPr>
      <w:r w:rsidRPr="1296B87A">
        <w:rPr>
          <w:rFonts w:cs="Arial"/>
          <w:color w:val="000000" w:themeColor="text1"/>
        </w:rPr>
        <w:t>The section 278 project with works at Botany Bay/ Harwood roundabout in Chorley has a delivery plan of £0.460m</w:t>
      </w:r>
      <w:r w:rsidR="00340DB1">
        <w:rPr>
          <w:rFonts w:cs="Arial"/>
          <w:color w:val="000000" w:themeColor="text1"/>
        </w:rPr>
        <w:t xml:space="preserve"> with</w:t>
      </w:r>
      <w:r w:rsidRPr="1296B87A">
        <w:rPr>
          <w:rFonts w:cs="Arial"/>
          <w:color w:val="000000" w:themeColor="text1"/>
        </w:rPr>
        <w:t xml:space="preserve"> the concept design ha</w:t>
      </w:r>
      <w:r w:rsidR="00340DB1">
        <w:rPr>
          <w:rFonts w:cs="Arial"/>
          <w:color w:val="000000" w:themeColor="text1"/>
        </w:rPr>
        <w:t>ving</w:t>
      </w:r>
      <w:r w:rsidRPr="1296B87A">
        <w:rPr>
          <w:rFonts w:cs="Arial"/>
          <w:color w:val="000000" w:themeColor="text1"/>
        </w:rPr>
        <w:t xml:space="preserve"> commenced. </w:t>
      </w:r>
    </w:p>
    <w:p w14:paraId="25547935" w14:textId="29D254E0" w:rsidR="007F3D10" w:rsidRPr="00EF4E1C" w:rsidRDefault="007F3D10" w:rsidP="1296B87A">
      <w:pPr>
        <w:jc w:val="both"/>
        <w:rPr>
          <w:rFonts w:cs="Arial"/>
          <w:color w:val="000000" w:themeColor="text1"/>
        </w:rPr>
      </w:pPr>
    </w:p>
    <w:p w14:paraId="34BAB8AD" w14:textId="61A86FDD" w:rsidR="007F3D10" w:rsidRPr="00EF4E1C" w:rsidRDefault="004A7A82" w:rsidP="1296B87A">
      <w:pPr>
        <w:jc w:val="both"/>
        <w:rPr>
          <w:rFonts w:cs="Arial"/>
          <w:color w:val="000000" w:themeColor="text1"/>
        </w:rPr>
      </w:pPr>
      <w:r w:rsidRPr="1296B87A">
        <w:rPr>
          <w:rFonts w:cs="Arial"/>
          <w:color w:val="000000" w:themeColor="text1"/>
        </w:rPr>
        <w:t xml:space="preserve">The remaining delivery budget for 2024/25 covers slippage for </w:t>
      </w:r>
      <w:proofErr w:type="gramStart"/>
      <w:r w:rsidRPr="1296B87A">
        <w:rPr>
          <w:rFonts w:cs="Arial"/>
          <w:color w:val="000000" w:themeColor="text1"/>
        </w:rPr>
        <w:t>a number of</w:t>
      </w:r>
      <w:proofErr w:type="gramEnd"/>
      <w:r w:rsidRPr="1296B87A">
        <w:rPr>
          <w:rFonts w:cs="Arial"/>
          <w:color w:val="000000" w:themeColor="text1"/>
        </w:rPr>
        <w:t xml:space="preserve"> schemes.</w:t>
      </w:r>
    </w:p>
    <w:p w14:paraId="7A4B9731" w14:textId="65E9443C" w:rsidR="007F3D10" w:rsidRDefault="004A7A82" w:rsidP="1296B87A">
      <w:pPr>
        <w:jc w:val="both"/>
        <w:rPr>
          <w:rFonts w:cs="Arial"/>
          <w:color w:val="000000" w:themeColor="text1"/>
        </w:rPr>
      </w:pPr>
      <w:r w:rsidRPr="1296B87A">
        <w:rPr>
          <w:rFonts w:cs="Arial"/>
          <w:color w:val="000000" w:themeColor="text1"/>
        </w:rPr>
        <w:t>There are standard risks that could impact any of the externally funded projects. Such risks include supply chain issues, competitive prices and unfavourable weather conditions. Any of these issues could hinder the projects progress.</w:t>
      </w:r>
    </w:p>
    <w:p w14:paraId="40F4248B" w14:textId="06A3AA9A" w:rsidR="007F3D10" w:rsidRPr="00EF4E1C" w:rsidRDefault="007F3D10" w:rsidP="1296B87A">
      <w:pPr>
        <w:jc w:val="both"/>
        <w:rPr>
          <w:rFonts w:cs="Arial"/>
          <w:color w:val="000000" w:themeColor="text1"/>
        </w:rPr>
      </w:pPr>
    </w:p>
    <w:p w14:paraId="712AB824" w14:textId="7BA1FAA4" w:rsidR="007F3D10" w:rsidRPr="00EF4E1C" w:rsidRDefault="004A7A82" w:rsidP="1296B87A">
      <w:pPr>
        <w:jc w:val="both"/>
        <w:rPr>
          <w:rFonts w:cs="Arial"/>
          <w:color w:val="000000" w:themeColor="text1"/>
        </w:rPr>
      </w:pPr>
      <w:r w:rsidRPr="1296B87A">
        <w:rPr>
          <w:rFonts w:cs="Arial"/>
          <w:color w:val="000000" w:themeColor="text1"/>
        </w:rPr>
        <w:t>Delivery of any new schemes will be agreed with developers and added to the delivery plan as and when the project comes to fruition.</w:t>
      </w:r>
    </w:p>
    <w:p w14:paraId="0EE74081" w14:textId="4DDE99AA" w:rsidR="007F3D10" w:rsidRPr="00EF4E1C" w:rsidRDefault="007F3D10" w:rsidP="1296B87A">
      <w:pPr>
        <w:jc w:val="both"/>
        <w:rPr>
          <w:rFonts w:cs="Arial"/>
          <w:b/>
          <w:bCs/>
          <w:color w:val="000000" w:themeColor="text1"/>
        </w:rPr>
      </w:pPr>
    </w:p>
    <w:p w14:paraId="58A25F6A" w14:textId="7AEAB22B" w:rsidR="007F3D10" w:rsidRDefault="004A7A82" w:rsidP="1296B87A">
      <w:pPr>
        <w:jc w:val="both"/>
        <w:rPr>
          <w:rFonts w:cs="Arial"/>
          <w:b/>
          <w:bCs/>
          <w:color w:val="000000" w:themeColor="text1"/>
        </w:rPr>
      </w:pPr>
      <w:r w:rsidRPr="1296B87A">
        <w:rPr>
          <w:rFonts w:cs="Arial"/>
          <w:b/>
          <w:bCs/>
          <w:color w:val="000000" w:themeColor="text1"/>
        </w:rPr>
        <w:t>Central Systems and ICT</w:t>
      </w:r>
    </w:p>
    <w:p w14:paraId="68335B71" w14:textId="04B95828" w:rsidR="007F3D10" w:rsidRPr="00EF4E1C" w:rsidRDefault="007F3D10" w:rsidP="1296B87A">
      <w:pPr>
        <w:jc w:val="both"/>
        <w:rPr>
          <w:rFonts w:cs="Arial"/>
          <w:b/>
          <w:bCs/>
          <w:color w:val="000000" w:themeColor="text1"/>
        </w:rPr>
      </w:pPr>
    </w:p>
    <w:p w14:paraId="1547FA82" w14:textId="30954D1B" w:rsidR="007F3D10" w:rsidRDefault="004A7A82" w:rsidP="1296B87A">
      <w:pPr>
        <w:jc w:val="both"/>
        <w:rPr>
          <w:rFonts w:cs="Arial"/>
          <w:b/>
          <w:bCs/>
          <w:color w:val="000000" w:themeColor="text1"/>
        </w:rPr>
      </w:pPr>
      <w:r w:rsidRPr="1296B87A">
        <w:rPr>
          <w:rFonts w:cs="Arial"/>
          <w:b/>
          <w:bCs/>
          <w:color w:val="000000" w:themeColor="text1"/>
        </w:rPr>
        <w:t xml:space="preserve">The central systems and ICT capital programme has a 2024/25 delivery programme of £2.596m and a total </w:t>
      </w:r>
      <w:proofErr w:type="gramStart"/>
      <w:r w:rsidRPr="1296B87A">
        <w:rPr>
          <w:rFonts w:cs="Arial"/>
          <w:b/>
          <w:bCs/>
          <w:color w:val="000000" w:themeColor="text1"/>
        </w:rPr>
        <w:t>3 year</w:t>
      </w:r>
      <w:proofErr w:type="gramEnd"/>
      <w:r w:rsidRPr="1296B87A">
        <w:rPr>
          <w:rFonts w:cs="Arial"/>
          <w:b/>
          <w:bCs/>
          <w:color w:val="000000" w:themeColor="text1"/>
        </w:rPr>
        <w:t xml:space="preserve"> delivery plan of £3.396m</w:t>
      </w:r>
    </w:p>
    <w:p w14:paraId="05621BC1" w14:textId="0C4DF4C2" w:rsidR="007F3D10" w:rsidRPr="00EF4E1C" w:rsidRDefault="007F3D10" w:rsidP="1296B87A">
      <w:pPr>
        <w:jc w:val="both"/>
        <w:rPr>
          <w:rFonts w:cs="Arial"/>
          <w:b/>
          <w:bCs/>
          <w:color w:val="000000" w:themeColor="text1"/>
        </w:rPr>
      </w:pPr>
    </w:p>
    <w:bookmarkEnd w:id="4"/>
    <w:p w14:paraId="1FCF7C61" w14:textId="7192B531" w:rsidR="007F3D10" w:rsidRDefault="004A7A82" w:rsidP="1296B87A">
      <w:pPr>
        <w:jc w:val="both"/>
        <w:rPr>
          <w:rFonts w:cs="Arial"/>
          <w:color w:val="000000" w:themeColor="text1"/>
        </w:rPr>
      </w:pPr>
      <w:r w:rsidRPr="1296B87A">
        <w:rPr>
          <w:rFonts w:cs="Arial"/>
          <w:color w:val="000000" w:themeColor="text1"/>
        </w:rPr>
        <w:t>The ongoing document handling project to upgrade the software has a delivery plan of £0.136m and is forecast to be finalised in 2024/25.</w:t>
      </w:r>
    </w:p>
    <w:p w14:paraId="75E350BA" w14:textId="73DB2067" w:rsidR="007F3D10" w:rsidRPr="00EF4E1C" w:rsidRDefault="007F3D10" w:rsidP="1296B87A">
      <w:pPr>
        <w:jc w:val="both"/>
        <w:rPr>
          <w:rFonts w:cs="Arial"/>
          <w:color w:val="000000" w:themeColor="text1"/>
        </w:rPr>
      </w:pPr>
    </w:p>
    <w:p w14:paraId="2C9CF851" w14:textId="50F8C483" w:rsidR="007F3D10" w:rsidRDefault="004A7A82" w:rsidP="1296B87A">
      <w:pPr>
        <w:jc w:val="both"/>
        <w:rPr>
          <w:rFonts w:cs="Arial"/>
          <w:color w:val="000000" w:themeColor="text1"/>
        </w:rPr>
      </w:pPr>
      <w:r w:rsidRPr="1296B87A">
        <w:rPr>
          <w:rFonts w:cs="Arial"/>
          <w:color w:val="000000" w:themeColor="text1"/>
        </w:rPr>
        <w:t>The existing HAMS contract expires on 1 April 2023, but a two-year extension has been secured to 1 April 2025. An exercise to procure a new solution is underway has begun with an item to go to cabinet to approve the £1.800m capital cost.  Of this, £1.000m has been added to the delivery plan for 2024/25 with the remainder added in 2025/26.</w:t>
      </w:r>
    </w:p>
    <w:p w14:paraId="1CEF01F0" w14:textId="5D168701" w:rsidR="007F3D10" w:rsidRPr="00EF4E1C" w:rsidRDefault="007F3D10" w:rsidP="1296B87A">
      <w:pPr>
        <w:jc w:val="both"/>
        <w:rPr>
          <w:rFonts w:cs="Arial"/>
          <w:color w:val="000000" w:themeColor="text1"/>
        </w:rPr>
      </w:pPr>
    </w:p>
    <w:p w14:paraId="182A04BE" w14:textId="4BD308DE" w:rsidR="007F3D10" w:rsidRPr="00EF4E1C" w:rsidRDefault="004A7A82" w:rsidP="1296B87A">
      <w:pPr>
        <w:jc w:val="both"/>
        <w:rPr>
          <w:rFonts w:cs="Arial"/>
          <w:color w:val="000000" w:themeColor="text1"/>
        </w:rPr>
      </w:pPr>
      <w:r w:rsidRPr="1296B87A">
        <w:rPr>
          <w:rFonts w:cs="Arial"/>
          <w:color w:val="000000" w:themeColor="text1"/>
        </w:rPr>
        <w:t>Completion of the social care reform project to upgrade the Lancashire patient records system will progress in collaboration with the NHS to improve sharing of information. A delivery budget of £0.301m has been included in 2024/25 to finalise the programme.</w:t>
      </w:r>
    </w:p>
    <w:p w14:paraId="1F04BB7A" w14:textId="4D2C93BF" w:rsidR="007F3D10" w:rsidRDefault="004A7A82" w:rsidP="1296B87A">
      <w:pPr>
        <w:jc w:val="both"/>
        <w:rPr>
          <w:rFonts w:cs="Arial"/>
          <w:color w:val="000000" w:themeColor="text1"/>
        </w:rPr>
      </w:pPr>
      <w:r w:rsidRPr="1296B87A">
        <w:rPr>
          <w:rFonts w:cs="Arial"/>
          <w:color w:val="000000" w:themeColor="text1"/>
        </w:rPr>
        <w:lastRenderedPageBreak/>
        <w:t>The works on the Genesys telephony platform at the customer contact centre system will utilise the £0.744m that has slipped from 2023/24 in addition to the £0.348m already apportioned for 2024/25, spending £1.091 in 2024/25 to complete the upgrade.</w:t>
      </w:r>
    </w:p>
    <w:p w14:paraId="1398F19E" w14:textId="5AD9E961" w:rsidR="007F3D10" w:rsidRPr="00EF4E1C" w:rsidRDefault="007F3D10" w:rsidP="1296B87A">
      <w:pPr>
        <w:jc w:val="both"/>
        <w:rPr>
          <w:rFonts w:cs="Arial"/>
          <w:color w:val="000000" w:themeColor="text1"/>
        </w:rPr>
      </w:pPr>
    </w:p>
    <w:p w14:paraId="6D79FA03" w14:textId="46FAA26B" w:rsidR="007F3D10" w:rsidRPr="00EF4E1C" w:rsidRDefault="004A7A82" w:rsidP="1296B87A">
      <w:pPr>
        <w:jc w:val="both"/>
        <w:rPr>
          <w:rFonts w:cs="Arial"/>
          <w:color w:val="000000" w:themeColor="text1"/>
        </w:rPr>
      </w:pPr>
      <w:r w:rsidRPr="1296B87A">
        <w:rPr>
          <w:rFonts w:cs="Arial"/>
          <w:color w:val="000000" w:themeColor="text1"/>
        </w:rPr>
        <w:t>There is a placeholder in the capital programme for £3m per year of additional borrowing to facilitate the ICT strategy</w:t>
      </w:r>
      <w:r w:rsidR="004C562C">
        <w:rPr>
          <w:rFonts w:cs="Arial"/>
          <w:color w:val="000000" w:themeColor="text1"/>
        </w:rPr>
        <w:t xml:space="preserve"> and the potential need to replace or upgrade key systems</w:t>
      </w:r>
      <w:r w:rsidRPr="1296B87A">
        <w:rPr>
          <w:rFonts w:cs="Arial"/>
          <w:color w:val="000000" w:themeColor="text1"/>
        </w:rPr>
        <w:t>, however this will only be added into the budget and monitoring when there is formal Cabinet approval for specific spend.</w:t>
      </w:r>
    </w:p>
    <w:p w14:paraId="7B792718" w14:textId="213E23CE" w:rsidR="007F3D10" w:rsidRPr="00EF4E1C" w:rsidRDefault="007F3D10" w:rsidP="1296B87A">
      <w:pPr>
        <w:jc w:val="both"/>
        <w:rPr>
          <w:rFonts w:cs="Arial"/>
        </w:rPr>
      </w:pPr>
    </w:p>
    <w:p w14:paraId="71DDB409" w14:textId="1C13A55A" w:rsidR="007F3D10" w:rsidRDefault="004A7A82" w:rsidP="1296B87A">
      <w:pPr>
        <w:jc w:val="both"/>
        <w:rPr>
          <w:rFonts w:cs="Arial"/>
          <w:b/>
          <w:bCs/>
          <w:color w:val="000000" w:themeColor="text1"/>
        </w:rPr>
      </w:pPr>
      <w:r w:rsidRPr="1296B87A">
        <w:rPr>
          <w:rFonts w:cs="Arial"/>
          <w:b/>
          <w:bCs/>
          <w:color w:val="000000" w:themeColor="text1"/>
        </w:rPr>
        <w:t xml:space="preserve">Adult Social Care </w:t>
      </w:r>
    </w:p>
    <w:p w14:paraId="6150A1E6" w14:textId="0DA375BA" w:rsidR="007F3D10" w:rsidRPr="00EF4E1C" w:rsidRDefault="007F3D10" w:rsidP="1296B87A">
      <w:pPr>
        <w:jc w:val="both"/>
        <w:rPr>
          <w:rFonts w:cs="Arial"/>
          <w:b/>
          <w:bCs/>
          <w:color w:val="000000" w:themeColor="text1"/>
        </w:rPr>
      </w:pPr>
    </w:p>
    <w:p w14:paraId="6D5FCC4B" w14:textId="1CB32525" w:rsidR="007F3D10" w:rsidRDefault="004A7A82" w:rsidP="1296B87A">
      <w:pPr>
        <w:jc w:val="both"/>
        <w:rPr>
          <w:rFonts w:cs="Arial"/>
          <w:b/>
          <w:bCs/>
          <w:color w:val="000000" w:themeColor="text1"/>
        </w:rPr>
      </w:pPr>
      <w:r w:rsidRPr="1296B87A">
        <w:rPr>
          <w:rFonts w:cs="Arial"/>
          <w:b/>
          <w:bCs/>
          <w:color w:val="000000" w:themeColor="text1"/>
        </w:rPr>
        <w:t xml:space="preserve">The adult social care capital programme has a 2024/25 delivery programme of £18.174m and a total </w:t>
      </w:r>
      <w:proofErr w:type="gramStart"/>
      <w:r w:rsidRPr="1296B87A">
        <w:rPr>
          <w:rFonts w:cs="Arial"/>
          <w:b/>
          <w:bCs/>
          <w:color w:val="000000" w:themeColor="text1"/>
        </w:rPr>
        <w:t>3 year</w:t>
      </w:r>
      <w:proofErr w:type="gramEnd"/>
      <w:r w:rsidRPr="1296B87A">
        <w:rPr>
          <w:rFonts w:cs="Arial"/>
          <w:b/>
          <w:bCs/>
          <w:color w:val="000000" w:themeColor="text1"/>
        </w:rPr>
        <w:t xml:space="preserve"> delivery plan of £54.522m</w:t>
      </w:r>
    </w:p>
    <w:p w14:paraId="0F2D4DFD" w14:textId="7441D923" w:rsidR="007F3D10" w:rsidRPr="00EF4E1C" w:rsidRDefault="007F3D10" w:rsidP="1296B87A">
      <w:pPr>
        <w:jc w:val="both"/>
        <w:rPr>
          <w:rFonts w:cs="Arial"/>
          <w:b/>
          <w:bCs/>
          <w:color w:val="000000" w:themeColor="text1"/>
        </w:rPr>
      </w:pPr>
    </w:p>
    <w:p w14:paraId="58159662" w14:textId="1326BCB9" w:rsidR="007F3D10" w:rsidRDefault="004A7A82" w:rsidP="1296B87A">
      <w:pPr>
        <w:jc w:val="both"/>
        <w:rPr>
          <w:rFonts w:cs="Arial"/>
          <w:color w:val="000000" w:themeColor="text1"/>
        </w:rPr>
      </w:pPr>
      <w:r w:rsidRPr="1296B87A">
        <w:rPr>
          <w:rFonts w:cs="Arial"/>
          <w:color w:val="000000" w:themeColor="text1"/>
        </w:rPr>
        <w:t xml:space="preserve">The disabled facilities grant (DFG) is capital funding for the provision of home adaptations to help older and disabled people to live as independently and safely as possible in their homes. </w:t>
      </w:r>
    </w:p>
    <w:p w14:paraId="4F3725A3" w14:textId="4971F3DC" w:rsidR="007F3D10" w:rsidRPr="00EF4E1C" w:rsidRDefault="007F3D10" w:rsidP="1296B87A">
      <w:pPr>
        <w:jc w:val="both"/>
        <w:rPr>
          <w:rFonts w:cs="Arial"/>
          <w:color w:val="000000" w:themeColor="text1"/>
        </w:rPr>
      </w:pPr>
    </w:p>
    <w:p w14:paraId="11ABB79C" w14:textId="4599623D" w:rsidR="007F3D10" w:rsidRPr="00EF4E1C" w:rsidRDefault="004A7A82" w:rsidP="1296B87A">
      <w:pPr>
        <w:jc w:val="both"/>
        <w:rPr>
          <w:rFonts w:cs="Arial"/>
          <w:color w:val="000000" w:themeColor="text1"/>
        </w:rPr>
      </w:pPr>
      <w:r w:rsidRPr="1296B87A">
        <w:rPr>
          <w:rFonts w:cs="Arial"/>
          <w:color w:val="000000" w:themeColor="text1"/>
        </w:rPr>
        <w:t xml:space="preserve">The DFG allocation has been included in the delivery plan at the 2023/24 figure. This will be amended in the May 2024 delivery plan should the final confirmation of the grant from </w:t>
      </w:r>
      <w:r w:rsidR="00823419">
        <w:rPr>
          <w:rFonts w:cs="Arial"/>
          <w:color w:val="000000" w:themeColor="text1"/>
        </w:rPr>
        <w:t>Department for Levelling Up, Housing and Communities</w:t>
      </w:r>
      <w:r w:rsidR="00F22336">
        <w:rPr>
          <w:rFonts w:cs="Arial"/>
          <w:color w:val="000000" w:themeColor="text1"/>
        </w:rPr>
        <w:t xml:space="preserve"> (</w:t>
      </w:r>
      <w:r w:rsidRPr="1296B87A">
        <w:rPr>
          <w:rFonts w:cs="Arial"/>
          <w:color w:val="000000" w:themeColor="text1"/>
        </w:rPr>
        <w:t>DLUHC</w:t>
      </w:r>
      <w:r w:rsidR="00F22336">
        <w:rPr>
          <w:rFonts w:cs="Arial"/>
          <w:color w:val="000000" w:themeColor="text1"/>
        </w:rPr>
        <w:t>)</w:t>
      </w:r>
      <w:r w:rsidRPr="1296B87A">
        <w:rPr>
          <w:rFonts w:cs="Arial"/>
          <w:color w:val="000000" w:themeColor="text1"/>
        </w:rPr>
        <w:t xml:space="preserve"> award a different amount.</w:t>
      </w:r>
    </w:p>
    <w:p w14:paraId="03AF838A" w14:textId="20F2BC0D" w:rsidR="007F3D10" w:rsidRPr="00EF4E1C" w:rsidRDefault="007F3D10" w:rsidP="007F3D10">
      <w:pPr>
        <w:jc w:val="both"/>
        <w:rPr>
          <w:rFonts w:cs="Arial"/>
        </w:rPr>
      </w:pPr>
    </w:p>
    <w:p w14:paraId="7F55EA85" w14:textId="0C9A5FF4" w:rsidR="007F3D10" w:rsidRDefault="004A7A82" w:rsidP="1296B87A">
      <w:pPr>
        <w:jc w:val="both"/>
        <w:rPr>
          <w:rFonts w:cs="Arial"/>
          <w:b/>
          <w:bCs/>
          <w:color w:val="000000" w:themeColor="text1"/>
        </w:rPr>
      </w:pPr>
      <w:bookmarkStart w:id="5" w:name="_Hlk92786961"/>
      <w:r w:rsidRPr="1296B87A">
        <w:rPr>
          <w:rFonts w:cs="Arial"/>
          <w:b/>
          <w:bCs/>
          <w:color w:val="000000" w:themeColor="text1"/>
        </w:rPr>
        <w:t xml:space="preserve">Corporate – Property </w:t>
      </w:r>
    </w:p>
    <w:p w14:paraId="3F219C1D" w14:textId="77777777" w:rsidR="00883C0D" w:rsidRPr="00EF4E1C" w:rsidRDefault="00883C0D" w:rsidP="1296B87A">
      <w:pPr>
        <w:jc w:val="both"/>
        <w:rPr>
          <w:rFonts w:cs="Arial"/>
          <w:b/>
          <w:bCs/>
          <w:color w:val="000000" w:themeColor="text1"/>
        </w:rPr>
      </w:pPr>
    </w:p>
    <w:p w14:paraId="1E12E2A9" w14:textId="04669AD1" w:rsidR="007F3D10" w:rsidRPr="00EF4E1C" w:rsidRDefault="004A7A82" w:rsidP="1296B87A">
      <w:pPr>
        <w:jc w:val="both"/>
        <w:rPr>
          <w:rFonts w:cs="Arial"/>
          <w:b/>
          <w:bCs/>
          <w:color w:val="000000" w:themeColor="text1"/>
        </w:rPr>
      </w:pPr>
      <w:r w:rsidRPr="1296B87A">
        <w:rPr>
          <w:rFonts w:cs="Arial"/>
          <w:b/>
          <w:bCs/>
          <w:color w:val="000000" w:themeColor="text1"/>
        </w:rPr>
        <w:t xml:space="preserve">The corporate – property capital programme </w:t>
      </w:r>
      <w:bookmarkStart w:id="6" w:name="_Hlk92786971"/>
      <w:bookmarkEnd w:id="5"/>
      <w:r w:rsidRPr="1296B87A">
        <w:rPr>
          <w:rFonts w:cs="Arial"/>
          <w:b/>
          <w:bCs/>
          <w:color w:val="000000" w:themeColor="text1"/>
        </w:rPr>
        <w:t xml:space="preserve">has a 2024/25 delivery programme of £10.513m and a total </w:t>
      </w:r>
      <w:proofErr w:type="gramStart"/>
      <w:r w:rsidRPr="1296B87A">
        <w:rPr>
          <w:rFonts w:cs="Arial"/>
          <w:b/>
          <w:bCs/>
          <w:color w:val="000000" w:themeColor="text1"/>
        </w:rPr>
        <w:t>3 year</w:t>
      </w:r>
      <w:proofErr w:type="gramEnd"/>
      <w:r w:rsidRPr="1296B87A">
        <w:rPr>
          <w:rFonts w:cs="Arial"/>
          <w:b/>
          <w:bCs/>
          <w:color w:val="000000" w:themeColor="text1"/>
        </w:rPr>
        <w:t xml:space="preserve"> delivery plan of £14.51</w:t>
      </w:r>
      <w:r w:rsidR="008A604E">
        <w:rPr>
          <w:rFonts w:cs="Arial"/>
          <w:b/>
          <w:bCs/>
          <w:color w:val="000000" w:themeColor="text1"/>
        </w:rPr>
        <w:t>5</w:t>
      </w:r>
      <w:r w:rsidRPr="1296B87A">
        <w:rPr>
          <w:rFonts w:cs="Arial"/>
          <w:b/>
          <w:bCs/>
          <w:color w:val="000000" w:themeColor="text1"/>
        </w:rPr>
        <w:t>m</w:t>
      </w:r>
    </w:p>
    <w:p w14:paraId="5E847B95" w14:textId="77777777" w:rsidR="004C562C" w:rsidRDefault="004C562C" w:rsidP="1296B87A">
      <w:pPr>
        <w:jc w:val="both"/>
        <w:rPr>
          <w:rFonts w:cs="Arial"/>
          <w:color w:val="000000" w:themeColor="text1"/>
        </w:rPr>
      </w:pPr>
    </w:p>
    <w:p w14:paraId="7DD075D8" w14:textId="595E770D" w:rsidR="004C562C" w:rsidRDefault="004A7A82" w:rsidP="1296B87A">
      <w:pPr>
        <w:jc w:val="both"/>
        <w:rPr>
          <w:rFonts w:cs="Arial"/>
          <w:color w:val="000000" w:themeColor="text1"/>
        </w:rPr>
      </w:pPr>
      <w:r w:rsidRPr="1296B87A">
        <w:rPr>
          <w:rFonts w:cs="Arial"/>
          <w:color w:val="000000" w:themeColor="text1"/>
        </w:rPr>
        <w:t xml:space="preserve">The 'where our children live' scheme is a strategy set to reshape children's residential provision. It has a total delivery plan of £3.603m which is allocated over several projects. It is expected to receive additional funding in 2024/25 for planned works which has been included in the delivery plan. </w:t>
      </w:r>
      <w:proofErr w:type="gramStart"/>
      <w:r w:rsidRPr="1296B87A">
        <w:rPr>
          <w:rFonts w:cs="Arial"/>
          <w:color w:val="000000" w:themeColor="text1"/>
        </w:rPr>
        <w:t>The majority of</w:t>
      </w:r>
      <w:proofErr w:type="gramEnd"/>
      <w:r w:rsidRPr="1296B87A">
        <w:rPr>
          <w:rFonts w:cs="Arial"/>
          <w:color w:val="000000" w:themeColor="text1"/>
        </w:rPr>
        <w:t xml:space="preserve"> the work will be completed and delivered in 2024/25</w:t>
      </w:r>
      <w:r w:rsidR="00673036">
        <w:rPr>
          <w:rFonts w:cs="Arial"/>
          <w:color w:val="000000" w:themeColor="text1"/>
        </w:rPr>
        <w:t>, although</w:t>
      </w:r>
      <w:r w:rsidRPr="1296B87A">
        <w:rPr>
          <w:rFonts w:cs="Arial"/>
          <w:color w:val="000000" w:themeColor="text1"/>
        </w:rPr>
        <w:t xml:space="preserve"> it is expected that some will fall in to 2025/26. The 2024/25 delivery plan figure also includes works slipped from 2023/24.</w:t>
      </w:r>
    </w:p>
    <w:p w14:paraId="558E2810" w14:textId="1B85F9E5" w:rsidR="007F3D10" w:rsidRPr="00EF4E1C" w:rsidRDefault="004A7A82" w:rsidP="1296B87A">
      <w:pPr>
        <w:jc w:val="both"/>
        <w:rPr>
          <w:rFonts w:cs="Arial"/>
          <w:color w:val="000000" w:themeColor="text1"/>
        </w:rPr>
      </w:pPr>
      <w:r w:rsidRPr="1296B87A">
        <w:rPr>
          <w:rFonts w:cs="Arial"/>
          <w:color w:val="000000" w:themeColor="text1"/>
        </w:rPr>
        <w:t xml:space="preserve"> </w:t>
      </w:r>
    </w:p>
    <w:p w14:paraId="49A3D045" w14:textId="708DAA68" w:rsidR="007F3D10" w:rsidRDefault="004A7A82" w:rsidP="1296B87A">
      <w:pPr>
        <w:jc w:val="both"/>
        <w:rPr>
          <w:rFonts w:cs="Arial"/>
          <w:color w:val="000000" w:themeColor="text1"/>
        </w:rPr>
      </w:pPr>
      <w:r w:rsidRPr="1296B87A">
        <w:rPr>
          <w:rFonts w:cs="Arial"/>
          <w:color w:val="000000" w:themeColor="text1"/>
        </w:rPr>
        <w:t xml:space="preserve">The closed landfill site structural review project at </w:t>
      </w:r>
      <w:proofErr w:type="spellStart"/>
      <w:r w:rsidRPr="1296B87A">
        <w:rPr>
          <w:rFonts w:cs="Arial"/>
          <w:color w:val="000000" w:themeColor="text1"/>
        </w:rPr>
        <w:t>Waidshouse</w:t>
      </w:r>
      <w:proofErr w:type="spellEnd"/>
      <w:r w:rsidRPr="1296B87A">
        <w:rPr>
          <w:rFonts w:cs="Arial"/>
          <w:color w:val="000000" w:themeColor="text1"/>
        </w:rPr>
        <w:t xml:space="preserve"> has a delivery plan of £0.320m. It is estimated that the project will start and complete in 2024/25 but completion will be dependent upon several factors such as contractor availability, manufacturing lead time and weather conditions. </w:t>
      </w:r>
    </w:p>
    <w:p w14:paraId="2C79B478" w14:textId="371E4471" w:rsidR="007F3D10" w:rsidRPr="00EF4E1C" w:rsidRDefault="007F3D10" w:rsidP="1296B87A">
      <w:pPr>
        <w:jc w:val="both"/>
        <w:rPr>
          <w:rFonts w:cs="Arial"/>
          <w:color w:val="000000" w:themeColor="text1"/>
        </w:rPr>
      </w:pPr>
    </w:p>
    <w:p w14:paraId="540D2B6C" w14:textId="2AE10CC8" w:rsidR="007F3D10" w:rsidRDefault="004A7A82" w:rsidP="1296B87A">
      <w:pPr>
        <w:jc w:val="both"/>
        <w:rPr>
          <w:rFonts w:cs="Arial"/>
          <w:color w:val="000000" w:themeColor="text1"/>
        </w:rPr>
      </w:pPr>
      <w:r w:rsidRPr="1296B87A">
        <w:rPr>
          <w:rFonts w:cs="Arial"/>
          <w:color w:val="000000" w:themeColor="text1"/>
        </w:rPr>
        <w:t>The operational premises programme has a 2024/25 delivery plan of £4.751m across 62 projects. A notable project is the repairs at Preston County Hall with a delivery plan figure of £0.647m. It is currently in the concept and design stage with delivery due in 2024/25. The workplan within the operational premises programme will be revised once the 2023/24 slippage figures are known and kept up to date in line with the moving priorities of the programme.</w:t>
      </w:r>
    </w:p>
    <w:p w14:paraId="1847A12F" w14:textId="63FCA1F2" w:rsidR="007F3D10" w:rsidRPr="00EF4E1C" w:rsidRDefault="007F3D10" w:rsidP="1296B87A">
      <w:pPr>
        <w:jc w:val="both"/>
        <w:rPr>
          <w:rFonts w:cs="Arial"/>
          <w:color w:val="000000" w:themeColor="text1"/>
        </w:rPr>
      </w:pPr>
    </w:p>
    <w:p w14:paraId="0EFF3E7A" w14:textId="5B8AA7A3" w:rsidR="007F3D10" w:rsidRPr="00EF4E1C" w:rsidRDefault="004A7A82" w:rsidP="1296B87A">
      <w:pPr>
        <w:jc w:val="both"/>
        <w:rPr>
          <w:rFonts w:cs="Arial"/>
          <w:color w:val="000000" w:themeColor="text1"/>
        </w:rPr>
      </w:pPr>
      <w:r w:rsidRPr="1296B87A">
        <w:rPr>
          <w:rFonts w:cs="Arial"/>
          <w:color w:val="000000" w:themeColor="text1"/>
        </w:rPr>
        <w:t xml:space="preserve">The building condition programme has a 2024/25 delivery plan of £1.252m. This is across 27 projects. There will be a further list of properties that require condition work following the latest building surveys – an estimate of the amount required for these for </w:t>
      </w:r>
      <w:r w:rsidRPr="1296B87A">
        <w:rPr>
          <w:rFonts w:cs="Arial"/>
          <w:color w:val="000000" w:themeColor="text1"/>
        </w:rPr>
        <w:lastRenderedPageBreak/>
        <w:t>24/25 is £10m and will be added to the programme when the list of schemes is brought forward</w:t>
      </w:r>
      <w:r w:rsidR="0045420D">
        <w:rPr>
          <w:rFonts w:cs="Arial"/>
          <w:color w:val="000000" w:themeColor="text1"/>
        </w:rPr>
        <w:t xml:space="preserve"> for Cabinet approval</w:t>
      </w:r>
      <w:r w:rsidRPr="1296B87A">
        <w:rPr>
          <w:rFonts w:cs="Arial"/>
          <w:color w:val="000000" w:themeColor="text1"/>
        </w:rPr>
        <w:t xml:space="preserve">.  </w:t>
      </w:r>
    </w:p>
    <w:p w14:paraId="411E3616" w14:textId="77777777" w:rsidR="003C68A4" w:rsidRPr="00EF4E1C" w:rsidRDefault="003C68A4" w:rsidP="1296B87A">
      <w:pPr>
        <w:jc w:val="both"/>
        <w:rPr>
          <w:rFonts w:cs="Arial"/>
          <w:b/>
          <w:bCs/>
          <w:color w:val="000000" w:themeColor="text1"/>
        </w:rPr>
      </w:pPr>
    </w:p>
    <w:p w14:paraId="071E8952" w14:textId="53612E8B" w:rsidR="007F3D10" w:rsidRDefault="004A7A82" w:rsidP="1296B87A">
      <w:pPr>
        <w:jc w:val="both"/>
        <w:rPr>
          <w:rFonts w:cs="Arial"/>
          <w:b/>
          <w:bCs/>
          <w:color w:val="000000" w:themeColor="text1"/>
        </w:rPr>
      </w:pPr>
      <w:r w:rsidRPr="1296B87A">
        <w:rPr>
          <w:rFonts w:cs="Arial"/>
          <w:b/>
          <w:bCs/>
          <w:color w:val="000000" w:themeColor="text1"/>
        </w:rPr>
        <w:t>Economic Development</w:t>
      </w:r>
    </w:p>
    <w:p w14:paraId="10073E12" w14:textId="77777777" w:rsidR="003C68A4" w:rsidRPr="00EF4E1C" w:rsidRDefault="003C68A4" w:rsidP="1296B87A">
      <w:pPr>
        <w:jc w:val="both"/>
        <w:rPr>
          <w:rFonts w:cs="Arial"/>
          <w:b/>
          <w:bCs/>
          <w:color w:val="000000" w:themeColor="text1"/>
        </w:rPr>
      </w:pPr>
    </w:p>
    <w:p w14:paraId="3986C543" w14:textId="65496A99" w:rsidR="007F3D10" w:rsidRDefault="004A7A82" w:rsidP="1296B87A">
      <w:pPr>
        <w:jc w:val="both"/>
        <w:rPr>
          <w:rFonts w:cs="Arial"/>
          <w:b/>
          <w:bCs/>
          <w:color w:val="000000" w:themeColor="text1"/>
        </w:rPr>
      </w:pPr>
      <w:r w:rsidRPr="1296B87A">
        <w:rPr>
          <w:rFonts w:cs="Arial"/>
          <w:b/>
          <w:bCs/>
          <w:color w:val="000000" w:themeColor="text1"/>
        </w:rPr>
        <w:t xml:space="preserve">The economic development capital programme </w:t>
      </w:r>
      <w:bookmarkEnd w:id="6"/>
      <w:r w:rsidRPr="1296B87A">
        <w:rPr>
          <w:rFonts w:cs="Arial"/>
          <w:b/>
          <w:bCs/>
          <w:color w:val="000000" w:themeColor="text1"/>
        </w:rPr>
        <w:t xml:space="preserve">has a 2024/25 delivery programme of £35.270m and a total </w:t>
      </w:r>
      <w:proofErr w:type="gramStart"/>
      <w:r w:rsidRPr="1296B87A">
        <w:rPr>
          <w:rFonts w:cs="Arial"/>
          <w:b/>
          <w:bCs/>
          <w:color w:val="000000" w:themeColor="text1"/>
        </w:rPr>
        <w:t>3 year</w:t>
      </w:r>
      <w:proofErr w:type="gramEnd"/>
      <w:r w:rsidRPr="1296B87A">
        <w:rPr>
          <w:rFonts w:cs="Arial"/>
          <w:b/>
          <w:bCs/>
          <w:color w:val="000000" w:themeColor="text1"/>
        </w:rPr>
        <w:t xml:space="preserve"> delivery plan of £99.031m</w:t>
      </w:r>
    </w:p>
    <w:p w14:paraId="756BE592" w14:textId="77777777" w:rsidR="001059B3" w:rsidRPr="00EF4E1C" w:rsidRDefault="001059B3" w:rsidP="1296B87A">
      <w:pPr>
        <w:jc w:val="both"/>
        <w:rPr>
          <w:rFonts w:cs="Arial"/>
          <w:b/>
          <w:bCs/>
          <w:color w:val="000000" w:themeColor="text1"/>
        </w:rPr>
      </w:pPr>
    </w:p>
    <w:p w14:paraId="024A7735" w14:textId="3C03FDBE" w:rsidR="007F3D10" w:rsidRDefault="004A7A82" w:rsidP="1296B87A">
      <w:pPr>
        <w:jc w:val="both"/>
        <w:rPr>
          <w:rFonts w:cs="Arial"/>
          <w:color w:val="000000" w:themeColor="text1"/>
        </w:rPr>
      </w:pPr>
      <w:r w:rsidRPr="1296B87A">
        <w:rPr>
          <w:rFonts w:cs="Arial"/>
          <w:color w:val="000000" w:themeColor="text1"/>
        </w:rPr>
        <w:t xml:space="preserve">The grant funded low carbon investment projects to implement energy savings options in council buildings is forecast to deliver £0.850m in 2024/25, which includes the forecasted slippage of £0.364m from 2023/24. After a protracted start, contracts are now in place for </w:t>
      </w:r>
      <w:proofErr w:type="gramStart"/>
      <w:r w:rsidRPr="1296B87A">
        <w:rPr>
          <w:rFonts w:cs="Arial"/>
          <w:color w:val="000000" w:themeColor="text1"/>
        </w:rPr>
        <w:t>the majority of</w:t>
      </w:r>
      <w:proofErr w:type="gramEnd"/>
      <w:r w:rsidRPr="1296B87A">
        <w:rPr>
          <w:rFonts w:cs="Arial"/>
          <w:color w:val="000000" w:themeColor="text1"/>
        </w:rPr>
        <w:t xml:space="preserve"> the larger projects and in the pipeline for those remaining. </w:t>
      </w:r>
    </w:p>
    <w:p w14:paraId="7DCBD3E3" w14:textId="4AA39A55" w:rsidR="007F3D10" w:rsidRPr="00EF4E1C" w:rsidRDefault="007F3D10" w:rsidP="1296B87A">
      <w:pPr>
        <w:jc w:val="both"/>
        <w:rPr>
          <w:rFonts w:cs="Arial"/>
          <w:color w:val="000000" w:themeColor="text1"/>
        </w:rPr>
      </w:pPr>
    </w:p>
    <w:p w14:paraId="0F8CAF0B" w14:textId="373F3CA7" w:rsidR="007F3D10" w:rsidRDefault="004A7A82" w:rsidP="1296B87A">
      <w:pPr>
        <w:jc w:val="both"/>
        <w:rPr>
          <w:rFonts w:cs="Arial"/>
          <w:color w:val="000000" w:themeColor="text1"/>
        </w:rPr>
      </w:pPr>
      <w:r w:rsidRPr="1296B87A">
        <w:rPr>
          <w:rFonts w:cs="Arial"/>
          <w:color w:val="000000" w:themeColor="text1"/>
        </w:rPr>
        <w:t xml:space="preserve">Samlesbury enterprise zone will be a national centre of excellence for advanced engineering and manufacturing related companies. The earthworks on zones B and C have seen delays due to the weather over winter and will likely be completed in the </w:t>
      </w:r>
      <w:r w:rsidR="00DF6E37">
        <w:rPr>
          <w:rFonts w:cs="Arial"/>
          <w:color w:val="000000" w:themeColor="text1"/>
        </w:rPr>
        <w:t>second</w:t>
      </w:r>
      <w:r w:rsidRPr="1296B87A">
        <w:rPr>
          <w:rFonts w:cs="Arial"/>
          <w:color w:val="000000" w:themeColor="text1"/>
        </w:rPr>
        <w:t xml:space="preserve"> quarter of 2024/25.  Works will then progress to drainage works for the site followed by the remaining utilities works.  A delivery budget of £4.525m has been included for this in 2024/25. </w:t>
      </w:r>
    </w:p>
    <w:p w14:paraId="2324020E" w14:textId="089F8107" w:rsidR="007F3D10" w:rsidRPr="00EF4E1C" w:rsidRDefault="007F3D10" w:rsidP="1296B87A">
      <w:pPr>
        <w:jc w:val="both"/>
        <w:rPr>
          <w:rFonts w:cs="Arial"/>
          <w:color w:val="000000" w:themeColor="text1"/>
        </w:rPr>
      </w:pPr>
    </w:p>
    <w:p w14:paraId="376F8A62" w14:textId="334DE5E8" w:rsidR="007F3D10" w:rsidRDefault="004A7A82" w:rsidP="1296B87A">
      <w:pPr>
        <w:jc w:val="both"/>
        <w:rPr>
          <w:rFonts w:cs="Arial"/>
          <w:color w:val="000000" w:themeColor="text1"/>
        </w:rPr>
      </w:pPr>
      <w:r w:rsidRPr="1296B87A">
        <w:rPr>
          <w:rFonts w:cs="Arial"/>
          <w:color w:val="000000" w:themeColor="text1"/>
        </w:rPr>
        <w:t xml:space="preserve">The </w:t>
      </w:r>
      <w:proofErr w:type="spellStart"/>
      <w:r w:rsidRPr="1296B87A">
        <w:rPr>
          <w:rFonts w:cs="Arial"/>
          <w:color w:val="000000" w:themeColor="text1"/>
        </w:rPr>
        <w:t>Farington</w:t>
      </w:r>
      <w:proofErr w:type="spellEnd"/>
      <w:r w:rsidRPr="1296B87A">
        <w:rPr>
          <w:rFonts w:cs="Arial"/>
          <w:color w:val="000000" w:themeColor="text1"/>
        </w:rPr>
        <w:t xml:space="preserve"> cricket facility in partnership with Lancashire cricket club programme has commenced work in December </w:t>
      </w:r>
      <w:r w:rsidR="00BE375F">
        <w:rPr>
          <w:rFonts w:cs="Arial"/>
          <w:color w:val="000000" w:themeColor="text1"/>
        </w:rPr>
        <w:t>20</w:t>
      </w:r>
      <w:r w:rsidRPr="1296B87A">
        <w:rPr>
          <w:rFonts w:cs="Arial"/>
          <w:color w:val="000000" w:themeColor="text1"/>
        </w:rPr>
        <w:t xml:space="preserve">23 with completion of the first and second phase estimated by May 2025 to allow cricket in the 2025 season.   A delivery plan of £15.3m has been estimated for 2024/25 and a revised programme of work will be available for the final delivery plan in May 2024 following review by consultants which is underway. </w:t>
      </w:r>
    </w:p>
    <w:p w14:paraId="4D1CAD63" w14:textId="1693ABB1" w:rsidR="007F3D10" w:rsidRPr="00EF4E1C" w:rsidRDefault="007F3D10" w:rsidP="1296B87A">
      <w:pPr>
        <w:jc w:val="both"/>
        <w:rPr>
          <w:rFonts w:cs="Arial"/>
          <w:color w:val="000000" w:themeColor="text1"/>
        </w:rPr>
      </w:pPr>
    </w:p>
    <w:p w14:paraId="60349C5C" w14:textId="370B2C56" w:rsidR="007F3D10" w:rsidRDefault="004A7A82" w:rsidP="1296B87A">
      <w:pPr>
        <w:jc w:val="both"/>
        <w:rPr>
          <w:rFonts w:cs="Arial"/>
          <w:color w:val="000000" w:themeColor="text1"/>
        </w:rPr>
      </w:pPr>
      <w:r w:rsidRPr="1296B87A">
        <w:rPr>
          <w:rFonts w:cs="Arial"/>
          <w:color w:val="000000" w:themeColor="text1"/>
        </w:rPr>
        <w:t xml:space="preserve">Revised plans have now been approved for the Lancashire </w:t>
      </w:r>
      <w:r w:rsidR="00A05E78">
        <w:rPr>
          <w:rFonts w:cs="Arial"/>
          <w:color w:val="000000" w:themeColor="text1"/>
        </w:rPr>
        <w:t>C</w:t>
      </w:r>
      <w:r w:rsidRPr="1296B87A">
        <w:rPr>
          <w:rFonts w:cs="Arial"/>
          <w:color w:val="000000" w:themeColor="text1"/>
        </w:rPr>
        <w:t xml:space="preserve">entral site at Cuerden in conjunction with Maple Grove developments. Works on the commercial and residential areas are to commence initially and again an interim figure of £10.962m for both the onsite infrastructure and the off-site infrastructure has been included in the 2024/25 delivery plan but is expected to be refined as further information on the schedule will be available prior to the final delivery plan now planning has been achieved. The offsite infrastructure profile which will be updated when the current design and costing work is completed to tie into the business case submission for MRN funding and the profile of spend that will result.  </w:t>
      </w:r>
    </w:p>
    <w:p w14:paraId="5D5F56C1" w14:textId="00CF64EC" w:rsidR="007F3D10" w:rsidRPr="00EF4E1C" w:rsidRDefault="007F3D10" w:rsidP="1296B87A">
      <w:pPr>
        <w:jc w:val="both"/>
        <w:rPr>
          <w:rFonts w:cs="Arial"/>
          <w:color w:val="000000" w:themeColor="text1"/>
        </w:rPr>
      </w:pPr>
    </w:p>
    <w:p w14:paraId="2D900215" w14:textId="3D49F6FA" w:rsidR="007F3D10" w:rsidRDefault="004A7A82" w:rsidP="1296B87A">
      <w:pPr>
        <w:jc w:val="both"/>
        <w:rPr>
          <w:rFonts w:cs="Arial"/>
          <w:color w:val="000000" w:themeColor="text1"/>
        </w:rPr>
      </w:pPr>
      <w:r>
        <w:rPr>
          <w:rFonts w:cs="Arial"/>
          <w:color w:val="000000" w:themeColor="text1"/>
        </w:rPr>
        <w:t>Provision has been made in the 2024/25</w:t>
      </w:r>
      <w:r w:rsidR="00075473">
        <w:rPr>
          <w:rFonts w:cs="Arial"/>
          <w:color w:val="000000" w:themeColor="text1"/>
        </w:rPr>
        <w:t xml:space="preserve"> programme</w:t>
      </w:r>
      <w:r>
        <w:rPr>
          <w:rFonts w:cs="Arial"/>
          <w:color w:val="000000" w:themeColor="text1"/>
        </w:rPr>
        <w:t xml:space="preserve"> f</w:t>
      </w:r>
      <w:r w:rsidR="008A38AD">
        <w:rPr>
          <w:rFonts w:cs="Arial"/>
          <w:color w:val="000000" w:themeColor="text1"/>
        </w:rPr>
        <w:t>or</w:t>
      </w:r>
      <w:r>
        <w:rPr>
          <w:rFonts w:cs="Arial"/>
          <w:color w:val="000000" w:themeColor="text1"/>
        </w:rPr>
        <w:t xml:space="preserve"> schemes slipped </w:t>
      </w:r>
      <w:r w:rsidR="008A38AD">
        <w:rPr>
          <w:rFonts w:cs="Arial"/>
          <w:color w:val="000000" w:themeColor="text1"/>
        </w:rPr>
        <w:t>in</w:t>
      </w:r>
      <w:r>
        <w:rPr>
          <w:rFonts w:cs="Arial"/>
          <w:color w:val="000000" w:themeColor="text1"/>
        </w:rPr>
        <w:t xml:space="preserve"> the 2023/24 delivery programme</w:t>
      </w:r>
      <w:r w:rsidR="008A38AD">
        <w:rPr>
          <w:rFonts w:cs="Arial"/>
          <w:color w:val="000000" w:themeColor="text1"/>
        </w:rPr>
        <w:t>,</w:t>
      </w:r>
      <w:r>
        <w:rPr>
          <w:rFonts w:cs="Arial"/>
          <w:color w:val="000000" w:themeColor="text1"/>
        </w:rPr>
        <w:t xml:space="preserve"> </w:t>
      </w:r>
      <w:r w:rsidR="00075473">
        <w:rPr>
          <w:rFonts w:cs="Arial"/>
          <w:color w:val="000000" w:themeColor="text1"/>
        </w:rPr>
        <w:t xml:space="preserve">should the </w:t>
      </w:r>
      <w:r w:rsidR="008A38AD">
        <w:rPr>
          <w:rFonts w:cs="Arial"/>
          <w:color w:val="000000" w:themeColor="text1"/>
        </w:rPr>
        <w:t xml:space="preserve">external projects draw down the funding. </w:t>
      </w:r>
    </w:p>
    <w:p w14:paraId="08AC9C8D" w14:textId="326B0D44" w:rsidR="007F3D10" w:rsidRPr="00EF4E1C" w:rsidRDefault="007F3D10" w:rsidP="1296B87A">
      <w:pPr>
        <w:jc w:val="both"/>
        <w:rPr>
          <w:rFonts w:cs="Arial"/>
          <w:color w:val="000000" w:themeColor="text1"/>
        </w:rPr>
      </w:pPr>
    </w:p>
    <w:p w14:paraId="60FE742F" w14:textId="0EB5190F" w:rsidR="007F3D10" w:rsidRDefault="004A7A82" w:rsidP="1296B87A">
      <w:pPr>
        <w:jc w:val="both"/>
        <w:rPr>
          <w:rFonts w:cs="Arial"/>
          <w:b/>
          <w:bCs/>
          <w:color w:val="000000" w:themeColor="text1"/>
        </w:rPr>
      </w:pPr>
      <w:r w:rsidRPr="1296B87A">
        <w:rPr>
          <w:rFonts w:cs="Arial"/>
          <w:b/>
          <w:bCs/>
          <w:color w:val="000000" w:themeColor="text1"/>
        </w:rPr>
        <w:t>East Lanc</w:t>
      </w:r>
      <w:r w:rsidR="008559F7">
        <w:rPr>
          <w:rFonts w:cs="Arial"/>
          <w:b/>
          <w:bCs/>
          <w:color w:val="000000" w:themeColor="text1"/>
        </w:rPr>
        <w:t>ashire</w:t>
      </w:r>
      <w:r w:rsidRPr="1296B87A">
        <w:rPr>
          <w:rFonts w:cs="Arial"/>
          <w:b/>
          <w:bCs/>
          <w:color w:val="000000" w:themeColor="text1"/>
        </w:rPr>
        <w:t xml:space="preserve"> levelling up fund (ELLUF)</w:t>
      </w:r>
    </w:p>
    <w:p w14:paraId="1CBC1A4D" w14:textId="4705F246" w:rsidR="007F3D10" w:rsidRPr="00EF4E1C" w:rsidRDefault="007F3D10" w:rsidP="1296B87A">
      <w:pPr>
        <w:jc w:val="both"/>
        <w:rPr>
          <w:rFonts w:cs="Arial"/>
          <w:b/>
          <w:bCs/>
          <w:color w:val="000000" w:themeColor="text1"/>
        </w:rPr>
      </w:pPr>
    </w:p>
    <w:p w14:paraId="7749ACAC" w14:textId="6362E53F" w:rsidR="007F3D10" w:rsidRDefault="004A7A82" w:rsidP="1296B87A">
      <w:pPr>
        <w:jc w:val="both"/>
        <w:rPr>
          <w:rFonts w:cs="Arial"/>
          <w:b/>
          <w:bCs/>
          <w:color w:val="000000" w:themeColor="text1"/>
        </w:rPr>
      </w:pPr>
      <w:r w:rsidRPr="1296B87A">
        <w:rPr>
          <w:rFonts w:cs="Arial"/>
          <w:b/>
          <w:bCs/>
          <w:color w:val="000000" w:themeColor="text1"/>
        </w:rPr>
        <w:t xml:space="preserve">The ELLUF capital programme has a 2024/25 delivery programme of £10.000m and a total </w:t>
      </w:r>
      <w:proofErr w:type="gramStart"/>
      <w:r w:rsidRPr="1296B87A">
        <w:rPr>
          <w:rFonts w:cs="Arial"/>
          <w:b/>
          <w:bCs/>
          <w:color w:val="000000" w:themeColor="text1"/>
        </w:rPr>
        <w:t>3 year</w:t>
      </w:r>
      <w:proofErr w:type="gramEnd"/>
      <w:r w:rsidRPr="1296B87A">
        <w:rPr>
          <w:rFonts w:cs="Arial"/>
          <w:b/>
          <w:bCs/>
          <w:color w:val="000000" w:themeColor="text1"/>
        </w:rPr>
        <w:t xml:space="preserve"> delivery plan of £51.000m</w:t>
      </w:r>
    </w:p>
    <w:p w14:paraId="6072453C" w14:textId="14A2E5A0" w:rsidR="007F3D10" w:rsidRPr="00EF4E1C" w:rsidRDefault="007F3D10" w:rsidP="1296B87A">
      <w:pPr>
        <w:jc w:val="both"/>
        <w:rPr>
          <w:rFonts w:cs="Arial"/>
          <w:b/>
          <w:bCs/>
          <w:color w:val="000000" w:themeColor="text1"/>
        </w:rPr>
      </w:pPr>
    </w:p>
    <w:p w14:paraId="4173C937" w14:textId="6259490E" w:rsidR="007F3D10" w:rsidRDefault="004A7A82" w:rsidP="1296B87A">
      <w:pPr>
        <w:jc w:val="both"/>
        <w:rPr>
          <w:rFonts w:cs="Arial"/>
          <w:color w:val="000000" w:themeColor="text1"/>
        </w:rPr>
      </w:pPr>
      <w:r w:rsidRPr="1296B87A">
        <w:rPr>
          <w:rFonts w:cs="Arial"/>
          <w:color w:val="000000" w:themeColor="text1"/>
        </w:rPr>
        <w:t xml:space="preserve">A £55m plan of works has been put together which will utilise Levelling Up funding along with a £5m contribution from Lancashire County Council. The business plan will be presented to the department for levelling up, housing and communities in May 2024 for approval. A rough estimate for the programme has been included in this delivery plan, however this will be removed should the funding fail to get approval. More details </w:t>
      </w:r>
      <w:r w:rsidRPr="1296B87A">
        <w:rPr>
          <w:rFonts w:cs="Arial"/>
          <w:color w:val="000000" w:themeColor="text1"/>
        </w:rPr>
        <w:lastRenderedPageBreak/>
        <w:t xml:space="preserve">will be included in the </w:t>
      </w:r>
      <w:r w:rsidR="007B62EF">
        <w:rPr>
          <w:rFonts w:cs="Arial"/>
          <w:color w:val="000000" w:themeColor="text1"/>
        </w:rPr>
        <w:t>May</w:t>
      </w:r>
      <w:r w:rsidRPr="1296B87A">
        <w:rPr>
          <w:rFonts w:cs="Arial"/>
          <w:color w:val="000000" w:themeColor="text1"/>
        </w:rPr>
        <w:t xml:space="preserve"> 2024 delivery plan once the business case has been finalised.</w:t>
      </w:r>
    </w:p>
    <w:p w14:paraId="2E5B0272" w14:textId="77777777" w:rsidR="00EE45E0" w:rsidRPr="00241F99" w:rsidRDefault="00EE45E0" w:rsidP="1296B87A">
      <w:pPr>
        <w:jc w:val="both"/>
        <w:rPr>
          <w:rFonts w:cs="Arial"/>
          <w:color w:val="000000" w:themeColor="text1"/>
        </w:rPr>
      </w:pPr>
    </w:p>
    <w:p w14:paraId="11FB19D3" w14:textId="7835A846" w:rsidR="007F3D10" w:rsidRDefault="004A7A82" w:rsidP="1296B87A">
      <w:pPr>
        <w:jc w:val="both"/>
        <w:rPr>
          <w:rFonts w:cs="Arial"/>
          <w:b/>
          <w:bCs/>
          <w:color w:val="000000" w:themeColor="text1"/>
        </w:rPr>
      </w:pPr>
      <w:r w:rsidRPr="1296B87A">
        <w:rPr>
          <w:rFonts w:cs="Arial"/>
          <w:b/>
          <w:bCs/>
          <w:color w:val="000000" w:themeColor="text1"/>
        </w:rPr>
        <w:t>Vehicles</w:t>
      </w:r>
    </w:p>
    <w:p w14:paraId="691A7B22" w14:textId="32ED20D9" w:rsidR="007F3D10" w:rsidRPr="00EF4E1C" w:rsidRDefault="007F3D10" w:rsidP="1296B87A">
      <w:pPr>
        <w:jc w:val="both"/>
        <w:rPr>
          <w:rFonts w:cs="Arial"/>
          <w:b/>
          <w:bCs/>
          <w:color w:val="000000" w:themeColor="text1"/>
        </w:rPr>
      </w:pPr>
    </w:p>
    <w:p w14:paraId="37F2AC22" w14:textId="6BFF1DAD" w:rsidR="007F3D10" w:rsidRDefault="004A7A82" w:rsidP="1296B87A">
      <w:pPr>
        <w:jc w:val="both"/>
        <w:rPr>
          <w:rFonts w:cs="Arial"/>
          <w:b/>
          <w:bCs/>
          <w:color w:val="000000" w:themeColor="text1"/>
        </w:rPr>
      </w:pPr>
      <w:r w:rsidRPr="1296B87A">
        <w:rPr>
          <w:rFonts w:cs="Arial"/>
          <w:b/>
          <w:bCs/>
          <w:color w:val="000000" w:themeColor="text1"/>
        </w:rPr>
        <w:t xml:space="preserve">The vehicles capital programme has a 2024/25 delivery programme of £4.000m and a total </w:t>
      </w:r>
      <w:proofErr w:type="gramStart"/>
      <w:r w:rsidRPr="1296B87A">
        <w:rPr>
          <w:rFonts w:cs="Arial"/>
          <w:b/>
          <w:bCs/>
          <w:color w:val="000000" w:themeColor="text1"/>
        </w:rPr>
        <w:t>3 year</w:t>
      </w:r>
      <w:proofErr w:type="gramEnd"/>
      <w:r w:rsidRPr="1296B87A">
        <w:rPr>
          <w:rFonts w:cs="Arial"/>
          <w:b/>
          <w:bCs/>
          <w:color w:val="000000" w:themeColor="text1"/>
        </w:rPr>
        <w:t xml:space="preserve"> delivery plan of £12.000m</w:t>
      </w:r>
    </w:p>
    <w:p w14:paraId="73C25397" w14:textId="01F0B285" w:rsidR="007F3D10" w:rsidRPr="00EF4E1C" w:rsidRDefault="007F3D10" w:rsidP="1296B87A">
      <w:pPr>
        <w:jc w:val="both"/>
        <w:rPr>
          <w:rFonts w:cs="Arial"/>
          <w:b/>
          <w:bCs/>
          <w:color w:val="000000" w:themeColor="text1"/>
        </w:rPr>
      </w:pPr>
    </w:p>
    <w:p w14:paraId="010DAD63" w14:textId="08B6041C" w:rsidR="007F3D10" w:rsidRDefault="004A7A82" w:rsidP="1296B87A">
      <w:pPr>
        <w:jc w:val="both"/>
        <w:rPr>
          <w:rFonts w:cs="Arial"/>
          <w:color w:val="000000" w:themeColor="text1"/>
        </w:rPr>
      </w:pPr>
      <w:r>
        <w:rPr>
          <w:rFonts w:cs="Arial"/>
          <w:color w:val="000000" w:themeColor="text1"/>
        </w:rPr>
        <w:t>O</w:t>
      </w:r>
      <w:r w:rsidRPr="1296B87A">
        <w:rPr>
          <w:rFonts w:cs="Arial"/>
          <w:color w:val="000000" w:themeColor="text1"/>
        </w:rPr>
        <w:t xml:space="preserve">rders of £3.391m are expected to be placed throughout 2024/25 </w:t>
      </w:r>
      <w:r>
        <w:rPr>
          <w:rFonts w:cs="Arial"/>
          <w:color w:val="000000" w:themeColor="text1"/>
        </w:rPr>
        <w:t xml:space="preserve">as part of the vehicle replacement programme, </w:t>
      </w:r>
      <w:r w:rsidRPr="1296B87A">
        <w:rPr>
          <w:rFonts w:cs="Arial"/>
          <w:color w:val="000000" w:themeColor="text1"/>
        </w:rPr>
        <w:t xml:space="preserve">with anticipated vehicle delivery in 2024/25. This includes </w:t>
      </w:r>
      <w:proofErr w:type="gramStart"/>
      <w:r w:rsidRPr="1296B87A">
        <w:rPr>
          <w:rFonts w:cs="Arial"/>
          <w:color w:val="000000" w:themeColor="text1"/>
        </w:rPr>
        <w:t>a number of</w:t>
      </w:r>
      <w:proofErr w:type="gramEnd"/>
      <w:r w:rsidRPr="1296B87A">
        <w:rPr>
          <w:rFonts w:cs="Arial"/>
          <w:color w:val="000000" w:themeColor="text1"/>
        </w:rPr>
        <w:t xml:space="preserve"> wheelchair accessible vehicles and electric vehicles as well as 16 3.5t tipper wagons, 6 9-seater wheelchair accessible vehicles and 4 4x4 Gritters. </w:t>
      </w:r>
    </w:p>
    <w:p w14:paraId="04C1673D" w14:textId="59C719F7" w:rsidR="007F3D10" w:rsidRPr="00EF4E1C" w:rsidRDefault="007F3D10" w:rsidP="1296B87A">
      <w:pPr>
        <w:jc w:val="both"/>
        <w:rPr>
          <w:rFonts w:cs="Arial"/>
          <w:color w:val="000000" w:themeColor="text1"/>
        </w:rPr>
      </w:pPr>
    </w:p>
    <w:p w14:paraId="0AA25273" w14:textId="149DEDD1" w:rsidR="007F3D10" w:rsidRDefault="004A7A82" w:rsidP="1296B87A">
      <w:pPr>
        <w:jc w:val="both"/>
        <w:rPr>
          <w:rFonts w:cs="Arial"/>
          <w:color w:val="000000" w:themeColor="text1"/>
        </w:rPr>
      </w:pPr>
      <w:r w:rsidRPr="1296B87A">
        <w:rPr>
          <w:rFonts w:cs="Arial"/>
          <w:color w:val="000000" w:themeColor="text1"/>
        </w:rPr>
        <w:t>Additionally, slipped prior years schemes totalling £0.609m have been included in the 2024/25 delivery plan, the majority being the purchase of 11 Renault Master Minibuses. The vehicle replacement programme will be funded from borrowing.</w:t>
      </w:r>
    </w:p>
    <w:p w14:paraId="1041C919" w14:textId="22293F42" w:rsidR="007F3D10" w:rsidRPr="00EF4E1C" w:rsidRDefault="007F3D10" w:rsidP="1296B87A">
      <w:pPr>
        <w:jc w:val="both"/>
        <w:rPr>
          <w:rFonts w:cs="Arial"/>
          <w:color w:val="000000" w:themeColor="text1"/>
        </w:rPr>
      </w:pPr>
    </w:p>
    <w:p w14:paraId="46CC8AF2" w14:textId="06C71417" w:rsidR="007F3D10" w:rsidRPr="00EF4E1C" w:rsidRDefault="004A7A82" w:rsidP="1296B87A">
      <w:pPr>
        <w:jc w:val="both"/>
        <w:rPr>
          <w:rFonts w:cs="Arial"/>
          <w:color w:val="000000" w:themeColor="text1"/>
        </w:rPr>
      </w:pPr>
      <w:r w:rsidRPr="1296B87A">
        <w:rPr>
          <w:rFonts w:cs="Arial"/>
          <w:color w:val="000000" w:themeColor="text1"/>
        </w:rPr>
        <w:t xml:space="preserve">The delivery plan for 2024/25 onwards will continue to deliver </w:t>
      </w:r>
      <w:r w:rsidR="000864F3">
        <w:rPr>
          <w:rFonts w:cs="Arial"/>
          <w:color w:val="000000" w:themeColor="text1"/>
        </w:rPr>
        <w:t>the county council's</w:t>
      </w:r>
      <w:r w:rsidRPr="1296B87A">
        <w:rPr>
          <w:rFonts w:cs="Arial"/>
          <w:color w:val="000000" w:themeColor="text1"/>
        </w:rPr>
        <w:t xml:space="preserve"> vehicle replacement strategy to ensure that all</w:t>
      </w:r>
      <w:r w:rsidR="000864F3">
        <w:rPr>
          <w:rFonts w:cs="Arial"/>
          <w:color w:val="000000" w:themeColor="text1"/>
        </w:rPr>
        <w:t xml:space="preserve"> county council</w:t>
      </w:r>
      <w:r w:rsidRPr="1296B87A">
        <w:rPr>
          <w:rFonts w:cs="Arial"/>
          <w:color w:val="000000" w:themeColor="text1"/>
        </w:rPr>
        <w:t xml:space="preserve"> owned vehicles are fit for purpose and repaired or replaced at the most cost-effective time. Supply chain issues are expected to continue to ease, however if this is not the case then it presents a risk to the 2024/25 delivery plan.</w:t>
      </w:r>
    </w:p>
    <w:p w14:paraId="2FFB4129" w14:textId="272491D8" w:rsidR="007F3D10" w:rsidRPr="00EF4E1C" w:rsidRDefault="007F3D10" w:rsidP="1296B87A">
      <w:pPr>
        <w:jc w:val="both"/>
        <w:rPr>
          <w:rFonts w:cs="Arial"/>
        </w:rPr>
      </w:pPr>
    </w:p>
    <w:p w14:paraId="54FF8661" w14:textId="49B5810D" w:rsidR="007F3D10" w:rsidRDefault="004A7A82" w:rsidP="1296B87A">
      <w:pPr>
        <w:jc w:val="both"/>
        <w:rPr>
          <w:rFonts w:cs="Arial"/>
          <w:b/>
          <w:bCs/>
          <w:color w:val="000000" w:themeColor="text1"/>
        </w:rPr>
      </w:pPr>
      <w:bookmarkStart w:id="7" w:name="_Hlk92276782"/>
      <w:r w:rsidRPr="1296B87A">
        <w:rPr>
          <w:rFonts w:cs="Arial"/>
          <w:b/>
          <w:bCs/>
          <w:color w:val="000000" w:themeColor="text1"/>
        </w:rPr>
        <w:t>Transforming Cities Fund (TCF)</w:t>
      </w:r>
    </w:p>
    <w:p w14:paraId="69D311D3" w14:textId="556010D9" w:rsidR="007F3D10" w:rsidRPr="00EF4E1C" w:rsidRDefault="007F3D10" w:rsidP="1296B87A">
      <w:pPr>
        <w:jc w:val="both"/>
        <w:rPr>
          <w:rFonts w:cs="Arial"/>
          <w:b/>
          <w:bCs/>
          <w:color w:val="000000" w:themeColor="text1"/>
        </w:rPr>
      </w:pPr>
    </w:p>
    <w:p w14:paraId="615FBCA4" w14:textId="1F175C3A" w:rsidR="007F3D10" w:rsidRDefault="004A7A82" w:rsidP="1296B87A">
      <w:pPr>
        <w:jc w:val="both"/>
        <w:rPr>
          <w:rFonts w:cs="Arial"/>
          <w:b/>
          <w:bCs/>
          <w:color w:val="000000" w:themeColor="text1"/>
        </w:rPr>
      </w:pPr>
      <w:r w:rsidRPr="1296B87A">
        <w:rPr>
          <w:rFonts w:cs="Arial"/>
          <w:b/>
          <w:bCs/>
          <w:color w:val="000000" w:themeColor="text1"/>
        </w:rPr>
        <w:t xml:space="preserve">The TCF capital programme has a 2024/25 delivery programme of £3.000m and a total </w:t>
      </w:r>
      <w:proofErr w:type="gramStart"/>
      <w:r w:rsidRPr="1296B87A">
        <w:rPr>
          <w:rFonts w:cs="Arial"/>
          <w:b/>
          <w:bCs/>
          <w:color w:val="000000" w:themeColor="text1"/>
        </w:rPr>
        <w:t>3 year</w:t>
      </w:r>
      <w:proofErr w:type="gramEnd"/>
      <w:r w:rsidRPr="1296B87A">
        <w:rPr>
          <w:rFonts w:cs="Arial"/>
          <w:b/>
          <w:bCs/>
          <w:color w:val="000000" w:themeColor="text1"/>
        </w:rPr>
        <w:t xml:space="preserve"> delivery plan of £3.000m</w:t>
      </w:r>
    </w:p>
    <w:p w14:paraId="30D4DC7C" w14:textId="62B677D4" w:rsidR="007F3D10" w:rsidRPr="00EF4E1C" w:rsidRDefault="007F3D10" w:rsidP="1296B87A">
      <w:pPr>
        <w:jc w:val="both"/>
        <w:rPr>
          <w:rFonts w:cs="Arial"/>
          <w:b/>
          <w:bCs/>
          <w:color w:val="000000" w:themeColor="text1"/>
        </w:rPr>
      </w:pPr>
    </w:p>
    <w:p w14:paraId="711B5304" w14:textId="0831B6DC" w:rsidR="007F3D10" w:rsidRPr="00EF4E1C" w:rsidRDefault="004A7A82" w:rsidP="1296B87A">
      <w:pPr>
        <w:jc w:val="both"/>
        <w:rPr>
          <w:rFonts w:cs="Arial"/>
          <w:color w:val="000000" w:themeColor="text1"/>
        </w:rPr>
      </w:pPr>
      <w:r w:rsidRPr="1296B87A">
        <w:rPr>
          <w:rFonts w:cs="Arial"/>
          <w:color w:val="000000" w:themeColor="text1"/>
        </w:rPr>
        <w:t>An indicative delivery budget of £3.000m has been included for 2024/25 for the transforming cities project. The continuation of the programme is dependent on DfT approving resubmitted plans for the delivery of the Cottam Parkway project. The indicative figure of £3.000m is included to finish the ongoing T</w:t>
      </w:r>
      <w:r w:rsidR="00346873">
        <w:rPr>
          <w:rFonts w:cs="Arial"/>
          <w:color w:val="000000" w:themeColor="text1"/>
        </w:rPr>
        <w:t xml:space="preserve">ransforming </w:t>
      </w:r>
      <w:r w:rsidRPr="1296B87A">
        <w:rPr>
          <w:rFonts w:cs="Arial"/>
          <w:color w:val="000000" w:themeColor="text1"/>
        </w:rPr>
        <w:t>C</w:t>
      </w:r>
      <w:r w:rsidR="00346873">
        <w:rPr>
          <w:rFonts w:cs="Arial"/>
          <w:color w:val="000000" w:themeColor="text1"/>
        </w:rPr>
        <w:t xml:space="preserve">ities </w:t>
      </w:r>
      <w:r w:rsidRPr="1296B87A">
        <w:rPr>
          <w:rFonts w:cs="Arial"/>
          <w:color w:val="000000" w:themeColor="text1"/>
        </w:rPr>
        <w:t>F</w:t>
      </w:r>
      <w:r w:rsidR="00346873">
        <w:rPr>
          <w:rFonts w:cs="Arial"/>
          <w:color w:val="000000" w:themeColor="text1"/>
        </w:rPr>
        <w:t>und</w:t>
      </w:r>
      <w:r w:rsidRPr="1296B87A">
        <w:rPr>
          <w:rFonts w:cs="Arial"/>
          <w:color w:val="000000" w:themeColor="text1"/>
        </w:rPr>
        <w:t xml:space="preserve"> project on Preston </w:t>
      </w:r>
      <w:proofErr w:type="spellStart"/>
      <w:r w:rsidR="00350CF6">
        <w:rPr>
          <w:rFonts w:cs="Arial"/>
          <w:color w:val="000000" w:themeColor="text1"/>
        </w:rPr>
        <w:t>F</w:t>
      </w:r>
      <w:r w:rsidRPr="1296B87A">
        <w:rPr>
          <w:rFonts w:cs="Arial"/>
          <w:color w:val="000000" w:themeColor="text1"/>
        </w:rPr>
        <w:t>riargate</w:t>
      </w:r>
      <w:proofErr w:type="spellEnd"/>
      <w:r w:rsidRPr="1296B87A">
        <w:rPr>
          <w:rFonts w:cs="Arial"/>
          <w:color w:val="000000" w:themeColor="text1"/>
        </w:rPr>
        <w:t>/</w:t>
      </w:r>
      <w:r w:rsidR="00350CF6">
        <w:rPr>
          <w:rFonts w:cs="Arial"/>
          <w:color w:val="000000" w:themeColor="text1"/>
        </w:rPr>
        <w:t>R</w:t>
      </w:r>
      <w:r w:rsidRPr="1296B87A">
        <w:rPr>
          <w:rFonts w:cs="Arial"/>
          <w:color w:val="000000" w:themeColor="text1"/>
        </w:rPr>
        <w:t>ingway. The delivery budget will be updated in May 2024 when final 2023/24 slippage figures are known and potentially a decision by the DfT regarding future funding allocations.</w:t>
      </w:r>
      <w:bookmarkEnd w:id="7"/>
    </w:p>
    <w:p w14:paraId="27875BA8" w14:textId="35EEDE70" w:rsidR="00B20A48" w:rsidRDefault="00B20A48" w:rsidP="00320643">
      <w:pPr>
        <w:autoSpaceDE w:val="0"/>
        <w:autoSpaceDN w:val="0"/>
        <w:adjustRightInd w:val="0"/>
        <w:jc w:val="both"/>
        <w:rPr>
          <w:rFonts w:eastAsia="Calibri" w:cs="Helvetica-Light"/>
          <w:b/>
          <w:bCs/>
          <w:color w:val="000000"/>
          <w:u w:val="single"/>
        </w:rPr>
      </w:pPr>
    </w:p>
    <w:p w14:paraId="1589053E" w14:textId="6521ABB8" w:rsidR="00AB423D" w:rsidRDefault="00AB423D" w:rsidP="00320643">
      <w:pPr>
        <w:autoSpaceDE w:val="0"/>
        <w:autoSpaceDN w:val="0"/>
        <w:adjustRightInd w:val="0"/>
        <w:jc w:val="both"/>
        <w:rPr>
          <w:rFonts w:eastAsia="Calibri" w:cs="Helvetica-Light"/>
          <w:b/>
          <w:bCs/>
          <w:color w:val="000000"/>
          <w:u w:val="single"/>
        </w:rPr>
      </w:pPr>
    </w:p>
    <w:p w14:paraId="0123CEC3" w14:textId="1C8200F1" w:rsidR="00AB423D" w:rsidRDefault="00AB423D" w:rsidP="00320643">
      <w:pPr>
        <w:autoSpaceDE w:val="0"/>
        <w:autoSpaceDN w:val="0"/>
        <w:adjustRightInd w:val="0"/>
        <w:jc w:val="both"/>
        <w:rPr>
          <w:rFonts w:eastAsia="Calibri" w:cs="Helvetica-Light"/>
          <w:b/>
          <w:bCs/>
          <w:color w:val="000000"/>
          <w:u w:val="single"/>
        </w:rPr>
      </w:pPr>
    </w:p>
    <w:p w14:paraId="31D81C76" w14:textId="74A53E9D" w:rsidR="00B04BC4" w:rsidRDefault="00B04BC4" w:rsidP="00320643">
      <w:pPr>
        <w:autoSpaceDE w:val="0"/>
        <w:autoSpaceDN w:val="0"/>
        <w:adjustRightInd w:val="0"/>
        <w:jc w:val="both"/>
        <w:rPr>
          <w:rFonts w:eastAsia="Calibri" w:cs="Helvetica-Light"/>
          <w:b/>
          <w:bCs/>
          <w:color w:val="000000"/>
          <w:u w:val="single"/>
        </w:rPr>
      </w:pPr>
    </w:p>
    <w:p w14:paraId="11369084" w14:textId="51A8D500" w:rsidR="00B04BC4" w:rsidRDefault="00B04BC4" w:rsidP="00320643">
      <w:pPr>
        <w:autoSpaceDE w:val="0"/>
        <w:autoSpaceDN w:val="0"/>
        <w:adjustRightInd w:val="0"/>
        <w:jc w:val="both"/>
        <w:rPr>
          <w:rFonts w:eastAsia="Calibri" w:cs="Helvetica-Light"/>
          <w:b/>
          <w:bCs/>
          <w:color w:val="000000"/>
          <w:u w:val="single"/>
        </w:rPr>
      </w:pPr>
    </w:p>
    <w:p w14:paraId="03C912D8" w14:textId="335BE28B" w:rsidR="00B04BC4" w:rsidRDefault="00B04BC4" w:rsidP="00320643">
      <w:pPr>
        <w:autoSpaceDE w:val="0"/>
        <w:autoSpaceDN w:val="0"/>
        <w:adjustRightInd w:val="0"/>
        <w:jc w:val="both"/>
        <w:rPr>
          <w:rFonts w:eastAsia="Calibri" w:cs="Helvetica-Light"/>
          <w:b/>
          <w:bCs/>
          <w:color w:val="000000"/>
          <w:u w:val="single"/>
        </w:rPr>
      </w:pPr>
    </w:p>
    <w:p w14:paraId="0519DAC3" w14:textId="315262AD" w:rsidR="00B04BC4" w:rsidRDefault="00B04BC4" w:rsidP="00320643">
      <w:pPr>
        <w:autoSpaceDE w:val="0"/>
        <w:autoSpaceDN w:val="0"/>
        <w:adjustRightInd w:val="0"/>
        <w:jc w:val="both"/>
        <w:rPr>
          <w:rFonts w:eastAsia="Calibri" w:cs="Helvetica-Light"/>
          <w:b/>
          <w:bCs/>
          <w:color w:val="000000"/>
          <w:u w:val="single"/>
        </w:rPr>
      </w:pPr>
    </w:p>
    <w:p w14:paraId="6E9726BC" w14:textId="330C27FB" w:rsidR="00B04BC4" w:rsidRDefault="00B04BC4" w:rsidP="00320643">
      <w:pPr>
        <w:autoSpaceDE w:val="0"/>
        <w:autoSpaceDN w:val="0"/>
        <w:adjustRightInd w:val="0"/>
        <w:jc w:val="both"/>
        <w:rPr>
          <w:rFonts w:eastAsia="Calibri" w:cs="Helvetica-Light"/>
          <w:b/>
          <w:bCs/>
          <w:color w:val="000000"/>
          <w:u w:val="single"/>
        </w:rPr>
      </w:pPr>
    </w:p>
    <w:p w14:paraId="595DE902" w14:textId="16F629B8" w:rsidR="00B04BC4" w:rsidRDefault="00B04BC4" w:rsidP="00320643">
      <w:pPr>
        <w:autoSpaceDE w:val="0"/>
        <w:autoSpaceDN w:val="0"/>
        <w:adjustRightInd w:val="0"/>
        <w:jc w:val="both"/>
        <w:rPr>
          <w:rFonts w:eastAsia="Calibri" w:cs="Helvetica-Light"/>
          <w:b/>
          <w:bCs/>
          <w:color w:val="000000"/>
          <w:u w:val="single"/>
        </w:rPr>
      </w:pPr>
    </w:p>
    <w:p w14:paraId="39BE664E" w14:textId="7FD3A795" w:rsidR="00B04BC4" w:rsidRDefault="00B04BC4" w:rsidP="00320643">
      <w:pPr>
        <w:autoSpaceDE w:val="0"/>
        <w:autoSpaceDN w:val="0"/>
        <w:adjustRightInd w:val="0"/>
        <w:jc w:val="both"/>
        <w:rPr>
          <w:rFonts w:eastAsia="Calibri" w:cs="Helvetica-Light"/>
          <w:b/>
          <w:bCs/>
          <w:color w:val="000000"/>
          <w:u w:val="single"/>
        </w:rPr>
      </w:pPr>
    </w:p>
    <w:p w14:paraId="181DCC59" w14:textId="6D629355" w:rsidR="00B04BC4" w:rsidRDefault="00B04BC4" w:rsidP="00320643">
      <w:pPr>
        <w:autoSpaceDE w:val="0"/>
        <w:autoSpaceDN w:val="0"/>
        <w:adjustRightInd w:val="0"/>
        <w:jc w:val="both"/>
        <w:rPr>
          <w:rFonts w:eastAsia="Calibri" w:cs="Helvetica-Light"/>
          <w:b/>
          <w:bCs/>
          <w:color w:val="000000"/>
          <w:u w:val="single"/>
        </w:rPr>
      </w:pPr>
    </w:p>
    <w:p w14:paraId="72ACB188" w14:textId="77777777" w:rsidR="002E2682" w:rsidRDefault="002E2682" w:rsidP="00320643">
      <w:pPr>
        <w:autoSpaceDE w:val="0"/>
        <w:autoSpaceDN w:val="0"/>
        <w:adjustRightInd w:val="0"/>
        <w:jc w:val="both"/>
        <w:rPr>
          <w:rFonts w:eastAsia="Calibri" w:cs="Helvetica-Light"/>
          <w:b/>
          <w:bCs/>
          <w:color w:val="000000"/>
          <w:u w:val="single"/>
        </w:rPr>
      </w:pPr>
    </w:p>
    <w:p w14:paraId="5CE183A2" w14:textId="6D1159D7" w:rsidR="00B04BC4" w:rsidRDefault="00B04BC4" w:rsidP="00320643">
      <w:pPr>
        <w:autoSpaceDE w:val="0"/>
        <w:autoSpaceDN w:val="0"/>
        <w:adjustRightInd w:val="0"/>
        <w:jc w:val="both"/>
        <w:rPr>
          <w:rFonts w:eastAsia="Calibri" w:cs="Helvetica-Light"/>
          <w:b/>
          <w:bCs/>
          <w:color w:val="000000"/>
          <w:u w:val="single"/>
        </w:rPr>
      </w:pPr>
    </w:p>
    <w:p w14:paraId="4AD0C225" w14:textId="77777777" w:rsidR="00F05B50" w:rsidRDefault="00F05B50" w:rsidP="00320643">
      <w:pPr>
        <w:autoSpaceDE w:val="0"/>
        <w:autoSpaceDN w:val="0"/>
        <w:adjustRightInd w:val="0"/>
        <w:jc w:val="both"/>
        <w:rPr>
          <w:rFonts w:eastAsia="Calibri" w:cs="Helvetica-Light"/>
          <w:b/>
          <w:bCs/>
          <w:color w:val="000000"/>
          <w:u w:val="single"/>
        </w:rPr>
      </w:pPr>
    </w:p>
    <w:p w14:paraId="138BDADE" w14:textId="77777777" w:rsidR="00A21558" w:rsidRDefault="00A21558" w:rsidP="00320643">
      <w:pPr>
        <w:autoSpaceDE w:val="0"/>
        <w:autoSpaceDN w:val="0"/>
        <w:adjustRightInd w:val="0"/>
        <w:jc w:val="both"/>
        <w:rPr>
          <w:rFonts w:eastAsia="Calibri" w:cs="Helvetica-Light"/>
          <w:b/>
          <w:bCs/>
          <w:color w:val="000000"/>
          <w:u w:val="single"/>
        </w:rPr>
      </w:pPr>
    </w:p>
    <w:p w14:paraId="549FFB78" w14:textId="686255A0" w:rsidR="00B04BC4" w:rsidRDefault="004A7A82" w:rsidP="00320643">
      <w:pPr>
        <w:autoSpaceDE w:val="0"/>
        <w:autoSpaceDN w:val="0"/>
        <w:adjustRightInd w:val="0"/>
        <w:jc w:val="both"/>
        <w:rPr>
          <w:rFonts w:eastAsia="Calibri" w:cs="Helvetica-Light"/>
          <w:b/>
          <w:bCs/>
          <w:color w:val="000000"/>
          <w:u w:val="single"/>
        </w:rPr>
      </w:pPr>
      <w:r w:rsidRPr="1296B87A">
        <w:rPr>
          <w:rFonts w:eastAsia="Calibri" w:cs="Helvetica-Light"/>
          <w:b/>
          <w:bCs/>
          <w:color w:val="000000" w:themeColor="text1"/>
          <w:u w:val="single"/>
        </w:rPr>
        <w:lastRenderedPageBreak/>
        <w:t>Annex F – Capital Strategy</w:t>
      </w:r>
    </w:p>
    <w:p w14:paraId="7ECA9D1F" w14:textId="4C1B2E81" w:rsidR="00B25D35" w:rsidRPr="00B25D35" w:rsidRDefault="00B25D35" w:rsidP="00B25D35">
      <w:pPr>
        <w:jc w:val="both"/>
        <w:rPr>
          <w:rFonts w:eastAsia="Times New Roman" w:cs="Arial"/>
        </w:rPr>
      </w:pPr>
    </w:p>
    <w:p w14:paraId="3DFABD3A" w14:textId="54D11747" w:rsidR="00B25D35" w:rsidRPr="003008C5" w:rsidRDefault="004A7A82" w:rsidP="005838A0">
      <w:pPr>
        <w:keepNext/>
        <w:numPr>
          <w:ilvl w:val="0"/>
          <w:numId w:val="23"/>
        </w:numPr>
        <w:autoSpaceDE w:val="0"/>
        <w:autoSpaceDN w:val="0"/>
        <w:adjustRightInd w:val="0"/>
        <w:ind w:left="426" w:hanging="426"/>
        <w:jc w:val="both"/>
        <w:outlineLvl w:val="0"/>
        <w:rPr>
          <w:rFonts w:eastAsia="Times New Roman" w:cs="Helvetica-Light"/>
          <w:b/>
          <w:bCs/>
        </w:rPr>
      </w:pPr>
      <w:r w:rsidRPr="003008C5">
        <w:rPr>
          <w:rFonts w:eastAsia="Times New Roman" w:cs="Helvetica-Light"/>
          <w:b/>
          <w:bCs/>
        </w:rPr>
        <w:t>Background, purpose &amp; aims of the Capital Strategy</w:t>
      </w:r>
    </w:p>
    <w:p w14:paraId="573A236D" w14:textId="38B0596E" w:rsidR="00B25D35" w:rsidRPr="00B25D35" w:rsidRDefault="00B25D35" w:rsidP="00B25D35">
      <w:pPr>
        <w:rPr>
          <w:rFonts w:eastAsia="Times New Roman" w:cs="Arial"/>
        </w:rPr>
      </w:pPr>
    </w:p>
    <w:p w14:paraId="6C6DDFC4" w14:textId="65B94320" w:rsidR="00B25D35" w:rsidRPr="00B25D35" w:rsidRDefault="004A7A82" w:rsidP="005838A0">
      <w:pPr>
        <w:keepNext/>
        <w:numPr>
          <w:ilvl w:val="1"/>
          <w:numId w:val="23"/>
        </w:numPr>
        <w:autoSpaceDE w:val="0"/>
        <w:autoSpaceDN w:val="0"/>
        <w:adjustRightInd w:val="0"/>
        <w:ind w:left="567" w:hanging="567"/>
        <w:jc w:val="both"/>
        <w:outlineLvl w:val="1"/>
        <w:rPr>
          <w:rFonts w:eastAsia="Times New Roman" w:cs="Helvetica-Light"/>
          <w:b/>
          <w:bCs/>
          <w:color w:val="000000"/>
        </w:rPr>
      </w:pPr>
      <w:bookmarkStart w:id="8" w:name="_Toc307236628"/>
      <w:bookmarkStart w:id="9" w:name="_Toc307236706"/>
      <w:r w:rsidRPr="1296B87A">
        <w:rPr>
          <w:rFonts w:eastAsia="Times New Roman" w:cs="Helvetica-Light"/>
          <w:b/>
          <w:bCs/>
          <w:color w:val="000000" w:themeColor="text1"/>
        </w:rPr>
        <w:t>Purpose and aims of the Capital Strategy</w:t>
      </w:r>
      <w:bookmarkEnd w:id="8"/>
      <w:bookmarkEnd w:id="9"/>
    </w:p>
    <w:p w14:paraId="3973DF19" w14:textId="77777777" w:rsidR="007C2EE8" w:rsidRPr="00B25D35" w:rsidRDefault="007C2EE8" w:rsidP="007C2EE8">
      <w:pPr>
        <w:keepNext/>
        <w:autoSpaceDE w:val="0"/>
        <w:autoSpaceDN w:val="0"/>
        <w:adjustRightInd w:val="0"/>
        <w:ind w:left="567"/>
        <w:jc w:val="both"/>
        <w:outlineLvl w:val="1"/>
        <w:rPr>
          <w:rFonts w:eastAsia="Times New Roman" w:cs="Helvetica-Light"/>
          <w:b/>
          <w:bCs/>
          <w:color w:val="000000"/>
        </w:rPr>
      </w:pPr>
    </w:p>
    <w:p w14:paraId="4E2E53DE" w14:textId="0BB377AF" w:rsidR="00B25D35" w:rsidRPr="00B25D35" w:rsidRDefault="004A7A82" w:rsidP="1296B87A">
      <w:pPr>
        <w:keepNext/>
        <w:autoSpaceDE w:val="0"/>
        <w:autoSpaceDN w:val="0"/>
        <w:adjustRightInd w:val="0"/>
        <w:jc w:val="both"/>
        <w:outlineLvl w:val="1"/>
        <w:rPr>
          <w:rFonts w:eastAsia="Times New Roman" w:cs="Helvetica-Light"/>
          <w:color w:val="000000"/>
        </w:rPr>
      </w:pPr>
      <w:r w:rsidRPr="1296B87A">
        <w:rPr>
          <w:rFonts w:eastAsia="Times New Roman" w:cs="Helvetica-Light"/>
          <w:color w:val="000000" w:themeColor="text1"/>
        </w:rPr>
        <w:t xml:space="preserve">The purpose of a capital strategy is to set the </w:t>
      </w:r>
      <w:proofErr w:type="gramStart"/>
      <w:r w:rsidRPr="1296B87A">
        <w:rPr>
          <w:rFonts w:eastAsia="Times New Roman" w:cs="Helvetica-Light"/>
          <w:color w:val="000000" w:themeColor="text1"/>
        </w:rPr>
        <w:t>long term</w:t>
      </w:r>
      <w:proofErr w:type="gramEnd"/>
      <w:r w:rsidRPr="1296B87A">
        <w:rPr>
          <w:rFonts w:eastAsia="Times New Roman" w:cs="Helvetica-Light"/>
          <w:color w:val="000000" w:themeColor="text1"/>
        </w:rPr>
        <w:t xml:space="preserve"> strategic framework within which the authority will use as the framework and context for capital and investment decisions. It is a requirement of the Chartered Institute of Public Finance and Accountancy (CIPFA)'s Treasury Management Code of Practice and the Prudential Code that authorities have in place a long term capital strategy, the definition of long term is generally accepted to be 15-20 years and as such the strategy cannot set a detailed programme of works to be delivered, or a level of investment to be guaranteed each year, but aims to set a context within which future programmes are developed.</w:t>
      </w:r>
    </w:p>
    <w:p w14:paraId="62545A9E" w14:textId="7BDCF8DF" w:rsidR="00B25D35" w:rsidRPr="00B25D35" w:rsidRDefault="00B25D35" w:rsidP="1296B87A">
      <w:pPr>
        <w:keepNext/>
        <w:autoSpaceDE w:val="0"/>
        <w:autoSpaceDN w:val="0"/>
        <w:adjustRightInd w:val="0"/>
        <w:jc w:val="both"/>
        <w:outlineLvl w:val="1"/>
        <w:rPr>
          <w:rFonts w:eastAsia="Times New Roman" w:cs="Helvetica-Light"/>
          <w:color w:val="000000"/>
        </w:rPr>
      </w:pPr>
    </w:p>
    <w:p w14:paraId="5925399C" w14:textId="3AF6936E" w:rsidR="00B25D35" w:rsidRPr="00B25D35" w:rsidRDefault="004A7A82" w:rsidP="1296B87A">
      <w:pPr>
        <w:keepNext/>
        <w:autoSpaceDE w:val="0"/>
        <w:autoSpaceDN w:val="0"/>
        <w:adjustRightInd w:val="0"/>
        <w:jc w:val="both"/>
        <w:outlineLvl w:val="1"/>
        <w:rPr>
          <w:rFonts w:eastAsia="Times New Roman" w:cs="Helvetica-Light"/>
          <w:color w:val="000000"/>
        </w:rPr>
      </w:pPr>
      <w:r w:rsidRPr="1296B87A">
        <w:rPr>
          <w:rFonts w:eastAsia="Times New Roman" w:cs="Helvetica-Light"/>
          <w:color w:val="000000" w:themeColor="text1"/>
        </w:rPr>
        <w:t xml:space="preserve">The </w:t>
      </w:r>
      <w:proofErr w:type="gramStart"/>
      <w:r w:rsidRPr="1296B87A">
        <w:rPr>
          <w:rFonts w:eastAsia="Times New Roman" w:cs="Helvetica-Light"/>
          <w:color w:val="000000" w:themeColor="text1"/>
        </w:rPr>
        <w:t>long term</w:t>
      </w:r>
      <w:proofErr w:type="gramEnd"/>
      <w:r w:rsidRPr="1296B87A">
        <w:rPr>
          <w:rFonts w:eastAsia="Times New Roman" w:cs="Helvetica-Light"/>
          <w:color w:val="000000" w:themeColor="text1"/>
        </w:rPr>
        <w:t xml:space="preserve"> funding requirements of the existing asset base should be considered as a priority to maintain the existing asset base required by the services, to the standards set by the individual asset management strategies. This, whilst not being a developed delivery plan, forms an important part of the contextual assessment and provides a background within which individual funding decisions can be made.  </w:t>
      </w:r>
      <w:proofErr w:type="gramStart"/>
      <w:r w:rsidRPr="1296B87A">
        <w:rPr>
          <w:rFonts w:eastAsia="Times New Roman" w:cs="Helvetica-Light"/>
          <w:color w:val="000000" w:themeColor="text1"/>
        </w:rPr>
        <w:t>However</w:t>
      </w:r>
      <w:proofErr w:type="gramEnd"/>
      <w:r w:rsidRPr="1296B87A">
        <w:rPr>
          <w:rFonts w:eastAsia="Times New Roman" w:cs="Helvetica-Light"/>
          <w:color w:val="000000" w:themeColor="text1"/>
        </w:rPr>
        <w:t xml:space="preserve"> this needs to be within the boundaries of affordability so decisions might need to be made to reduce the asset base to a sustainable level given the investment required.  </w:t>
      </w:r>
    </w:p>
    <w:p w14:paraId="04200A30" w14:textId="37954080" w:rsidR="00B25D35" w:rsidRPr="00B25D35" w:rsidRDefault="00B25D35" w:rsidP="00B25D35">
      <w:pPr>
        <w:rPr>
          <w:rFonts w:eastAsia="Times New Roman" w:cs="Arial"/>
          <w:sz w:val="28"/>
          <w:szCs w:val="28"/>
        </w:rPr>
      </w:pPr>
    </w:p>
    <w:p w14:paraId="5C339838" w14:textId="017ABA79" w:rsidR="00B25D35" w:rsidRPr="00B25D35" w:rsidRDefault="004A7A82" w:rsidP="00B25D35">
      <w:pPr>
        <w:jc w:val="both"/>
        <w:rPr>
          <w:rFonts w:eastAsia="Times New Roman" w:cs="Arial"/>
        </w:rPr>
      </w:pPr>
      <w:r w:rsidRPr="1296B87A">
        <w:rPr>
          <w:rFonts w:eastAsia="Times New Roman" w:cs="Arial"/>
        </w:rPr>
        <w:t xml:space="preserve">The </w:t>
      </w:r>
      <w:r w:rsidR="00FE2CEF">
        <w:rPr>
          <w:rFonts w:eastAsia="Times New Roman" w:cs="Arial"/>
        </w:rPr>
        <w:t>C</w:t>
      </w:r>
      <w:r w:rsidRPr="1296B87A">
        <w:rPr>
          <w:rFonts w:eastAsia="Times New Roman" w:cs="Arial"/>
        </w:rPr>
        <w:t xml:space="preserve">ouncil is keen to ensure that there is efficient and effective usage of its capital assets and the resources tied up in them. This </w:t>
      </w:r>
      <w:proofErr w:type="gramStart"/>
      <w:r w:rsidRPr="1296B87A">
        <w:rPr>
          <w:rFonts w:eastAsia="Times New Roman" w:cs="Arial"/>
        </w:rPr>
        <w:t>20 year</w:t>
      </w:r>
      <w:proofErr w:type="gramEnd"/>
      <w:r w:rsidRPr="1296B87A">
        <w:rPr>
          <w:rFonts w:eastAsia="Times New Roman" w:cs="Arial"/>
        </w:rPr>
        <w:t xml:space="preserve"> capital strategy therefore sets out the corporate aims and principles that underpin the production of the capital programme to be approved each February.  The strategy will be reviewed at this time each year to ensure that it reflects the changing regulatory environment and the needs and priorities of the </w:t>
      </w:r>
      <w:r w:rsidR="00FE2CEF">
        <w:rPr>
          <w:rFonts w:eastAsia="Times New Roman" w:cs="Arial"/>
        </w:rPr>
        <w:t>C</w:t>
      </w:r>
      <w:r w:rsidRPr="1296B87A">
        <w:rPr>
          <w:rFonts w:eastAsia="Times New Roman" w:cs="Arial"/>
        </w:rPr>
        <w:t>ouncil.</w:t>
      </w:r>
    </w:p>
    <w:p w14:paraId="426392CE" w14:textId="70C01EBF" w:rsidR="00B25D35" w:rsidRPr="00B25D35" w:rsidRDefault="00B25D35" w:rsidP="00B25D35">
      <w:pPr>
        <w:rPr>
          <w:rFonts w:eastAsia="Times New Roman" w:cs="Arial"/>
        </w:rPr>
      </w:pPr>
    </w:p>
    <w:p w14:paraId="0103C959" w14:textId="133B2366" w:rsidR="00B25D35" w:rsidRPr="00B25D35" w:rsidRDefault="004A7A82" w:rsidP="00B25D35">
      <w:pPr>
        <w:jc w:val="both"/>
        <w:rPr>
          <w:rFonts w:eastAsia="Times New Roman" w:cs="Arial"/>
        </w:rPr>
      </w:pPr>
      <w:r w:rsidRPr="1296B87A">
        <w:rPr>
          <w:rFonts w:eastAsia="Times New Roman" w:cs="Arial"/>
        </w:rPr>
        <w:t xml:space="preserve">The Capital Strategy aims to support the delivery of the </w:t>
      </w:r>
      <w:r w:rsidR="00FE2CEF">
        <w:rPr>
          <w:rFonts w:eastAsia="Times New Roman" w:cs="Arial"/>
        </w:rPr>
        <w:t>C</w:t>
      </w:r>
      <w:r w:rsidRPr="1296B87A">
        <w:rPr>
          <w:rFonts w:eastAsia="Times New Roman" w:cs="Arial"/>
        </w:rPr>
        <w:t xml:space="preserve">ouncil's corporate priorities by investing in our capital asset base within the resources available and with due regard to risk management within our asset management.  </w:t>
      </w:r>
    </w:p>
    <w:p w14:paraId="09500D03" w14:textId="7FF00E5D" w:rsidR="00B25D35" w:rsidRPr="00B25D35" w:rsidRDefault="00B25D35" w:rsidP="00B25D35">
      <w:pPr>
        <w:rPr>
          <w:rFonts w:eastAsia="Times New Roman" w:cs="Arial"/>
        </w:rPr>
      </w:pPr>
    </w:p>
    <w:p w14:paraId="5F0FEFF9" w14:textId="21D7A04F" w:rsidR="00B25D35" w:rsidRPr="00B25D35" w:rsidRDefault="004A7A82" w:rsidP="00B25D35">
      <w:pPr>
        <w:rPr>
          <w:rFonts w:eastAsia="Times New Roman" w:cs="Arial"/>
        </w:rPr>
      </w:pPr>
      <w:r w:rsidRPr="1296B87A">
        <w:rPr>
          <w:rFonts w:eastAsia="Times New Roman" w:cs="Arial"/>
        </w:rPr>
        <w:t xml:space="preserve">Key priorities for application of capital expenditure are: </w:t>
      </w:r>
    </w:p>
    <w:p w14:paraId="01761E88" w14:textId="7D4A97CC" w:rsidR="00B25D35" w:rsidRPr="00B25D35" w:rsidRDefault="004A7A82" w:rsidP="005838A0">
      <w:pPr>
        <w:numPr>
          <w:ilvl w:val="0"/>
          <w:numId w:val="24"/>
        </w:numPr>
        <w:autoSpaceDE w:val="0"/>
        <w:autoSpaceDN w:val="0"/>
        <w:adjustRightInd w:val="0"/>
        <w:jc w:val="both"/>
        <w:rPr>
          <w:rFonts w:eastAsia="Times New Roman" w:cs="Arial"/>
        </w:rPr>
      </w:pPr>
      <w:r w:rsidRPr="1296B87A">
        <w:rPr>
          <w:rFonts w:eastAsia="Times New Roman" w:cs="Arial"/>
        </w:rPr>
        <w:t>Delivering the policy ambitions of the corporate priorities.</w:t>
      </w:r>
    </w:p>
    <w:p w14:paraId="2B7DF4F7" w14:textId="28872CC0" w:rsidR="00B25D35" w:rsidRPr="00B25D35" w:rsidRDefault="004A7A82" w:rsidP="005838A0">
      <w:pPr>
        <w:numPr>
          <w:ilvl w:val="0"/>
          <w:numId w:val="24"/>
        </w:numPr>
        <w:autoSpaceDE w:val="0"/>
        <w:autoSpaceDN w:val="0"/>
        <w:adjustRightInd w:val="0"/>
        <w:jc w:val="both"/>
        <w:rPr>
          <w:rFonts w:eastAsia="Times New Roman" w:cs="Arial"/>
        </w:rPr>
      </w:pPr>
      <w:r w:rsidRPr="1296B87A">
        <w:rPr>
          <w:rFonts w:eastAsia="Times New Roman" w:cs="Arial"/>
        </w:rPr>
        <w:t>Managing the risks within the existing asset base.</w:t>
      </w:r>
    </w:p>
    <w:p w14:paraId="1A2B6BFE" w14:textId="7AA01E15" w:rsidR="00B25D35" w:rsidRPr="00B25D35" w:rsidRDefault="004A7A82" w:rsidP="005838A0">
      <w:pPr>
        <w:numPr>
          <w:ilvl w:val="0"/>
          <w:numId w:val="24"/>
        </w:numPr>
        <w:autoSpaceDE w:val="0"/>
        <w:autoSpaceDN w:val="0"/>
        <w:adjustRightInd w:val="0"/>
        <w:jc w:val="both"/>
        <w:rPr>
          <w:rFonts w:eastAsia="Times New Roman" w:cs="Arial"/>
        </w:rPr>
      </w:pPr>
      <w:r w:rsidRPr="1296B87A">
        <w:rPr>
          <w:rFonts w:eastAsia="Times New Roman" w:cs="Arial"/>
        </w:rPr>
        <w:t xml:space="preserve">Exercising financial prudence and maintaining debt levels that are sustainable within the </w:t>
      </w:r>
      <w:r w:rsidR="00FE2CEF">
        <w:rPr>
          <w:rFonts w:eastAsia="Times New Roman" w:cs="Arial"/>
        </w:rPr>
        <w:t>C</w:t>
      </w:r>
      <w:r w:rsidRPr="1296B87A">
        <w:rPr>
          <w:rFonts w:eastAsia="Times New Roman" w:cs="Arial"/>
        </w:rPr>
        <w:t xml:space="preserve">ouncil's revenue budget. </w:t>
      </w:r>
    </w:p>
    <w:p w14:paraId="0EDAC076" w14:textId="373A471F" w:rsidR="00B25D35" w:rsidRPr="00B25D35" w:rsidRDefault="004A7A82" w:rsidP="005838A0">
      <w:pPr>
        <w:numPr>
          <w:ilvl w:val="0"/>
          <w:numId w:val="24"/>
        </w:numPr>
        <w:autoSpaceDE w:val="0"/>
        <w:autoSpaceDN w:val="0"/>
        <w:adjustRightInd w:val="0"/>
        <w:jc w:val="both"/>
        <w:rPr>
          <w:rFonts w:eastAsia="Times New Roman" w:cs="Arial"/>
        </w:rPr>
      </w:pPr>
      <w:r w:rsidRPr="1296B87A">
        <w:rPr>
          <w:rFonts w:eastAsia="Times New Roman" w:cs="Arial"/>
        </w:rPr>
        <w:t xml:space="preserve">Investing in schemes which will reduce the </w:t>
      </w:r>
      <w:r w:rsidR="00FE2CEF">
        <w:rPr>
          <w:rFonts w:eastAsia="Times New Roman" w:cs="Arial"/>
        </w:rPr>
        <w:t>C</w:t>
      </w:r>
      <w:r w:rsidRPr="1296B87A">
        <w:rPr>
          <w:rFonts w:eastAsia="Times New Roman" w:cs="Arial"/>
        </w:rPr>
        <w:t>ouncil's revenue costs.</w:t>
      </w:r>
    </w:p>
    <w:p w14:paraId="79162E24" w14:textId="627D00C3" w:rsidR="00B25D35" w:rsidRPr="00B25D35" w:rsidRDefault="004A7A82" w:rsidP="005838A0">
      <w:pPr>
        <w:numPr>
          <w:ilvl w:val="0"/>
          <w:numId w:val="24"/>
        </w:numPr>
        <w:autoSpaceDE w:val="0"/>
        <w:autoSpaceDN w:val="0"/>
        <w:adjustRightInd w:val="0"/>
        <w:jc w:val="both"/>
        <w:rPr>
          <w:rFonts w:eastAsia="Times New Roman" w:cs="Arial"/>
        </w:rPr>
      </w:pPr>
      <w:r w:rsidRPr="1296B87A">
        <w:rPr>
          <w:rFonts w:eastAsia="Times New Roman" w:cs="Arial"/>
        </w:rPr>
        <w:t xml:space="preserve">Being alert to opportunities to lever in additional resources including external funds to help deliver the Corporate Strategy priorities. </w:t>
      </w:r>
    </w:p>
    <w:p w14:paraId="62F51745" w14:textId="31F14708" w:rsidR="00B25D35" w:rsidRPr="00B25D35" w:rsidRDefault="004A7A82" w:rsidP="00B25D35">
      <w:pPr>
        <w:autoSpaceDE w:val="0"/>
        <w:autoSpaceDN w:val="0"/>
        <w:adjustRightInd w:val="0"/>
        <w:ind w:left="720"/>
        <w:jc w:val="both"/>
        <w:rPr>
          <w:rFonts w:eastAsia="Times New Roman" w:cs="Arial"/>
        </w:rPr>
      </w:pPr>
      <w:r w:rsidRPr="1296B87A">
        <w:rPr>
          <w:rFonts w:eastAsia="Times New Roman" w:cs="Arial"/>
        </w:rPr>
        <w:t xml:space="preserve"> </w:t>
      </w:r>
    </w:p>
    <w:p w14:paraId="6F8AA1C8" w14:textId="7B42B3C6" w:rsidR="00B25D35" w:rsidRPr="00B25D35" w:rsidRDefault="004A7A82" w:rsidP="00B25D35">
      <w:pPr>
        <w:jc w:val="both"/>
        <w:rPr>
          <w:rFonts w:eastAsia="Times New Roman" w:cs="Arial"/>
        </w:rPr>
      </w:pPr>
      <w:r w:rsidRPr="1296B87A">
        <w:rPr>
          <w:rFonts w:eastAsia="Times New Roman" w:cs="Arial"/>
        </w:rPr>
        <w:t xml:space="preserve">The Capital Strategy should be read in conjunction with the Treasury Management Strategy, Prudential Indicators, Minimum Revenue Provision and Capitalisation policies, as well as the </w:t>
      </w:r>
      <w:r w:rsidR="00AE0278">
        <w:rPr>
          <w:rFonts w:eastAsia="Times New Roman" w:cs="Arial"/>
        </w:rPr>
        <w:t>m</w:t>
      </w:r>
      <w:r w:rsidRPr="1296B87A">
        <w:rPr>
          <w:rFonts w:eastAsia="Times New Roman" w:cs="Arial"/>
        </w:rPr>
        <w:t>edium</w:t>
      </w:r>
      <w:r w:rsidR="00AE0278">
        <w:rPr>
          <w:rFonts w:eastAsia="Times New Roman" w:cs="Arial"/>
        </w:rPr>
        <w:t>-t</w:t>
      </w:r>
      <w:r w:rsidRPr="1296B87A">
        <w:rPr>
          <w:rFonts w:eastAsia="Times New Roman" w:cs="Arial"/>
        </w:rPr>
        <w:t xml:space="preserve">erm </w:t>
      </w:r>
      <w:r w:rsidR="00AE0278">
        <w:rPr>
          <w:rFonts w:eastAsia="Times New Roman" w:cs="Arial"/>
        </w:rPr>
        <w:t>f</w:t>
      </w:r>
      <w:r w:rsidRPr="1296B87A">
        <w:rPr>
          <w:rFonts w:eastAsia="Times New Roman" w:cs="Arial"/>
        </w:rPr>
        <w:t xml:space="preserve">inancial </w:t>
      </w:r>
      <w:r w:rsidR="00AE0278">
        <w:rPr>
          <w:rFonts w:eastAsia="Times New Roman" w:cs="Arial"/>
        </w:rPr>
        <w:t>s</w:t>
      </w:r>
      <w:r w:rsidRPr="1296B87A">
        <w:rPr>
          <w:rFonts w:eastAsia="Times New Roman" w:cs="Arial"/>
        </w:rPr>
        <w:t xml:space="preserve">trategy and the annual budget report.  The principles of the Capital Strategy are the basis for the development of the Asset Management Strategies. </w:t>
      </w:r>
    </w:p>
    <w:p w14:paraId="346D6F31" w14:textId="0236CA65" w:rsidR="00B25D35" w:rsidRPr="00B25D35" w:rsidRDefault="00B25D35" w:rsidP="00B25D35">
      <w:pPr>
        <w:jc w:val="both"/>
        <w:rPr>
          <w:rFonts w:eastAsia="Times New Roman" w:cs="Arial"/>
        </w:rPr>
      </w:pPr>
    </w:p>
    <w:p w14:paraId="654F7640" w14:textId="2B480055" w:rsidR="00B25D35" w:rsidRPr="00B25D35" w:rsidRDefault="004A7A82" w:rsidP="001D230B">
      <w:pPr>
        <w:jc w:val="both"/>
        <w:rPr>
          <w:rFonts w:eastAsia="Times New Roman" w:cs="Arial"/>
        </w:rPr>
      </w:pPr>
      <w:r w:rsidRPr="1296B87A">
        <w:rPr>
          <w:rFonts w:eastAsia="Times New Roman" w:cs="Arial"/>
        </w:rPr>
        <w:lastRenderedPageBreak/>
        <w:t xml:space="preserve">The Asset Management Strategies will set out the standard to which each class or type of asset will be maintained to and will ensure there is consistency of approach between the types of assets used by different services. </w:t>
      </w:r>
    </w:p>
    <w:p w14:paraId="34787215" w14:textId="580980D0" w:rsidR="00B25D35" w:rsidRPr="00B25D35" w:rsidRDefault="004A7A82" w:rsidP="00B25D35">
      <w:pPr>
        <w:rPr>
          <w:rFonts w:eastAsia="Times New Roman" w:cs="Arial"/>
        </w:rPr>
      </w:pPr>
      <w:r w:rsidRPr="1296B87A">
        <w:rPr>
          <w:rFonts w:eastAsia="Times New Roman" w:cs="Arial"/>
        </w:rPr>
        <w:t xml:space="preserve"> </w:t>
      </w:r>
    </w:p>
    <w:p w14:paraId="0BBD5AA3" w14:textId="44FDD590" w:rsidR="00B25D35" w:rsidRPr="00B25D35" w:rsidRDefault="004A7A82" w:rsidP="00B25D35">
      <w:pPr>
        <w:jc w:val="both"/>
        <w:rPr>
          <w:rFonts w:eastAsia="Times New Roman" w:cs="Arial"/>
        </w:rPr>
      </w:pPr>
      <w:r w:rsidRPr="1296B87A">
        <w:rPr>
          <w:rFonts w:eastAsia="Times New Roman" w:cs="Arial"/>
        </w:rPr>
        <w:t xml:space="preserve">The </w:t>
      </w:r>
      <w:r w:rsidR="00FE2CEF">
        <w:rPr>
          <w:rFonts w:eastAsia="Times New Roman" w:cs="Arial"/>
        </w:rPr>
        <w:t>C</w:t>
      </w:r>
      <w:r w:rsidRPr="1296B87A">
        <w:rPr>
          <w:rFonts w:eastAsia="Times New Roman" w:cs="Arial"/>
        </w:rPr>
        <w:t xml:space="preserve">ouncil has set out this strategy being fully aware that there will be competing pressures on the limited resources to fund the capital programme each year from the diverse range of services that the </w:t>
      </w:r>
      <w:r w:rsidR="00FE2CEF">
        <w:rPr>
          <w:rFonts w:eastAsia="Times New Roman" w:cs="Arial"/>
        </w:rPr>
        <w:t>C</w:t>
      </w:r>
      <w:r w:rsidRPr="1296B87A">
        <w:rPr>
          <w:rFonts w:eastAsia="Times New Roman" w:cs="Arial"/>
        </w:rPr>
        <w:t xml:space="preserve">ouncil provides, the large and diverse asset base that the </w:t>
      </w:r>
      <w:r w:rsidR="00FE2CEF">
        <w:rPr>
          <w:rFonts w:eastAsia="Times New Roman" w:cs="Arial"/>
        </w:rPr>
        <w:t>C</w:t>
      </w:r>
      <w:r w:rsidRPr="1296B87A">
        <w:rPr>
          <w:rFonts w:eastAsia="Times New Roman" w:cs="Arial"/>
        </w:rPr>
        <w:t xml:space="preserve">ouncil needs to maintain, as well as the finite amount of funding that is available. The current processes within the setting of the capital delivery programme are to limit the requirements in certain blocks to that of the funding available, this means fixing worse first in terms of condition of buildings including schools. </w:t>
      </w:r>
    </w:p>
    <w:p w14:paraId="7A4ACBDE" w14:textId="37811820" w:rsidR="00B25D35" w:rsidRPr="00B25D35" w:rsidRDefault="00B25D35" w:rsidP="00B25D35">
      <w:pPr>
        <w:jc w:val="both"/>
        <w:rPr>
          <w:rFonts w:eastAsia="Times New Roman" w:cs="Arial"/>
        </w:rPr>
      </w:pPr>
    </w:p>
    <w:p w14:paraId="227C0DBE" w14:textId="18B0A826" w:rsidR="00B25D35" w:rsidRPr="00B25D35" w:rsidRDefault="004A7A82" w:rsidP="00B25D35">
      <w:pPr>
        <w:jc w:val="both"/>
        <w:rPr>
          <w:rFonts w:eastAsia="Times New Roman" w:cs="Arial"/>
        </w:rPr>
      </w:pPr>
      <w:r w:rsidRPr="1296B87A">
        <w:rPr>
          <w:rFonts w:eastAsia="Times New Roman" w:cs="Arial"/>
        </w:rPr>
        <w:t>Additional expenditure for urgent projects has historically been on a reactive basis which can lead to higher cost projects than could otherwise be the case or repeated visits to the same building over time which is not efficient.</w:t>
      </w:r>
      <w:r w:rsidR="0021489B">
        <w:rPr>
          <w:rFonts w:eastAsia="Times New Roman" w:cs="Arial"/>
        </w:rPr>
        <w:t xml:space="preserve"> </w:t>
      </w:r>
      <w:r w:rsidRPr="1296B87A">
        <w:rPr>
          <w:rFonts w:eastAsia="Times New Roman" w:cs="Arial"/>
        </w:rPr>
        <w:t xml:space="preserve">This approach does not address all the risks within the asset portfolio and is therefore not sustainable in the long term over which this strategy is to be applied. A move to a more proactive capital programme delivery, which focuses on managing risks within the asset base and control of demand for capital resources, is required.  This will require leadership at all levels to ensure that the resources available are deployed in the most effective and efficient way and a process for the prioritisation of capital expenditure being included in the capital programme has been developed.  </w:t>
      </w:r>
    </w:p>
    <w:p w14:paraId="0C2802E0" w14:textId="4F1A0F5B" w:rsidR="00B25D35" w:rsidRPr="00B25D35" w:rsidRDefault="00B25D35" w:rsidP="00B25D35">
      <w:pPr>
        <w:jc w:val="both"/>
        <w:rPr>
          <w:rFonts w:eastAsia="Times New Roman" w:cs="Arial"/>
        </w:rPr>
      </w:pPr>
    </w:p>
    <w:p w14:paraId="7602FE79" w14:textId="5035E51B" w:rsidR="00B25D35" w:rsidRPr="00B25D35" w:rsidRDefault="004A7A82" w:rsidP="00B25D35">
      <w:pPr>
        <w:jc w:val="both"/>
        <w:rPr>
          <w:rFonts w:eastAsia="Times New Roman" w:cs="Arial"/>
        </w:rPr>
      </w:pPr>
      <w:r w:rsidRPr="1296B87A">
        <w:rPr>
          <w:rFonts w:eastAsia="Times New Roman" w:cs="Arial"/>
        </w:rPr>
        <w:t>The property portfolio review being undertaken will also help to reduce the number of corporate property assets held to ensure that the demands on future capital funding will be sustainable.</w:t>
      </w:r>
      <w:r w:rsidR="002E5F9C">
        <w:rPr>
          <w:rFonts w:eastAsia="Times New Roman" w:cs="Arial"/>
        </w:rPr>
        <w:t xml:space="preserve"> </w:t>
      </w:r>
      <w:r w:rsidRPr="1296B87A">
        <w:rPr>
          <w:rFonts w:eastAsia="Times New Roman" w:cs="Arial"/>
        </w:rPr>
        <w:t xml:space="preserve">It is important to ensure that the development of the capital programme is carried out with due regard to risk management and prudent and sustainable resource management.  </w:t>
      </w:r>
    </w:p>
    <w:p w14:paraId="6BE96383" w14:textId="53316A87" w:rsidR="00B25D35" w:rsidRPr="00B25D35" w:rsidRDefault="00B25D35" w:rsidP="00B25D35">
      <w:pPr>
        <w:jc w:val="both"/>
        <w:rPr>
          <w:rFonts w:eastAsia="Times New Roman" w:cs="Arial"/>
        </w:rPr>
      </w:pPr>
    </w:p>
    <w:p w14:paraId="739B86A8" w14:textId="42790638" w:rsidR="00B25D35" w:rsidRPr="00B25D35" w:rsidRDefault="004A7A82" w:rsidP="00B25D35">
      <w:pPr>
        <w:jc w:val="both"/>
        <w:rPr>
          <w:rFonts w:eastAsia="Times New Roman" w:cs="Arial"/>
        </w:rPr>
      </w:pPr>
      <w:r w:rsidRPr="1296B87A">
        <w:rPr>
          <w:rFonts w:eastAsia="Times New Roman" w:cs="Arial"/>
        </w:rPr>
        <w:t xml:space="preserve">In relation to the available funding, being reflective of the current macro-economic position with respect to interest rates, </w:t>
      </w:r>
      <w:proofErr w:type="gramStart"/>
      <w:r w:rsidRPr="1296B87A">
        <w:rPr>
          <w:rFonts w:eastAsia="Times New Roman" w:cs="Arial"/>
        </w:rPr>
        <w:t>and also</w:t>
      </w:r>
      <w:proofErr w:type="gramEnd"/>
      <w:r w:rsidRPr="1296B87A">
        <w:rPr>
          <w:rFonts w:eastAsia="Times New Roman" w:cs="Arial"/>
        </w:rPr>
        <w:t xml:space="preserve"> being cognisant of the impact any additional borrowing has on the revenue budget, the capital financing costs within the revenue budget should remain at financially sustainable levels.  The level of additional borrowing that can be supported within the revenue budget will be considered each year when setting the budget and capital programme with exceptions being considered for projects that will generate income towards, or repayment of, the financing costs over the short to medium term.   </w:t>
      </w:r>
    </w:p>
    <w:p w14:paraId="3089D4CA" w14:textId="43479A67" w:rsidR="00B25D35" w:rsidRPr="00B25D35" w:rsidRDefault="00B25D35" w:rsidP="00B25D35">
      <w:pPr>
        <w:jc w:val="both"/>
        <w:rPr>
          <w:rFonts w:eastAsia="Times New Roman" w:cs="Arial"/>
        </w:rPr>
      </w:pPr>
    </w:p>
    <w:p w14:paraId="32B529AB" w14:textId="584400D0" w:rsidR="00B25D35" w:rsidRPr="00B25D35" w:rsidRDefault="004A7A82" w:rsidP="00B25D35">
      <w:pPr>
        <w:jc w:val="both"/>
        <w:rPr>
          <w:rFonts w:eastAsia="Times New Roman" w:cs="Arial"/>
        </w:rPr>
      </w:pPr>
      <w:r w:rsidRPr="1296B87A">
        <w:rPr>
          <w:rFonts w:eastAsia="Times New Roman" w:cs="Arial"/>
        </w:rPr>
        <w:t xml:space="preserve">To have regard to the affordability of the capital programme developed within the </w:t>
      </w:r>
      <w:proofErr w:type="gramStart"/>
      <w:r w:rsidRPr="1296B87A">
        <w:rPr>
          <w:rFonts w:eastAsia="Times New Roman" w:cs="Arial"/>
        </w:rPr>
        <w:t>longer term</w:t>
      </w:r>
      <w:proofErr w:type="gramEnd"/>
      <w:r w:rsidRPr="1296B87A">
        <w:rPr>
          <w:rFonts w:eastAsia="Times New Roman" w:cs="Arial"/>
        </w:rPr>
        <w:t xml:space="preserve"> strategy there will be a limit on the scale of additional prudential borrowing each year.  This will be set by reference to the C</w:t>
      </w:r>
      <w:r w:rsidR="006D39B6">
        <w:rPr>
          <w:rFonts w:eastAsia="Times New Roman" w:cs="Arial"/>
        </w:rPr>
        <w:t>IPFA</w:t>
      </w:r>
      <w:r w:rsidRPr="1296B87A">
        <w:rPr>
          <w:rFonts w:eastAsia="Times New Roman" w:cs="Arial"/>
        </w:rPr>
        <w:t xml:space="preserve"> national indices on financial resilience which include the proportion of a council's net revenue budget that is being used to fund capital financing costs.  The intention is to maintain or reduce this proportion from current levels accepting that this be directly impacted by interest rate changes and the scale of future increases in the net revenue budget.  The </w:t>
      </w:r>
      <w:proofErr w:type="gramStart"/>
      <w:r w:rsidRPr="1296B87A">
        <w:rPr>
          <w:rFonts w:eastAsia="Times New Roman" w:cs="Arial"/>
        </w:rPr>
        <w:t>medium term</w:t>
      </w:r>
      <w:proofErr w:type="gramEnd"/>
      <w:r w:rsidRPr="1296B87A">
        <w:rPr>
          <w:rFonts w:eastAsia="Times New Roman" w:cs="Arial"/>
        </w:rPr>
        <w:t xml:space="preserve"> financial strategy assumes an annual headroom figure of £50m for additional prudential borrowing which will be reviewed annually. By utilising this borrowing headroom figure and developing this resilience plan going forward it is anticipated that future investment decisions are both sustainable and affordable.  </w:t>
      </w:r>
    </w:p>
    <w:p w14:paraId="6B0C4841" w14:textId="7E7AA39F" w:rsidR="00B25D35" w:rsidRPr="00B25D35" w:rsidRDefault="00B25D35" w:rsidP="00B25D35">
      <w:pPr>
        <w:jc w:val="both"/>
        <w:rPr>
          <w:rFonts w:eastAsia="Times New Roman" w:cs="Arial"/>
        </w:rPr>
      </w:pPr>
    </w:p>
    <w:p w14:paraId="513CDC39" w14:textId="471031C8" w:rsidR="00B25D35" w:rsidRPr="00B25D35" w:rsidRDefault="004A7A82" w:rsidP="00B25D35">
      <w:pPr>
        <w:jc w:val="both"/>
        <w:rPr>
          <w:rFonts w:eastAsia="Times New Roman" w:cs="Arial"/>
        </w:rPr>
      </w:pPr>
      <w:r w:rsidRPr="1296B87A">
        <w:rPr>
          <w:rFonts w:eastAsia="Times New Roman" w:cs="Arial"/>
        </w:rPr>
        <w:lastRenderedPageBreak/>
        <w:t xml:space="preserve">Items where the borrowing is of a cash flow or an invest to save nature will be excluded from the borrowing headroom with the borrowing being repaid from the return on the investment.  For clarity these items are still required to be shown in the minimum revenue position within the budget but can be excluded from the headroom calculation in determining levels of investment each year.  </w:t>
      </w:r>
    </w:p>
    <w:p w14:paraId="26D9653A" w14:textId="2F742C5C" w:rsidR="00B25D35" w:rsidRPr="00B25D35" w:rsidRDefault="00B25D35" w:rsidP="00B25D35">
      <w:pPr>
        <w:rPr>
          <w:rFonts w:eastAsia="Times New Roman" w:cs="Arial"/>
        </w:rPr>
      </w:pPr>
    </w:p>
    <w:p w14:paraId="7D0D38D5" w14:textId="5D22FF68" w:rsidR="00B25D35" w:rsidRPr="00B25D35" w:rsidRDefault="004A7A82" w:rsidP="005838A0">
      <w:pPr>
        <w:keepNext/>
        <w:numPr>
          <w:ilvl w:val="1"/>
          <w:numId w:val="23"/>
        </w:numPr>
        <w:autoSpaceDE w:val="0"/>
        <w:autoSpaceDN w:val="0"/>
        <w:adjustRightInd w:val="0"/>
        <w:ind w:left="567" w:hanging="567"/>
        <w:jc w:val="both"/>
        <w:outlineLvl w:val="1"/>
        <w:rPr>
          <w:rFonts w:eastAsia="Times New Roman" w:cs="Helvetica-Light"/>
          <w:b/>
          <w:bCs/>
          <w:color w:val="000000"/>
        </w:rPr>
      </w:pPr>
      <w:r w:rsidRPr="1296B87A">
        <w:rPr>
          <w:rFonts w:eastAsia="Times New Roman" w:cs="Helvetica-Light"/>
          <w:b/>
          <w:bCs/>
          <w:color w:val="000000" w:themeColor="text1"/>
        </w:rPr>
        <w:t>The key objective of Lancashire's Capital Strategy</w:t>
      </w:r>
    </w:p>
    <w:p w14:paraId="082AE679" w14:textId="77777777" w:rsidR="007C2EE8" w:rsidRPr="00B25D35" w:rsidRDefault="007C2EE8" w:rsidP="007C2EE8">
      <w:pPr>
        <w:keepNext/>
        <w:autoSpaceDE w:val="0"/>
        <w:autoSpaceDN w:val="0"/>
        <w:adjustRightInd w:val="0"/>
        <w:ind w:left="567"/>
        <w:jc w:val="both"/>
        <w:outlineLvl w:val="1"/>
        <w:rPr>
          <w:rFonts w:eastAsia="Times New Roman" w:cs="Helvetica-Light"/>
          <w:b/>
          <w:bCs/>
          <w:color w:val="000000"/>
        </w:rPr>
      </w:pPr>
    </w:p>
    <w:p w14:paraId="7F4A509D" w14:textId="48C4902D" w:rsidR="00B25D35" w:rsidRPr="00B25D35" w:rsidRDefault="004A7A82" w:rsidP="00CD2ADC">
      <w:pPr>
        <w:jc w:val="both"/>
        <w:rPr>
          <w:rFonts w:eastAsia="Times New Roman" w:cs="Arial"/>
        </w:rPr>
      </w:pPr>
      <w:r w:rsidRPr="1296B87A">
        <w:rPr>
          <w:rFonts w:eastAsia="Times New Roman" w:cs="Arial"/>
        </w:rPr>
        <w:t xml:space="preserve">The key objective of the Capital Strategy is to provide a framework within which the Capital Programme for delivery will be developed.  The capital programme will: </w:t>
      </w:r>
    </w:p>
    <w:p w14:paraId="6103A65F" w14:textId="18CD21BD" w:rsidR="00B25D35" w:rsidRPr="00B25D35" w:rsidRDefault="00B25D35" w:rsidP="00B25D35">
      <w:pPr>
        <w:rPr>
          <w:rFonts w:eastAsia="Times New Roman" w:cs="Arial"/>
        </w:rPr>
      </w:pPr>
    </w:p>
    <w:p w14:paraId="641276C8" w14:textId="0FB23A21" w:rsidR="00B25D35" w:rsidRPr="00B25D35" w:rsidRDefault="004A7A82" w:rsidP="005838A0">
      <w:pPr>
        <w:numPr>
          <w:ilvl w:val="0"/>
          <w:numId w:val="25"/>
        </w:numPr>
        <w:autoSpaceDE w:val="0"/>
        <w:autoSpaceDN w:val="0"/>
        <w:adjustRightInd w:val="0"/>
        <w:jc w:val="both"/>
        <w:rPr>
          <w:rFonts w:eastAsia="Times New Roman" w:cs="Arial"/>
        </w:rPr>
      </w:pPr>
      <w:r w:rsidRPr="1296B87A">
        <w:rPr>
          <w:rFonts w:eastAsia="Times New Roman" w:cs="Arial"/>
        </w:rPr>
        <w:t xml:space="preserve">Ensure the </w:t>
      </w:r>
      <w:r w:rsidR="00FE2CEF">
        <w:rPr>
          <w:rFonts w:eastAsia="Times New Roman" w:cs="Arial"/>
        </w:rPr>
        <w:t>C</w:t>
      </w:r>
      <w:r w:rsidRPr="1296B87A">
        <w:rPr>
          <w:rFonts w:eastAsia="Times New Roman" w:cs="Arial"/>
        </w:rPr>
        <w:t>ouncil's existing asset base is available to support the delivery of services according to the corporate strategy and vision.</w:t>
      </w:r>
    </w:p>
    <w:p w14:paraId="3363C28E" w14:textId="49E94D93" w:rsidR="00B25D35" w:rsidRPr="00B25D35" w:rsidRDefault="004A7A82" w:rsidP="005838A0">
      <w:pPr>
        <w:numPr>
          <w:ilvl w:val="0"/>
          <w:numId w:val="25"/>
        </w:numPr>
        <w:autoSpaceDE w:val="0"/>
        <w:autoSpaceDN w:val="0"/>
        <w:adjustRightInd w:val="0"/>
        <w:jc w:val="both"/>
        <w:rPr>
          <w:rFonts w:eastAsia="Times New Roman" w:cs="Arial"/>
        </w:rPr>
      </w:pPr>
      <w:r w:rsidRPr="1296B87A">
        <w:rPr>
          <w:rFonts w:eastAsia="Times New Roman" w:cs="Arial"/>
        </w:rPr>
        <w:t>Regularly review the asset base to ensure assets no longer supporting the corporate priorities are disposed of and the capital receipts used to support the investment in remaining asset base.</w:t>
      </w:r>
    </w:p>
    <w:p w14:paraId="152B8AA5" w14:textId="6BE618F1" w:rsidR="00B25D35" w:rsidRPr="00B25D35" w:rsidRDefault="004A7A82" w:rsidP="005838A0">
      <w:pPr>
        <w:numPr>
          <w:ilvl w:val="0"/>
          <w:numId w:val="25"/>
        </w:numPr>
        <w:autoSpaceDE w:val="0"/>
        <w:autoSpaceDN w:val="0"/>
        <w:adjustRightInd w:val="0"/>
        <w:jc w:val="both"/>
        <w:rPr>
          <w:rFonts w:eastAsia="Times New Roman" w:cs="Arial"/>
        </w:rPr>
      </w:pPr>
      <w:r w:rsidRPr="1296B87A">
        <w:rPr>
          <w:rFonts w:eastAsia="Times New Roman" w:cs="Arial"/>
        </w:rPr>
        <w:t xml:space="preserve">Be affordable, financially prudent, and sustainable, and ensure that decisions are made </w:t>
      </w:r>
      <w:proofErr w:type="gramStart"/>
      <w:r w:rsidRPr="1296B87A">
        <w:rPr>
          <w:rFonts w:eastAsia="Times New Roman" w:cs="Arial"/>
        </w:rPr>
        <w:t>with regard to</w:t>
      </w:r>
      <w:proofErr w:type="gramEnd"/>
      <w:r w:rsidRPr="1296B87A">
        <w:rPr>
          <w:rFonts w:eastAsia="Times New Roman" w:cs="Arial"/>
        </w:rPr>
        <w:t xml:space="preserve"> the long running financial implications and potential risks to the authority.</w:t>
      </w:r>
    </w:p>
    <w:p w14:paraId="4272933D" w14:textId="0C3C7AD0" w:rsidR="00B25D35" w:rsidRPr="00B25D35" w:rsidRDefault="004A7A82" w:rsidP="005838A0">
      <w:pPr>
        <w:numPr>
          <w:ilvl w:val="0"/>
          <w:numId w:val="25"/>
        </w:numPr>
        <w:autoSpaceDE w:val="0"/>
        <w:autoSpaceDN w:val="0"/>
        <w:adjustRightInd w:val="0"/>
        <w:jc w:val="both"/>
        <w:rPr>
          <w:rFonts w:eastAsia="Times New Roman" w:cs="Arial"/>
        </w:rPr>
      </w:pPr>
      <w:r w:rsidRPr="1296B87A">
        <w:rPr>
          <w:rFonts w:eastAsia="Times New Roman" w:cs="Arial"/>
        </w:rPr>
        <w:t xml:space="preserve">Ensure all new capital investment is deployed in such a way to ensure the asset base can be utilised in the most effective way.   </w:t>
      </w:r>
    </w:p>
    <w:p w14:paraId="408766F3" w14:textId="59852A6D" w:rsidR="00B25D35" w:rsidRPr="00B25D35" w:rsidRDefault="00B25D35" w:rsidP="00B25D35">
      <w:pPr>
        <w:ind w:left="720"/>
        <w:rPr>
          <w:rFonts w:eastAsia="Times New Roman" w:cs="Arial"/>
        </w:rPr>
      </w:pPr>
    </w:p>
    <w:p w14:paraId="25853F50" w14:textId="675E5A18" w:rsidR="00B25D35" w:rsidRPr="00B25D35" w:rsidRDefault="004A7A82" w:rsidP="00B25D35">
      <w:pPr>
        <w:jc w:val="both"/>
        <w:rPr>
          <w:rFonts w:eastAsia="Times New Roman" w:cs="Arial"/>
        </w:rPr>
      </w:pPr>
      <w:r w:rsidRPr="1296B87A">
        <w:rPr>
          <w:rFonts w:eastAsia="Times New Roman" w:cs="Arial"/>
        </w:rPr>
        <w:t xml:space="preserve">The resources employed to fund the delivery of the Capital Strategy are allocated through the annual budget process that sets the </w:t>
      </w:r>
      <w:proofErr w:type="gramStart"/>
      <w:r w:rsidRPr="1296B87A">
        <w:rPr>
          <w:rFonts w:eastAsia="Times New Roman" w:cs="Arial"/>
        </w:rPr>
        <w:t>three year</w:t>
      </w:r>
      <w:proofErr w:type="gramEnd"/>
      <w:r w:rsidRPr="1296B87A">
        <w:rPr>
          <w:rFonts w:eastAsia="Times New Roman" w:cs="Arial"/>
        </w:rPr>
        <w:t xml:space="preserve"> rolling capital programme and will include the following:</w:t>
      </w:r>
    </w:p>
    <w:p w14:paraId="03DA9B09" w14:textId="42093515" w:rsidR="00B25D35" w:rsidRPr="00B25D35" w:rsidRDefault="004A7A82" w:rsidP="00B25D35">
      <w:pPr>
        <w:jc w:val="both"/>
        <w:rPr>
          <w:rFonts w:eastAsia="Times New Roman" w:cs="Arial"/>
        </w:rPr>
      </w:pPr>
      <w:r w:rsidRPr="1296B87A">
        <w:rPr>
          <w:rFonts w:eastAsia="Times New Roman" w:cs="Arial"/>
        </w:rPr>
        <w:t xml:space="preserve">  </w:t>
      </w:r>
    </w:p>
    <w:p w14:paraId="747A59DF" w14:textId="4B5F780E" w:rsidR="00B25D35" w:rsidRPr="00B25D35" w:rsidRDefault="004A7A82" w:rsidP="005838A0">
      <w:pPr>
        <w:numPr>
          <w:ilvl w:val="0"/>
          <w:numId w:val="26"/>
        </w:numPr>
        <w:autoSpaceDE w:val="0"/>
        <w:autoSpaceDN w:val="0"/>
        <w:adjustRightInd w:val="0"/>
        <w:jc w:val="both"/>
        <w:rPr>
          <w:rFonts w:eastAsia="Times New Roman" w:cs="Arial"/>
        </w:rPr>
      </w:pPr>
      <w:r w:rsidRPr="1296B87A">
        <w:rPr>
          <w:rFonts w:eastAsia="Times New Roman" w:cs="Arial"/>
        </w:rPr>
        <w:t>Capital Grants received, due regard will be made to the terms and conditions of the grant funding to apply the grants to the appropriate schemes.</w:t>
      </w:r>
    </w:p>
    <w:p w14:paraId="14D6A34B" w14:textId="05E32230" w:rsidR="00B25D35" w:rsidRPr="00B25D35" w:rsidRDefault="004A7A82" w:rsidP="005838A0">
      <w:pPr>
        <w:numPr>
          <w:ilvl w:val="0"/>
          <w:numId w:val="26"/>
        </w:numPr>
        <w:autoSpaceDE w:val="0"/>
        <w:autoSpaceDN w:val="0"/>
        <w:adjustRightInd w:val="0"/>
        <w:rPr>
          <w:rFonts w:eastAsia="Times New Roman" w:cs="Arial"/>
        </w:rPr>
      </w:pPr>
      <w:r w:rsidRPr="1296B87A">
        <w:rPr>
          <w:rFonts w:eastAsia="Times New Roman" w:cs="Arial"/>
        </w:rPr>
        <w:t>Capital Receipts.</w:t>
      </w:r>
    </w:p>
    <w:p w14:paraId="094341A7" w14:textId="53114E53" w:rsidR="00B25D35" w:rsidRPr="00B25D35" w:rsidRDefault="004A7A82" w:rsidP="005838A0">
      <w:pPr>
        <w:numPr>
          <w:ilvl w:val="0"/>
          <w:numId w:val="26"/>
        </w:numPr>
        <w:autoSpaceDE w:val="0"/>
        <w:autoSpaceDN w:val="0"/>
        <w:adjustRightInd w:val="0"/>
        <w:rPr>
          <w:rFonts w:eastAsia="Times New Roman" w:cs="Arial"/>
        </w:rPr>
      </w:pPr>
      <w:r w:rsidRPr="1296B87A">
        <w:rPr>
          <w:rFonts w:eastAsia="Times New Roman" w:cs="Arial"/>
        </w:rPr>
        <w:t>Borrowing, to a level which can be sustained through the revenue budget.</w:t>
      </w:r>
    </w:p>
    <w:p w14:paraId="743A4921" w14:textId="1E0BAAC4" w:rsidR="00B25D35" w:rsidRPr="00B25D35" w:rsidRDefault="004A7A82" w:rsidP="005838A0">
      <w:pPr>
        <w:numPr>
          <w:ilvl w:val="0"/>
          <w:numId w:val="26"/>
        </w:numPr>
        <w:autoSpaceDE w:val="0"/>
        <w:autoSpaceDN w:val="0"/>
        <w:adjustRightInd w:val="0"/>
        <w:jc w:val="both"/>
        <w:rPr>
          <w:rFonts w:eastAsia="Times New Roman" w:cs="Arial"/>
        </w:rPr>
      </w:pPr>
      <w:r w:rsidRPr="1296B87A">
        <w:rPr>
          <w:rFonts w:eastAsia="Times New Roman" w:cs="Arial"/>
        </w:rPr>
        <w:t>Revenue contributions, where investment schemes can be demonstrated to provide a revenue savings in future years through a business case process or where capital investments reduce pressure on the revenue budget.</w:t>
      </w:r>
    </w:p>
    <w:p w14:paraId="7B14704B" w14:textId="3BB5111F" w:rsidR="00B25D35" w:rsidRPr="00B25D35" w:rsidRDefault="00B25D35" w:rsidP="00B25D35">
      <w:pPr>
        <w:rPr>
          <w:rFonts w:eastAsia="Times New Roman" w:cs="Arial"/>
        </w:rPr>
      </w:pPr>
    </w:p>
    <w:p w14:paraId="5A24F072" w14:textId="57210698" w:rsidR="00B25D35" w:rsidRPr="00B25D35" w:rsidRDefault="004A7A82" w:rsidP="005838A0">
      <w:pPr>
        <w:keepNext/>
        <w:numPr>
          <w:ilvl w:val="1"/>
          <w:numId w:val="23"/>
        </w:numPr>
        <w:autoSpaceDE w:val="0"/>
        <w:autoSpaceDN w:val="0"/>
        <w:adjustRightInd w:val="0"/>
        <w:ind w:left="567" w:hanging="567"/>
        <w:jc w:val="both"/>
        <w:outlineLvl w:val="1"/>
        <w:rPr>
          <w:rFonts w:eastAsia="Times New Roman" w:cs="Helvetica-Light"/>
          <w:b/>
          <w:bCs/>
          <w:color w:val="000000"/>
        </w:rPr>
      </w:pPr>
      <w:r w:rsidRPr="1296B87A">
        <w:rPr>
          <w:rFonts w:eastAsia="Times New Roman" w:cs="Helvetica-Light"/>
          <w:b/>
          <w:bCs/>
          <w:color w:val="000000" w:themeColor="text1"/>
        </w:rPr>
        <w:t xml:space="preserve">The county council corporate priorities. </w:t>
      </w:r>
    </w:p>
    <w:p w14:paraId="5629215A" w14:textId="530AB7E6" w:rsidR="00B25D35" w:rsidRPr="001E3853" w:rsidRDefault="004A7A82" w:rsidP="004F3448">
      <w:pPr>
        <w:shd w:val="clear" w:color="auto" w:fill="FFFFFF" w:themeFill="background1"/>
        <w:spacing w:before="100" w:beforeAutospacing="1" w:after="100" w:afterAutospacing="1"/>
        <w:jc w:val="both"/>
        <w:rPr>
          <w:rFonts w:asciiTheme="minorHAnsi" w:eastAsia="Times New Roman" w:hAnsiTheme="minorHAnsi" w:cstheme="minorHAnsi"/>
          <w:color w:val="333333"/>
        </w:rPr>
      </w:pPr>
      <w:r w:rsidRPr="1296B87A">
        <w:rPr>
          <w:rFonts w:eastAsia="Times New Roman" w:cs="Arial"/>
        </w:rPr>
        <w:t xml:space="preserve">The capital budgets within the capital programme will support the agreed corporate </w:t>
      </w:r>
      <w:r w:rsidRPr="001E3853">
        <w:rPr>
          <w:rFonts w:asciiTheme="minorHAnsi" w:eastAsia="Times New Roman" w:hAnsiTheme="minorHAnsi" w:cstheme="minorHAnsi"/>
        </w:rPr>
        <w:t>priorities:</w:t>
      </w:r>
    </w:p>
    <w:p w14:paraId="02F14EAB" w14:textId="2B56904E" w:rsidR="00B25D35" w:rsidRPr="001E3853" w:rsidRDefault="004A7A82" w:rsidP="005838A0">
      <w:pPr>
        <w:numPr>
          <w:ilvl w:val="0"/>
          <w:numId w:val="33"/>
        </w:numPr>
        <w:shd w:val="clear" w:color="auto" w:fill="FFFFFF" w:themeFill="background1"/>
        <w:spacing w:before="100" w:beforeAutospacing="1" w:after="100" w:afterAutospacing="1"/>
        <w:rPr>
          <w:rFonts w:asciiTheme="minorHAnsi" w:eastAsia="Times New Roman" w:hAnsiTheme="minorHAnsi" w:cstheme="minorHAnsi"/>
        </w:rPr>
      </w:pPr>
      <w:r w:rsidRPr="001E3853">
        <w:rPr>
          <w:rFonts w:asciiTheme="minorHAnsi" w:eastAsia="Times New Roman" w:hAnsiTheme="minorHAnsi" w:cstheme="minorHAnsi"/>
        </w:rPr>
        <w:t>Delivering better services.</w:t>
      </w:r>
    </w:p>
    <w:p w14:paraId="7E63A8D8" w14:textId="15C6F816" w:rsidR="00B25D35" w:rsidRPr="001E3853" w:rsidRDefault="004A7A82" w:rsidP="005838A0">
      <w:pPr>
        <w:numPr>
          <w:ilvl w:val="0"/>
          <w:numId w:val="33"/>
        </w:numPr>
        <w:shd w:val="clear" w:color="auto" w:fill="FFFFFF" w:themeFill="background1"/>
        <w:spacing w:before="100" w:beforeAutospacing="1" w:after="100" w:afterAutospacing="1"/>
        <w:rPr>
          <w:rFonts w:asciiTheme="minorHAnsi" w:eastAsia="Times New Roman" w:hAnsiTheme="minorHAnsi" w:cstheme="minorHAnsi"/>
        </w:rPr>
      </w:pPr>
      <w:r w:rsidRPr="001E3853">
        <w:rPr>
          <w:rFonts w:asciiTheme="minorHAnsi" w:eastAsia="Times New Roman" w:hAnsiTheme="minorHAnsi" w:cstheme="minorHAnsi"/>
        </w:rPr>
        <w:t>Caring for the vulnerable.</w:t>
      </w:r>
    </w:p>
    <w:p w14:paraId="5051658C" w14:textId="74FB69B5" w:rsidR="00B25D35" w:rsidRPr="001E3853" w:rsidRDefault="004A7A82" w:rsidP="005838A0">
      <w:pPr>
        <w:numPr>
          <w:ilvl w:val="0"/>
          <w:numId w:val="33"/>
        </w:numPr>
        <w:shd w:val="clear" w:color="auto" w:fill="FFFFFF" w:themeFill="background1"/>
        <w:spacing w:before="100" w:beforeAutospacing="1" w:after="100" w:afterAutospacing="1"/>
        <w:rPr>
          <w:rFonts w:asciiTheme="minorHAnsi" w:eastAsia="Times New Roman" w:hAnsiTheme="minorHAnsi" w:cstheme="minorHAnsi"/>
        </w:rPr>
      </w:pPr>
      <w:r w:rsidRPr="001E3853">
        <w:rPr>
          <w:rFonts w:asciiTheme="minorHAnsi" w:eastAsia="Times New Roman" w:hAnsiTheme="minorHAnsi" w:cstheme="minorHAnsi"/>
        </w:rPr>
        <w:t>Protecting our environment.</w:t>
      </w:r>
    </w:p>
    <w:p w14:paraId="5DB19F2C" w14:textId="755DC810" w:rsidR="00B25D35" w:rsidRPr="001E3853" w:rsidRDefault="004A7A82" w:rsidP="005838A0">
      <w:pPr>
        <w:numPr>
          <w:ilvl w:val="0"/>
          <w:numId w:val="33"/>
        </w:numPr>
        <w:shd w:val="clear" w:color="auto" w:fill="FFFFFF" w:themeFill="background1"/>
        <w:spacing w:before="100" w:beforeAutospacing="1" w:after="100" w:afterAutospacing="1"/>
        <w:rPr>
          <w:rFonts w:asciiTheme="minorHAnsi" w:eastAsia="Times New Roman" w:hAnsiTheme="minorHAnsi" w:cstheme="minorHAnsi"/>
        </w:rPr>
      </w:pPr>
      <w:r w:rsidRPr="001E3853">
        <w:rPr>
          <w:rFonts w:asciiTheme="minorHAnsi" w:eastAsia="Times New Roman" w:hAnsiTheme="minorHAnsi" w:cstheme="minorHAnsi"/>
        </w:rPr>
        <w:t>Supporting economic growth.</w:t>
      </w:r>
    </w:p>
    <w:p w14:paraId="023449BC" w14:textId="477EB61B" w:rsidR="00B25D35" w:rsidRPr="00B25D35" w:rsidRDefault="004A7A82" w:rsidP="00B25D35">
      <w:pPr>
        <w:jc w:val="both"/>
        <w:rPr>
          <w:rFonts w:eastAsia="Times New Roman" w:cs="Arial"/>
        </w:rPr>
      </w:pPr>
      <w:r w:rsidRPr="1296B87A">
        <w:rPr>
          <w:rFonts w:eastAsia="Times New Roman" w:cs="Arial"/>
        </w:rPr>
        <w:t>Each capital proposal will be required to clearly demonstrate the links to the priorities:</w:t>
      </w:r>
    </w:p>
    <w:p w14:paraId="2AFD503E" w14:textId="03ECF9F2" w:rsidR="00B25D35" w:rsidRPr="00B25D35" w:rsidRDefault="00B25D35" w:rsidP="00B25D35">
      <w:pPr>
        <w:rPr>
          <w:rFonts w:eastAsia="Times New Roman" w:cs="Arial"/>
        </w:rPr>
      </w:pPr>
    </w:p>
    <w:p w14:paraId="52FC350A" w14:textId="3B3D539F" w:rsidR="00B25D35" w:rsidRPr="00B25D35" w:rsidRDefault="004A7A82" w:rsidP="005838A0">
      <w:pPr>
        <w:numPr>
          <w:ilvl w:val="0"/>
          <w:numId w:val="27"/>
        </w:numPr>
        <w:autoSpaceDE w:val="0"/>
        <w:autoSpaceDN w:val="0"/>
        <w:adjustRightInd w:val="0"/>
        <w:jc w:val="both"/>
        <w:rPr>
          <w:rFonts w:eastAsia="Times New Roman" w:cs="Arial"/>
          <w:b/>
          <w:bCs/>
        </w:rPr>
      </w:pPr>
      <w:r w:rsidRPr="1296B87A">
        <w:rPr>
          <w:rFonts w:eastAsia="Times New Roman" w:cs="Arial"/>
        </w:rPr>
        <w:t xml:space="preserve">Assets will be invested in to allow provision of </w:t>
      </w:r>
      <w:proofErr w:type="gramStart"/>
      <w:r w:rsidRPr="1296B87A">
        <w:rPr>
          <w:rFonts w:eastAsia="Times New Roman" w:cs="Arial"/>
        </w:rPr>
        <w:t>first class</w:t>
      </w:r>
      <w:proofErr w:type="gramEnd"/>
      <w:r w:rsidRPr="1296B87A">
        <w:rPr>
          <w:rFonts w:eastAsia="Times New Roman" w:cs="Arial"/>
        </w:rPr>
        <w:t xml:space="preserve"> schools, and good quality reliable roads and public transport, vulnerable people are protected and supported as well as connected to their community. Technology investments will allow digital access to services as well as efficient use of information by </w:t>
      </w:r>
      <w:r w:rsidRPr="1296B87A">
        <w:rPr>
          <w:rFonts w:eastAsia="Times New Roman" w:cs="Arial"/>
        </w:rPr>
        <w:lastRenderedPageBreak/>
        <w:t xml:space="preserve">services. Investment will be made, subject to prioritisation, where it is necessary to provide the </w:t>
      </w:r>
      <w:r w:rsidR="00FE2CEF">
        <w:rPr>
          <w:rFonts w:eastAsia="Times New Roman" w:cs="Arial"/>
        </w:rPr>
        <w:t>C</w:t>
      </w:r>
      <w:r w:rsidRPr="1296B87A">
        <w:rPr>
          <w:rFonts w:eastAsia="Times New Roman" w:cs="Arial"/>
        </w:rPr>
        <w:t>ouncil's services to be delivered effectively or to deliver growth that would otherwise be undeliverable. The investment will also consider ways of supporting environmental improvement and decarbonisation.</w:t>
      </w:r>
    </w:p>
    <w:p w14:paraId="308B9B4C" w14:textId="1DDFDD26" w:rsidR="00B25D35" w:rsidRPr="00B25D35" w:rsidRDefault="004A7A82" w:rsidP="005838A0">
      <w:pPr>
        <w:numPr>
          <w:ilvl w:val="0"/>
          <w:numId w:val="27"/>
        </w:numPr>
        <w:autoSpaceDE w:val="0"/>
        <w:autoSpaceDN w:val="0"/>
        <w:adjustRightInd w:val="0"/>
        <w:jc w:val="both"/>
        <w:rPr>
          <w:rFonts w:eastAsia="Times New Roman" w:cs="Arial"/>
          <w:b/>
          <w:bCs/>
        </w:rPr>
      </w:pPr>
      <w:r w:rsidRPr="1296B87A">
        <w:rPr>
          <w:rFonts w:eastAsia="Times New Roman" w:cs="Arial"/>
        </w:rPr>
        <w:t xml:space="preserve">Capital investments will be made to develop infrastructure and transport links where the private sector alone cannot.  By working with partner local authorities, Transport for Lancashire and Transport for the North, as well as the private sector, individual partners' transport and infrastructure priorities can be supported through the </w:t>
      </w:r>
      <w:r w:rsidR="00FE2CEF">
        <w:rPr>
          <w:rFonts w:eastAsia="Times New Roman" w:cs="Arial"/>
        </w:rPr>
        <w:t>C</w:t>
      </w:r>
      <w:r w:rsidRPr="1296B87A">
        <w:rPr>
          <w:rFonts w:eastAsia="Times New Roman" w:cs="Arial"/>
        </w:rPr>
        <w:t xml:space="preserve">ouncil's local highway authority process and grant funding potential by utilising partner funding where this is available as match funding.  Any requirement for county council borrowing to match fund a scheme would be subject to the principles of the capital strategy as documented above including the prioritisation process, sustainability of revenue provision to support the investment and the ranking against other proposals. </w:t>
      </w:r>
    </w:p>
    <w:p w14:paraId="76D18434" w14:textId="15EB7375" w:rsidR="00B25D35" w:rsidRPr="00B25D35" w:rsidRDefault="004A7A82" w:rsidP="005838A0">
      <w:pPr>
        <w:numPr>
          <w:ilvl w:val="0"/>
          <w:numId w:val="27"/>
        </w:numPr>
        <w:autoSpaceDE w:val="0"/>
        <w:autoSpaceDN w:val="0"/>
        <w:adjustRightInd w:val="0"/>
        <w:jc w:val="both"/>
        <w:rPr>
          <w:rFonts w:eastAsia="Times New Roman" w:cs="Arial"/>
          <w:b/>
          <w:bCs/>
        </w:rPr>
      </w:pPr>
      <w:r w:rsidRPr="1296B87A">
        <w:rPr>
          <w:rFonts w:eastAsia="Times New Roman" w:cs="Arial"/>
        </w:rPr>
        <w:t xml:space="preserve">Capital investment proposals will be considered for prioritisation and ranking that support the development of economic growth where they link with the Lancashire Plan and Lancashire Industrial Strategy and the investment or supporting infrastructure cannot be brought forward by the private sector due to viability issues. </w:t>
      </w:r>
    </w:p>
    <w:p w14:paraId="5EC9B7AC" w14:textId="7C60E3F7" w:rsidR="00B25D35" w:rsidRPr="00B25D35" w:rsidRDefault="004A7A82" w:rsidP="005838A0">
      <w:pPr>
        <w:numPr>
          <w:ilvl w:val="0"/>
          <w:numId w:val="27"/>
        </w:numPr>
        <w:autoSpaceDE w:val="0"/>
        <w:autoSpaceDN w:val="0"/>
        <w:adjustRightInd w:val="0"/>
        <w:jc w:val="both"/>
        <w:rPr>
          <w:rFonts w:eastAsia="Times New Roman" w:cs="Arial"/>
          <w:b/>
          <w:bCs/>
        </w:rPr>
      </w:pPr>
      <w:r w:rsidRPr="1296B87A">
        <w:rPr>
          <w:rFonts w:eastAsia="Times New Roman" w:cs="Arial"/>
        </w:rPr>
        <w:t xml:space="preserve">Capital investments will be made, where financially prudent to do so, to preserve our cultural, leisure and heritage assets.  Where it is not financially prudent to do so the </w:t>
      </w:r>
      <w:r w:rsidR="00047665">
        <w:rPr>
          <w:rFonts w:eastAsia="Times New Roman" w:cs="Arial"/>
        </w:rPr>
        <w:t>C</w:t>
      </w:r>
      <w:r w:rsidRPr="1296B87A">
        <w:rPr>
          <w:rFonts w:eastAsia="Times New Roman" w:cs="Arial"/>
        </w:rPr>
        <w:t xml:space="preserve">ouncil will work with partners to ensure the </w:t>
      </w:r>
      <w:proofErr w:type="gramStart"/>
      <w:r w:rsidRPr="1296B87A">
        <w:rPr>
          <w:rFonts w:eastAsia="Times New Roman" w:cs="Arial"/>
        </w:rPr>
        <w:t>long term</w:t>
      </w:r>
      <w:proofErr w:type="gramEnd"/>
      <w:r w:rsidRPr="1296B87A">
        <w:rPr>
          <w:rFonts w:eastAsia="Times New Roman" w:cs="Arial"/>
        </w:rPr>
        <w:t xml:space="preserve"> security of heritage, culture and leisure assets valued by our communities. </w:t>
      </w:r>
    </w:p>
    <w:p w14:paraId="7B983A31" w14:textId="73050215" w:rsidR="00B25D35" w:rsidRPr="00B25D35" w:rsidRDefault="004A7A82" w:rsidP="005838A0">
      <w:pPr>
        <w:numPr>
          <w:ilvl w:val="0"/>
          <w:numId w:val="27"/>
        </w:numPr>
        <w:autoSpaceDE w:val="0"/>
        <w:autoSpaceDN w:val="0"/>
        <w:adjustRightInd w:val="0"/>
        <w:jc w:val="both"/>
        <w:rPr>
          <w:rFonts w:eastAsia="Times New Roman" w:cs="Arial"/>
          <w:b/>
          <w:bCs/>
        </w:rPr>
      </w:pPr>
      <w:r w:rsidRPr="1296B87A">
        <w:rPr>
          <w:rFonts w:eastAsia="Times New Roman" w:cs="Arial"/>
        </w:rPr>
        <w:t>Capital</w:t>
      </w:r>
      <w:r w:rsidRPr="1296B87A">
        <w:rPr>
          <w:rFonts w:eastAsia="Times New Roman" w:cs="Arial"/>
          <w:b/>
          <w:bCs/>
        </w:rPr>
        <w:t xml:space="preserve"> </w:t>
      </w:r>
      <w:r w:rsidRPr="1296B87A">
        <w:rPr>
          <w:rFonts w:eastAsia="Times New Roman" w:cs="Arial"/>
        </w:rPr>
        <w:t xml:space="preserve">investments will be prioritised in our asset base including information technology assets that allow services to promote and enable communities to meet their own needs.  </w:t>
      </w:r>
    </w:p>
    <w:p w14:paraId="19FD5B8B" w14:textId="5D3CB2A4" w:rsidR="00B25D35" w:rsidRPr="00B25D35" w:rsidRDefault="004A7A82" w:rsidP="1296B87A">
      <w:pPr>
        <w:rPr>
          <w:rFonts w:eastAsia="Times New Roman" w:cs="Arial"/>
          <w:b/>
          <w:bCs/>
        </w:rPr>
      </w:pPr>
      <w:r w:rsidRPr="1296B87A">
        <w:rPr>
          <w:rFonts w:eastAsia="Times New Roman" w:cs="Arial"/>
        </w:rPr>
        <w:t xml:space="preserve"> </w:t>
      </w:r>
    </w:p>
    <w:p w14:paraId="27ADB326" w14:textId="18AAD55E" w:rsidR="00B25D35" w:rsidRPr="00B25D35" w:rsidRDefault="004A7A82" w:rsidP="005838A0">
      <w:pPr>
        <w:keepNext/>
        <w:numPr>
          <w:ilvl w:val="0"/>
          <w:numId w:val="23"/>
        </w:numPr>
        <w:autoSpaceDE w:val="0"/>
        <w:autoSpaceDN w:val="0"/>
        <w:adjustRightInd w:val="0"/>
        <w:ind w:left="426" w:hanging="426"/>
        <w:jc w:val="both"/>
        <w:outlineLvl w:val="1"/>
        <w:rPr>
          <w:rFonts w:eastAsia="Times New Roman" w:cs="Helvetica-Light"/>
          <w:b/>
          <w:bCs/>
          <w:color w:val="000000"/>
        </w:rPr>
      </w:pPr>
      <w:r w:rsidRPr="1296B87A">
        <w:rPr>
          <w:rFonts w:eastAsia="Times New Roman" w:cs="Helvetica-Light"/>
          <w:b/>
          <w:bCs/>
          <w:color w:val="000000" w:themeColor="text1"/>
        </w:rPr>
        <w:t xml:space="preserve">  Approach to investment prioritisation </w:t>
      </w:r>
    </w:p>
    <w:p w14:paraId="4DBE6F80" w14:textId="24EE5EB9" w:rsidR="00B25D35" w:rsidRPr="00B25D35" w:rsidRDefault="00B25D35" w:rsidP="00B25D35">
      <w:pPr>
        <w:rPr>
          <w:rFonts w:eastAsia="Times New Roman" w:cs="Arial"/>
        </w:rPr>
      </w:pPr>
    </w:p>
    <w:p w14:paraId="1DC87245" w14:textId="0D82F261" w:rsidR="00B25D35" w:rsidRPr="00B25D35" w:rsidRDefault="004A7A82" w:rsidP="005838A0">
      <w:pPr>
        <w:keepNext/>
        <w:numPr>
          <w:ilvl w:val="1"/>
          <w:numId w:val="23"/>
        </w:numPr>
        <w:autoSpaceDE w:val="0"/>
        <w:autoSpaceDN w:val="0"/>
        <w:adjustRightInd w:val="0"/>
        <w:ind w:left="567" w:hanging="589"/>
        <w:jc w:val="both"/>
        <w:outlineLvl w:val="1"/>
        <w:rPr>
          <w:rFonts w:eastAsia="Times New Roman" w:cs="Helvetica-Light"/>
          <w:b/>
          <w:bCs/>
          <w:color w:val="000000"/>
        </w:rPr>
      </w:pPr>
      <w:r w:rsidRPr="1296B87A">
        <w:rPr>
          <w:rFonts w:eastAsia="Times New Roman" w:cs="Helvetica-Light"/>
          <w:b/>
          <w:bCs/>
          <w:color w:val="000000" w:themeColor="text1"/>
        </w:rPr>
        <w:t xml:space="preserve">The capital </w:t>
      </w:r>
      <w:proofErr w:type="gramStart"/>
      <w:r w:rsidRPr="1296B87A">
        <w:rPr>
          <w:rFonts w:eastAsia="Times New Roman" w:cs="Helvetica-Light"/>
          <w:b/>
          <w:bCs/>
          <w:color w:val="000000" w:themeColor="text1"/>
        </w:rPr>
        <w:t>programme</w:t>
      </w:r>
      <w:proofErr w:type="gramEnd"/>
    </w:p>
    <w:p w14:paraId="2EE5F5ED" w14:textId="77777777" w:rsidR="007C2EE8" w:rsidRPr="00B25D35" w:rsidRDefault="007C2EE8" w:rsidP="007C2EE8">
      <w:pPr>
        <w:keepNext/>
        <w:autoSpaceDE w:val="0"/>
        <w:autoSpaceDN w:val="0"/>
        <w:adjustRightInd w:val="0"/>
        <w:ind w:left="567"/>
        <w:jc w:val="both"/>
        <w:outlineLvl w:val="1"/>
        <w:rPr>
          <w:rFonts w:eastAsia="Times New Roman" w:cs="Helvetica-Light"/>
          <w:b/>
          <w:bCs/>
          <w:color w:val="000000"/>
        </w:rPr>
      </w:pPr>
    </w:p>
    <w:p w14:paraId="2DD482B4" w14:textId="0B4D5131" w:rsidR="00B25D35" w:rsidRPr="00B25D35" w:rsidRDefault="004A7A82" w:rsidP="00B25D35">
      <w:pPr>
        <w:jc w:val="both"/>
        <w:rPr>
          <w:rFonts w:eastAsia="Times New Roman" w:cs="Arial"/>
        </w:rPr>
      </w:pPr>
      <w:r w:rsidRPr="1296B87A">
        <w:rPr>
          <w:rFonts w:eastAsia="Times New Roman" w:cs="Arial"/>
        </w:rPr>
        <w:t xml:space="preserve">There will be a capital delivery programme agreed at Budget Full Council every February set within the context of this capital strategy. </w:t>
      </w:r>
    </w:p>
    <w:p w14:paraId="4CA711BA" w14:textId="35D14DDE" w:rsidR="00B25D35" w:rsidRPr="00B25D35" w:rsidRDefault="00B25D35" w:rsidP="00B25D35">
      <w:pPr>
        <w:rPr>
          <w:rFonts w:eastAsia="Times New Roman" w:cs="Arial"/>
        </w:rPr>
      </w:pPr>
    </w:p>
    <w:p w14:paraId="1A8F8EED" w14:textId="77777777" w:rsidR="007C2EE8" w:rsidRPr="007C2EE8" w:rsidRDefault="004A7A82" w:rsidP="005838A0">
      <w:pPr>
        <w:keepNext/>
        <w:numPr>
          <w:ilvl w:val="1"/>
          <w:numId w:val="23"/>
        </w:numPr>
        <w:autoSpaceDE w:val="0"/>
        <w:autoSpaceDN w:val="0"/>
        <w:adjustRightInd w:val="0"/>
        <w:ind w:left="567" w:hanging="567"/>
        <w:jc w:val="both"/>
        <w:outlineLvl w:val="1"/>
        <w:rPr>
          <w:rFonts w:eastAsia="Times New Roman" w:cs="Helvetica-Light"/>
          <w:b/>
          <w:bCs/>
          <w:color w:val="000000"/>
        </w:rPr>
      </w:pPr>
      <w:r w:rsidRPr="1296B87A">
        <w:rPr>
          <w:rFonts w:eastAsia="Times New Roman" w:cs="Helvetica-Light"/>
          <w:b/>
          <w:bCs/>
          <w:color w:val="000000" w:themeColor="text1"/>
        </w:rPr>
        <w:t>Identification and prioritisation of capital investment needs</w:t>
      </w:r>
    </w:p>
    <w:p w14:paraId="405FDA59" w14:textId="01865C4C" w:rsidR="00B25D35" w:rsidRPr="00B25D35" w:rsidRDefault="004A7A82" w:rsidP="007C2EE8">
      <w:pPr>
        <w:keepNext/>
        <w:autoSpaceDE w:val="0"/>
        <w:autoSpaceDN w:val="0"/>
        <w:adjustRightInd w:val="0"/>
        <w:ind w:left="567"/>
        <w:jc w:val="both"/>
        <w:outlineLvl w:val="1"/>
        <w:rPr>
          <w:rFonts w:eastAsia="Times New Roman" w:cs="Helvetica-Light"/>
          <w:b/>
          <w:bCs/>
          <w:color w:val="000000"/>
        </w:rPr>
      </w:pPr>
      <w:r w:rsidRPr="1296B87A">
        <w:rPr>
          <w:rFonts w:eastAsia="Times New Roman" w:cs="Helvetica-Light"/>
          <w:b/>
          <w:bCs/>
          <w:color w:val="000000" w:themeColor="text1"/>
        </w:rPr>
        <w:t xml:space="preserve"> </w:t>
      </w:r>
    </w:p>
    <w:p w14:paraId="384850A3" w14:textId="7156953D" w:rsidR="00B25D35" w:rsidRPr="00B25D35" w:rsidRDefault="004A7A82" w:rsidP="00B25D35">
      <w:pPr>
        <w:jc w:val="both"/>
        <w:rPr>
          <w:rFonts w:eastAsia="Times New Roman" w:cs="Arial"/>
        </w:rPr>
      </w:pPr>
      <w:r w:rsidRPr="1296B87A">
        <w:rPr>
          <w:rFonts w:eastAsia="Times New Roman" w:cs="Arial"/>
        </w:rPr>
        <w:t xml:space="preserve">The formulation of the Capital Programme is driven by the budget and service planning process. The size of the Capital Programme is determined by the following: </w:t>
      </w:r>
    </w:p>
    <w:p w14:paraId="494A61EB" w14:textId="60CD9842" w:rsidR="00B25D35" w:rsidRPr="00B25D35" w:rsidRDefault="004A7A82" w:rsidP="005838A0">
      <w:pPr>
        <w:numPr>
          <w:ilvl w:val="0"/>
          <w:numId w:val="28"/>
        </w:numPr>
        <w:autoSpaceDE w:val="0"/>
        <w:autoSpaceDN w:val="0"/>
        <w:adjustRightInd w:val="0"/>
        <w:jc w:val="both"/>
        <w:rPr>
          <w:rFonts w:eastAsia="Times New Roman" w:cs="Arial"/>
        </w:rPr>
      </w:pPr>
      <w:r w:rsidRPr="1296B87A">
        <w:rPr>
          <w:rFonts w:eastAsia="Times New Roman" w:cs="Arial"/>
        </w:rPr>
        <w:t>The need to incur capital expenditure to protect and preserve the existing asset base.</w:t>
      </w:r>
    </w:p>
    <w:p w14:paraId="459B5301" w14:textId="3ADA013B" w:rsidR="00B25D35" w:rsidRPr="00B25D35" w:rsidRDefault="004A7A82" w:rsidP="005838A0">
      <w:pPr>
        <w:numPr>
          <w:ilvl w:val="0"/>
          <w:numId w:val="28"/>
        </w:numPr>
        <w:autoSpaceDE w:val="0"/>
        <w:autoSpaceDN w:val="0"/>
        <w:adjustRightInd w:val="0"/>
        <w:jc w:val="both"/>
        <w:rPr>
          <w:rFonts w:eastAsia="Times New Roman" w:cs="Arial"/>
        </w:rPr>
      </w:pPr>
      <w:r w:rsidRPr="1296B87A">
        <w:rPr>
          <w:rFonts w:eastAsia="Times New Roman" w:cs="Arial"/>
        </w:rPr>
        <w:t>To enhance the exiting asset base where this is required to preserve service delivery.</w:t>
      </w:r>
    </w:p>
    <w:p w14:paraId="72CC3702" w14:textId="69F0A93E" w:rsidR="00B25D35" w:rsidRPr="00B25D35" w:rsidRDefault="004A7A82" w:rsidP="005838A0">
      <w:pPr>
        <w:numPr>
          <w:ilvl w:val="0"/>
          <w:numId w:val="28"/>
        </w:numPr>
        <w:autoSpaceDE w:val="0"/>
        <w:autoSpaceDN w:val="0"/>
        <w:adjustRightInd w:val="0"/>
        <w:jc w:val="both"/>
        <w:rPr>
          <w:rFonts w:eastAsia="Times New Roman" w:cs="Arial"/>
        </w:rPr>
      </w:pPr>
      <w:r w:rsidRPr="1296B87A">
        <w:rPr>
          <w:rFonts w:eastAsia="Times New Roman" w:cs="Arial"/>
        </w:rPr>
        <w:t>The proposals for extending the asset base to provide services which deliver the corporate priorities.</w:t>
      </w:r>
    </w:p>
    <w:p w14:paraId="1F674C47" w14:textId="08FE80D5" w:rsidR="00B25D35" w:rsidRPr="00B25D35" w:rsidRDefault="004A7A82" w:rsidP="005838A0">
      <w:pPr>
        <w:numPr>
          <w:ilvl w:val="0"/>
          <w:numId w:val="28"/>
        </w:numPr>
        <w:autoSpaceDE w:val="0"/>
        <w:autoSpaceDN w:val="0"/>
        <w:adjustRightInd w:val="0"/>
        <w:jc w:val="both"/>
        <w:rPr>
          <w:rFonts w:eastAsia="Times New Roman" w:cs="Arial"/>
        </w:rPr>
      </w:pPr>
      <w:r w:rsidRPr="1296B87A">
        <w:rPr>
          <w:rFonts w:eastAsia="Times New Roman" w:cs="Arial"/>
        </w:rPr>
        <w:t>The resources available to fund the expenditure.</w:t>
      </w:r>
    </w:p>
    <w:p w14:paraId="58E5FFB5" w14:textId="1378F2CD" w:rsidR="00B25D35" w:rsidRPr="00B25D35" w:rsidRDefault="004A7A82" w:rsidP="005838A0">
      <w:pPr>
        <w:numPr>
          <w:ilvl w:val="0"/>
          <w:numId w:val="28"/>
        </w:numPr>
        <w:autoSpaceDE w:val="0"/>
        <w:autoSpaceDN w:val="0"/>
        <w:adjustRightInd w:val="0"/>
        <w:jc w:val="both"/>
        <w:rPr>
          <w:rFonts w:eastAsia="Times New Roman" w:cs="Arial"/>
        </w:rPr>
      </w:pPr>
      <w:r w:rsidRPr="1296B87A">
        <w:rPr>
          <w:rFonts w:eastAsia="Times New Roman" w:cs="Arial"/>
        </w:rPr>
        <w:t xml:space="preserve">The revenue implications flowing from the capital expenditure, both positive and negative. </w:t>
      </w:r>
    </w:p>
    <w:p w14:paraId="0A8F9A46" w14:textId="3E857E17" w:rsidR="00B25D35" w:rsidRPr="00B25D35" w:rsidRDefault="00B25D35" w:rsidP="00B25D35">
      <w:pPr>
        <w:autoSpaceDE w:val="0"/>
        <w:autoSpaceDN w:val="0"/>
        <w:adjustRightInd w:val="0"/>
        <w:ind w:left="720"/>
        <w:jc w:val="both"/>
        <w:rPr>
          <w:rFonts w:eastAsia="Times New Roman" w:cs="Arial"/>
        </w:rPr>
      </w:pPr>
    </w:p>
    <w:p w14:paraId="421E28E6" w14:textId="40A627E3" w:rsidR="00B25D35" w:rsidRPr="00B25D35" w:rsidRDefault="004A7A82" w:rsidP="00B25D35">
      <w:pPr>
        <w:jc w:val="both"/>
        <w:rPr>
          <w:rFonts w:eastAsia="Times New Roman" w:cs="Arial"/>
        </w:rPr>
      </w:pPr>
      <w:r w:rsidRPr="1296B87A">
        <w:rPr>
          <w:rFonts w:eastAsia="Times New Roman" w:cs="Arial"/>
        </w:rPr>
        <w:t xml:space="preserve">As part of the budget setting process, services will be required to submit capital proposals which are considered by Members for investment decisions.  This will be </w:t>
      </w:r>
      <w:r w:rsidRPr="1296B87A">
        <w:rPr>
          <w:rFonts w:eastAsia="Times New Roman" w:cs="Arial"/>
        </w:rPr>
        <w:lastRenderedPageBreak/>
        <w:t xml:space="preserve">after a triage process at officer level led by the Strategic Finance Board which will have ensured the proposal's strategic fit in line with the principles of the Capital Strategy and will have scored the projects for prioritisation in line with all competing proposals.  The capital investment appraisal process will take into consideration: </w:t>
      </w:r>
    </w:p>
    <w:p w14:paraId="1A13E59C" w14:textId="52CD330E" w:rsidR="00B25D35" w:rsidRPr="00B25D35" w:rsidRDefault="00B25D35" w:rsidP="00B25D35">
      <w:pPr>
        <w:jc w:val="both"/>
        <w:rPr>
          <w:rFonts w:eastAsia="Times New Roman" w:cs="Arial"/>
        </w:rPr>
      </w:pPr>
    </w:p>
    <w:p w14:paraId="085C5449" w14:textId="22BF2E85" w:rsidR="00B25D35" w:rsidRPr="00B25D35" w:rsidRDefault="004A7A82" w:rsidP="005838A0">
      <w:pPr>
        <w:numPr>
          <w:ilvl w:val="0"/>
          <w:numId w:val="29"/>
        </w:numPr>
        <w:autoSpaceDE w:val="0"/>
        <w:autoSpaceDN w:val="0"/>
        <w:adjustRightInd w:val="0"/>
        <w:jc w:val="both"/>
        <w:rPr>
          <w:rFonts w:eastAsia="Times New Roman" w:cs="Arial"/>
        </w:rPr>
      </w:pPr>
      <w:r w:rsidRPr="1296B87A">
        <w:rPr>
          <w:rFonts w:eastAsia="Times New Roman" w:cs="Arial"/>
        </w:rPr>
        <w:t>Corporate Priorities.</w:t>
      </w:r>
    </w:p>
    <w:p w14:paraId="591A3A5A" w14:textId="5711498E" w:rsidR="00B25D35" w:rsidRPr="00B25D35" w:rsidRDefault="004A7A82" w:rsidP="005838A0">
      <w:pPr>
        <w:numPr>
          <w:ilvl w:val="0"/>
          <w:numId w:val="29"/>
        </w:numPr>
        <w:autoSpaceDE w:val="0"/>
        <w:autoSpaceDN w:val="0"/>
        <w:adjustRightInd w:val="0"/>
        <w:jc w:val="both"/>
        <w:rPr>
          <w:rFonts w:eastAsia="Times New Roman" w:cs="Arial"/>
        </w:rPr>
      </w:pPr>
      <w:r w:rsidRPr="1296B87A">
        <w:rPr>
          <w:rFonts w:eastAsia="Times New Roman" w:cs="Arial"/>
        </w:rPr>
        <w:t xml:space="preserve">Affordability and Resources. </w:t>
      </w:r>
    </w:p>
    <w:p w14:paraId="5E3D739F" w14:textId="016C8231" w:rsidR="00B25D35" w:rsidRPr="00B25D35" w:rsidRDefault="004A7A82" w:rsidP="005838A0">
      <w:pPr>
        <w:numPr>
          <w:ilvl w:val="0"/>
          <w:numId w:val="29"/>
        </w:numPr>
        <w:autoSpaceDE w:val="0"/>
        <w:autoSpaceDN w:val="0"/>
        <w:adjustRightInd w:val="0"/>
        <w:jc w:val="both"/>
        <w:rPr>
          <w:rFonts w:eastAsia="Times New Roman" w:cs="Arial"/>
        </w:rPr>
      </w:pPr>
      <w:r w:rsidRPr="1296B87A">
        <w:rPr>
          <w:rFonts w:eastAsia="Times New Roman" w:cs="Arial"/>
        </w:rPr>
        <w:t xml:space="preserve">Risk Management. </w:t>
      </w:r>
    </w:p>
    <w:p w14:paraId="76898E4C" w14:textId="5F7082C4" w:rsidR="00B25D35" w:rsidRPr="00B25D35" w:rsidRDefault="004A7A82" w:rsidP="005838A0">
      <w:pPr>
        <w:numPr>
          <w:ilvl w:val="0"/>
          <w:numId w:val="29"/>
        </w:numPr>
        <w:autoSpaceDE w:val="0"/>
        <w:autoSpaceDN w:val="0"/>
        <w:adjustRightInd w:val="0"/>
        <w:jc w:val="both"/>
        <w:rPr>
          <w:rFonts w:eastAsia="Times New Roman" w:cs="Arial"/>
        </w:rPr>
      </w:pPr>
      <w:r w:rsidRPr="1296B87A">
        <w:rPr>
          <w:rFonts w:eastAsia="Times New Roman" w:cs="Arial"/>
        </w:rPr>
        <w:t xml:space="preserve">Value for Money, </w:t>
      </w:r>
      <w:proofErr w:type="gramStart"/>
      <w:r w:rsidRPr="1296B87A">
        <w:rPr>
          <w:rFonts w:eastAsia="Times New Roman" w:cs="Arial"/>
        </w:rPr>
        <w:t>taking into account</w:t>
      </w:r>
      <w:proofErr w:type="gramEnd"/>
      <w:r w:rsidRPr="1296B87A">
        <w:rPr>
          <w:rFonts w:eastAsia="Times New Roman" w:cs="Arial"/>
        </w:rPr>
        <w:t xml:space="preserve"> options appraisals and cost benefit analysis.</w:t>
      </w:r>
    </w:p>
    <w:p w14:paraId="1624FD43" w14:textId="7271B76F" w:rsidR="00B25D35" w:rsidRPr="00B25D35" w:rsidRDefault="004A7A82" w:rsidP="005838A0">
      <w:pPr>
        <w:numPr>
          <w:ilvl w:val="0"/>
          <w:numId w:val="29"/>
        </w:numPr>
        <w:autoSpaceDE w:val="0"/>
        <w:autoSpaceDN w:val="0"/>
        <w:adjustRightInd w:val="0"/>
        <w:jc w:val="both"/>
        <w:rPr>
          <w:rFonts w:eastAsia="Times New Roman" w:cs="Arial"/>
        </w:rPr>
      </w:pPr>
      <w:r w:rsidRPr="1296B87A">
        <w:rPr>
          <w:rFonts w:eastAsia="Times New Roman" w:cs="Arial"/>
        </w:rPr>
        <w:t xml:space="preserve">Capability and capacity within the </w:t>
      </w:r>
      <w:r w:rsidR="00047665">
        <w:rPr>
          <w:rFonts w:eastAsia="Times New Roman" w:cs="Arial"/>
        </w:rPr>
        <w:t>C</w:t>
      </w:r>
      <w:r w:rsidRPr="1296B87A">
        <w:rPr>
          <w:rFonts w:eastAsia="Times New Roman" w:cs="Arial"/>
        </w:rPr>
        <w:t>ouncil to manage and deliver the project.</w:t>
      </w:r>
    </w:p>
    <w:p w14:paraId="2414AC5D" w14:textId="3B307F64" w:rsidR="00B25D35" w:rsidRPr="00B25D35" w:rsidRDefault="00B25D35" w:rsidP="00B25D35">
      <w:pPr>
        <w:rPr>
          <w:rFonts w:eastAsia="Times New Roman" w:cs="Arial"/>
        </w:rPr>
      </w:pPr>
    </w:p>
    <w:p w14:paraId="48252807" w14:textId="674A383B" w:rsidR="00B25D35" w:rsidRPr="00B25D35" w:rsidRDefault="004A7A82" w:rsidP="00B25D35">
      <w:pPr>
        <w:rPr>
          <w:rFonts w:eastAsia="Times New Roman" w:cs="Arial"/>
        </w:rPr>
      </w:pPr>
      <w:r w:rsidRPr="1296B87A">
        <w:rPr>
          <w:rFonts w:eastAsia="Times New Roman" w:cs="Arial"/>
        </w:rPr>
        <w:t xml:space="preserve">Capital investment proposals will be presented initially to the Strategic Finance Board in a standard form that includes the following sections: </w:t>
      </w:r>
    </w:p>
    <w:p w14:paraId="547D6FE1" w14:textId="067F5922" w:rsidR="00B25D35" w:rsidRPr="00B25D35" w:rsidRDefault="004A7A82" w:rsidP="005838A0">
      <w:pPr>
        <w:numPr>
          <w:ilvl w:val="0"/>
          <w:numId w:val="30"/>
        </w:numPr>
        <w:autoSpaceDE w:val="0"/>
        <w:autoSpaceDN w:val="0"/>
        <w:adjustRightInd w:val="0"/>
        <w:jc w:val="both"/>
        <w:rPr>
          <w:rFonts w:eastAsia="Times New Roman" w:cs="Arial"/>
        </w:rPr>
      </w:pPr>
      <w:r w:rsidRPr="1296B87A">
        <w:rPr>
          <w:rFonts w:eastAsia="Times New Roman" w:cs="Arial"/>
        </w:rPr>
        <w:t xml:space="preserve">Description of the proposal. </w:t>
      </w:r>
    </w:p>
    <w:p w14:paraId="6B39F4AF" w14:textId="161EF3EF" w:rsidR="00B25D35" w:rsidRPr="00B25D35" w:rsidRDefault="004A7A82" w:rsidP="005838A0">
      <w:pPr>
        <w:numPr>
          <w:ilvl w:val="0"/>
          <w:numId w:val="30"/>
        </w:numPr>
        <w:autoSpaceDE w:val="0"/>
        <w:autoSpaceDN w:val="0"/>
        <w:adjustRightInd w:val="0"/>
        <w:jc w:val="both"/>
        <w:rPr>
          <w:rFonts w:eastAsia="Times New Roman" w:cs="Arial"/>
        </w:rPr>
      </w:pPr>
      <w:r w:rsidRPr="1296B87A">
        <w:rPr>
          <w:rFonts w:eastAsia="Times New Roman" w:cs="Arial"/>
        </w:rPr>
        <w:t>The outputs and outcomes to be achieved.</w:t>
      </w:r>
    </w:p>
    <w:p w14:paraId="296CD7A2" w14:textId="2F01E7A8" w:rsidR="00B25D35" w:rsidRPr="00B25D35" w:rsidRDefault="004A7A82" w:rsidP="005838A0">
      <w:pPr>
        <w:numPr>
          <w:ilvl w:val="0"/>
          <w:numId w:val="30"/>
        </w:numPr>
        <w:autoSpaceDE w:val="0"/>
        <w:autoSpaceDN w:val="0"/>
        <w:adjustRightInd w:val="0"/>
        <w:jc w:val="both"/>
        <w:rPr>
          <w:rFonts w:eastAsia="Times New Roman" w:cs="Arial"/>
        </w:rPr>
      </w:pPr>
      <w:r w:rsidRPr="1296B87A">
        <w:rPr>
          <w:rFonts w:eastAsia="Times New Roman" w:cs="Arial"/>
        </w:rPr>
        <w:t xml:space="preserve">The projects fit with the </w:t>
      </w:r>
      <w:r w:rsidR="00047665">
        <w:rPr>
          <w:rFonts w:eastAsia="Times New Roman" w:cs="Arial"/>
        </w:rPr>
        <w:t>C</w:t>
      </w:r>
      <w:r w:rsidRPr="1296B87A">
        <w:rPr>
          <w:rFonts w:eastAsia="Times New Roman" w:cs="Arial"/>
        </w:rPr>
        <w:t>ouncil's corporate priorities.</w:t>
      </w:r>
    </w:p>
    <w:p w14:paraId="4F9937A5" w14:textId="296029B2" w:rsidR="00B25D35" w:rsidRPr="00B25D35" w:rsidRDefault="004A7A82" w:rsidP="005838A0">
      <w:pPr>
        <w:numPr>
          <w:ilvl w:val="0"/>
          <w:numId w:val="30"/>
        </w:numPr>
        <w:autoSpaceDE w:val="0"/>
        <w:autoSpaceDN w:val="0"/>
        <w:adjustRightInd w:val="0"/>
        <w:jc w:val="both"/>
        <w:rPr>
          <w:rFonts w:eastAsia="Times New Roman" w:cs="Arial"/>
        </w:rPr>
      </w:pPr>
      <w:r w:rsidRPr="1296B87A">
        <w:rPr>
          <w:rFonts w:eastAsia="Times New Roman" w:cs="Arial"/>
        </w:rPr>
        <w:t>Key dates and milestones.</w:t>
      </w:r>
    </w:p>
    <w:p w14:paraId="43F88DF5" w14:textId="7396C593" w:rsidR="00B25D35" w:rsidRPr="00B25D35" w:rsidRDefault="004A7A82" w:rsidP="005838A0">
      <w:pPr>
        <w:numPr>
          <w:ilvl w:val="0"/>
          <w:numId w:val="30"/>
        </w:numPr>
        <w:autoSpaceDE w:val="0"/>
        <w:autoSpaceDN w:val="0"/>
        <w:adjustRightInd w:val="0"/>
        <w:jc w:val="both"/>
        <w:rPr>
          <w:rFonts w:eastAsia="Times New Roman" w:cs="Arial"/>
        </w:rPr>
      </w:pPr>
      <w:r w:rsidRPr="1296B87A">
        <w:rPr>
          <w:rFonts w:eastAsia="Times New Roman" w:cs="Arial"/>
        </w:rPr>
        <w:t>Cost of the scheme and the funding source to be applied.</w:t>
      </w:r>
    </w:p>
    <w:p w14:paraId="316AC1C0" w14:textId="301F6C7B" w:rsidR="00B25D35" w:rsidRPr="00B25D35" w:rsidRDefault="004A7A82" w:rsidP="005838A0">
      <w:pPr>
        <w:numPr>
          <w:ilvl w:val="0"/>
          <w:numId w:val="30"/>
        </w:numPr>
        <w:autoSpaceDE w:val="0"/>
        <w:autoSpaceDN w:val="0"/>
        <w:adjustRightInd w:val="0"/>
        <w:jc w:val="both"/>
        <w:rPr>
          <w:rFonts w:eastAsia="Times New Roman" w:cs="Arial"/>
        </w:rPr>
      </w:pPr>
      <w:r w:rsidRPr="1296B87A">
        <w:rPr>
          <w:rFonts w:eastAsia="Times New Roman" w:cs="Arial"/>
        </w:rPr>
        <w:t>Affordability in terms of the MRP policy.</w:t>
      </w:r>
    </w:p>
    <w:p w14:paraId="6797C31B" w14:textId="04E9C54E" w:rsidR="00B25D35" w:rsidRPr="00B25D35" w:rsidRDefault="004A7A82" w:rsidP="005838A0">
      <w:pPr>
        <w:numPr>
          <w:ilvl w:val="0"/>
          <w:numId w:val="30"/>
        </w:numPr>
        <w:autoSpaceDE w:val="0"/>
        <w:autoSpaceDN w:val="0"/>
        <w:adjustRightInd w:val="0"/>
        <w:jc w:val="both"/>
        <w:rPr>
          <w:rFonts w:eastAsia="Times New Roman" w:cs="Arial"/>
        </w:rPr>
      </w:pPr>
      <w:r w:rsidRPr="1296B87A">
        <w:rPr>
          <w:rFonts w:eastAsia="Times New Roman" w:cs="Arial"/>
        </w:rPr>
        <w:t xml:space="preserve">Revenue budget implications over the asset life. </w:t>
      </w:r>
    </w:p>
    <w:p w14:paraId="4424D347" w14:textId="27DDF5F8" w:rsidR="00B25D35" w:rsidRPr="00B25D35" w:rsidRDefault="004A7A82" w:rsidP="005838A0">
      <w:pPr>
        <w:numPr>
          <w:ilvl w:val="0"/>
          <w:numId w:val="30"/>
        </w:numPr>
        <w:autoSpaceDE w:val="0"/>
        <w:autoSpaceDN w:val="0"/>
        <w:adjustRightInd w:val="0"/>
        <w:jc w:val="both"/>
        <w:rPr>
          <w:rFonts w:eastAsia="Times New Roman" w:cs="Arial"/>
        </w:rPr>
      </w:pPr>
      <w:r w:rsidRPr="1296B87A">
        <w:rPr>
          <w:rFonts w:eastAsia="Times New Roman" w:cs="Arial"/>
        </w:rPr>
        <w:t>Prioritisation scoring.</w:t>
      </w:r>
    </w:p>
    <w:p w14:paraId="53CA16EB" w14:textId="1A982421" w:rsidR="00B25D35" w:rsidRPr="00B25D35" w:rsidRDefault="004A7A82" w:rsidP="005838A0">
      <w:pPr>
        <w:numPr>
          <w:ilvl w:val="0"/>
          <w:numId w:val="30"/>
        </w:numPr>
        <w:autoSpaceDE w:val="0"/>
        <w:autoSpaceDN w:val="0"/>
        <w:adjustRightInd w:val="0"/>
        <w:jc w:val="both"/>
        <w:rPr>
          <w:rFonts w:eastAsia="Times New Roman" w:cs="Arial"/>
        </w:rPr>
      </w:pPr>
      <w:r w:rsidRPr="1296B87A">
        <w:rPr>
          <w:rFonts w:eastAsia="Times New Roman" w:cs="Arial"/>
        </w:rPr>
        <w:t>Risks associated with the proposal including the implications of not proceeding.</w:t>
      </w:r>
    </w:p>
    <w:p w14:paraId="0ADE2432" w14:textId="7776007D" w:rsidR="00B25D35" w:rsidRPr="00B25D35" w:rsidRDefault="00B25D35" w:rsidP="00B25D35">
      <w:pPr>
        <w:rPr>
          <w:rFonts w:eastAsia="Times New Roman" w:cs="Arial"/>
        </w:rPr>
      </w:pPr>
    </w:p>
    <w:p w14:paraId="071F3815" w14:textId="58AD0CC7" w:rsidR="00B25D35" w:rsidRPr="00B25D35" w:rsidRDefault="004A7A82" w:rsidP="00B25D35">
      <w:pPr>
        <w:jc w:val="both"/>
        <w:rPr>
          <w:rFonts w:eastAsia="Times New Roman" w:cs="Arial"/>
        </w:rPr>
      </w:pPr>
      <w:r w:rsidRPr="1296B87A">
        <w:rPr>
          <w:rFonts w:eastAsia="Times New Roman" w:cs="Arial"/>
        </w:rPr>
        <w:t xml:space="preserve">Proposals recommended for approval by the Strategic Finance Board will be submitted to members for approval along with any recommended changes to the agreed to delivery plan required to accommodate the proposal. </w:t>
      </w:r>
    </w:p>
    <w:p w14:paraId="53B72DA8" w14:textId="7F109829" w:rsidR="00B25D35" w:rsidRPr="00B25D35" w:rsidRDefault="00B25D35" w:rsidP="00B25D35">
      <w:pPr>
        <w:rPr>
          <w:rFonts w:eastAsia="Times New Roman" w:cs="Arial"/>
        </w:rPr>
      </w:pPr>
    </w:p>
    <w:p w14:paraId="355F706E" w14:textId="201361E7" w:rsidR="00B25D35" w:rsidRPr="00B25D35" w:rsidRDefault="004A7A82" w:rsidP="005838A0">
      <w:pPr>
        <w:keepNext/>
        <w:numPr>
          <w:ilvl w:val="1"/>
          <w:numId w:val="23"/>
        </w:numPr>
        <w:autoSpaceDE w:val="0"/>
        <w:autoSpaceDN w:val="0"/>
        <w:adjustRightInd w:val="0"/>
        <w:ind w:left="567" w:hanging="567"/>
        <w:jc w:val="both"/>
        <w:outlineLvl w:val="1"/>
        <w:rPr>
          <w:rFonts w:eastAsia="Times New Roman" w:cs="Helvetica-Light"/>
          <w:b/>
          <w:bCs/>
          <w:color w:val="000000"/>
        </w:rPr>
      </w:pPr>
      <w:r w:rsidRPr="1296B87A">
        <w:rPr>
          <w:rFonts w:eastAsia="Times New Roman" w:cs="Helvetica-Light"/>
          <w:b/>
          <w:bCs/>
          <w:color w:val="000000" w:themeColor="text1"/>
        </w:rPr>
        <w:t xml:space="preserve">Capital projects: evaluation and priority </w:t>
      </w:r>
      <w:proofErr w:type="gramStart"/>
      <w:r w:rsidRPr="1296B87A">
        <w:rPr>
          <w:rFonts w:eastAsia="Times New Roman" w:cs="Helvetica-Light"/>
          <w:b/>
          <w:bCs/>
          <w:color w:val="000000" w:themeColor="text1"/>
        </w:rPr>
        <w:t>scoring</w:t>
      </w:r>
      <w:proofErr w:type="gramEnd"/>
      <w:r w:rsidRPr="1296B87A">
        <w:rPr>
          <w:rFonts w:eastAsia="Times New Roman" w:cs="Helvetica-Light"/>
          <w:b/>
          <w:bCs/>
          <w:color w:val="000000" w:themeColor="text1"/>
        </w:rPr>
        <w:t xml:space="preserve"> </w:t>
      </w:r>
    </w:p>
    <w:p w14:paraId="21D7A323" w14:textId="77777777" w:rsidR="007C2EE8" w:rsidRPr="00B25D35" w:rsidRDefault="007C2EE8" w:rsidP="007C2EE8">
      <w:pPr>
        <w:keepNext/>
        <w:autoSpaceDE w:val="0"/>
        <w:autoSpaceDN w:val="0"/>
        <w:adjustRightInd w:val="0"/>
        <w:ind w:left="567"/>
        <w:jc w:val="both"/>
        <w:outlineLvl w:val="1"/>
        <w:rPr>
          <w:rFonts w:eastAsia="Times New Roman" w:cs="Helvetica-Light"/>
          <w:b/>
          <w:bCs/>
          <w:color w:val="000000"/>
        </w:rPr>
      </w:pPr>
    </w:p>
    <w:p w14:paraId="2969031B" w14:textId="4A2D5E9D" w:rsidR="00B25D35" w:rsidRPr="00B25D35" w:rsidRDefault="004A7A82" w:rsidP="00B25D35">
      <w:pPr>
        <w:jc w:val="both"/>
        <w:rPr>
          <w:rFonts w:eastAsia="Times New Roman" w:cs="Arial"/>
        </w:rPr>
      </w:pPr>
      <w:r w:rsidRPr="1296B87A">
        <w:rPr>
          <w:rFonts w:eastAsia="Times New Roman" w:cs="Arial"/>
        </w:rPr>
        <w:t xml:space="preserve">It is acknowledged that the </w:t>
      </w:r>
      <w:r w:rsidR="00047665">
        <w:rPr>
          <w:rFonts w:eastAsia="Times New Roman" w:cs="Arial"/>
        </w:rPr>
        <w:t>C</w:t>
      </w:r>
      <w:r w:rsidRPr="1296B87A">
        <w:rPr>
          <w:rFonts w:eastAsia="Times New Roman" w:cs="Arial"/>
        </w:rPr>
        <w:t xml:space="preserve">ouncil has limited resources to meet all the requests for capital investment and will need to prioritise requests and set benchmarks for investment decisions.  Members ultimately determine the projects to be included within the capital programme but to assist this </w:t>
      </w:r>
      <w:proofErr w:type="gramStart"/>
      <w:r w:rsidRPr="1296B87A">
        <w:rPr>
          <w:rFonts w:eastAsia="Times New Roman" w:cs="Arial"/>
        </w:rPr>
        <w:t>decision making</w:t>
      </w:r>
      <w:proofErr w:type="gramEnd"/>
      <w:r w:rsidRPr="1296B87A">
        <w:rPr>
          <w:rFonts w:eastAsia="Times New Roman" w:cs="Arial"/>
        </w:rPr>
        <w:t xml:space="preserve"> process and ensure decisions are not taken in isolation and with full knowledge of the competing priorities the </w:t>
      </w:r>
      <w:r w:rsidR="00047665">
        <w:rPr>
          <w:rFonts w:eastAsia="Times New Roman" w:cs="Arial"/>
        </w:rPr>
        <w:t>C</w:t>
      </w:r>
      <w:r w:rsidRPr="1296B87A">
        <w:rPr>
          <w:rFonts w:eastAsia="Times New Roman" w:cs="Arial"/>
        </w:rPr>
        <w:t xml:space="preserve">ouncil will implement a priority scoring matrix to be overseen by the Strategic Finance Board and used to determine which proposals are recommended for Cabinet approval and aid the comparison with other proposals.  The criteria will be reviewed on an annual basis to ensure that it continues to provide an effective tool for evaluation and is set out in Annex 1. </w:t>
      </w:r>
    </w:p>
    <w:p w14:paraId="3CA8DFCD" w14:textId="3D7D042E" w:rsidR="00B25D35" w:rsidRPr="00B25D35" w:rsidRDefault="00B25D35" w:rsidP="00B25D35">
      <w:pPr>
        <w:rPr>
          <w:rFonts w:eastAsia="Times New Roman" w:cs="Arial"/>
        </w:rPr>
      </w:pPr>
    </w:p>
    <w:p w14:paraId="359E8FC5" w14:textId="01EB9214" w:rsidR="00B25D35" w:rsidRPr="00B25D35" w:rsidRDefault="004A7A82" w:rsidP="005838A0">
      <w:pPr>
        <w:keepNext/>
        <w:numPr>
          <w:ilvl w:val="1"/>
          <w:numId w:val="23"/>
        </w:numPr>
        <w:autoSpaceDE w:val="0"/>
        <w:autoSpaceDN w:val="0"/>
        <w:adjustRightInd w:val="0"/>
        <w:ind w:left="567" w:hanging="567"/>
        <w:jc w:val="both"/>
        <w:outlineLvl w:val="1"/>
        <w:rPr>
          <w:rFonts w:eastAsia="Times New Roman" w:cs="Helvetica-Light"/>
          <w:b/>
          <w:bCs/>
          <w:color w:val="000000"/>
        </w:rPr>
      </w:pPr>
      <w:r w:rsidRPr="1296B87A">
        <w:rPr>
          <w:rFonts w:eastAsia="Times New Roman" w:cs="Helvetica-Light"/>
          <w:b/>
          <w:bCs/>
          <w:color w:val="000000" w:themeColor="text1"/>
        </w:rPr>
        <w:t>Assessment of proposals and timetable</w:t>
      </w:r>
    </w:p>
    <w:p w14:paraId="7973DD85" w14:textId="77777777" w:rsidR="007C2EE8" w:rsidRPr="00B25D35" w:rsidRDefault="007C2EE8" w:rsidP="007C2EE8">
      <w:pPr>
        <w:keepNext/>
        <w:autoSpaceDE w:val="0"/>
        <w:autoSpaceDN w:val="0"/>
        <w:adjustRightInd w:val="0"/>
        <w:ind w:left="567"/>
        <w:jc w:val="both"/>
        <w:outlineLvl w:val="1"/>
        <w:rPr>
          <w:rFonts w:eastAsia="Times New Roman" w:cs="Helvetica-Light"/>
          <w:b/>
          <w:bCs/>
          <w:color w:val="000000"/>
        </w:rPr>
      </w:pPr>
    </w:p>
    <w:p w14:paraId="1EFE394F" w14:textId="2DB53A52" w:rsidR="00B25D35" w:rsidRPr="00B25D35" w:rsidRDefault="004A7A82" w:rsidP="00B25D35">
      <w:pPr>
        <w:jc w:val="both"/>
        <w:rPr>
          <w:rFonts w:eastAsia="Times New Roman" w:cs="Arial"/>
        </w:rPr>
      </w:pPr>
      <w:r w:rsidRPr="1296B87A">
        <w:rPr>
          <w:rFonts w:eastAsia="Times New Roman" w:cs="Arial"/>
        </w:rPr>
        <w:t xml:space="preserve">The </w:t>
      </w:r>
      <w:r w:rsidR="00047665">
        <w:rPr>
          <w:rFonts w:eastAsia="Times New Roman" w:cs="Arial"/>
        </w:rPr>
        <w:t>C</w:t>
      </w:r>
      <w:r w:rsidRPr="1296B87A">
        <w:rPr>
          <w:rFonts w:eastAsia="Times New Roman" w:cs="Arial"/>
        </w:rPr>
        <w:t xml:space="preserve">ouncil's policy is to agree the rolling </w:t>
      </w:r>
      <w:proofErr w:type="gramStart"/>
      <w:r w:rsidRPr="1296B87A">
        <w:rPr>
          <w:rFonts w:eastAsia="Times New Roman" w:cs="Arial"/>
        </w:rPr>
        <w:t>3 year</w:t>
      </w:r>
      <w:proofErr w:type="gramEnd"/>
      <w:r w:rsidRPr="1296B87A">
        <w:rPr>
          <w:rFonts w:eastAsia="Times New Roman" w:cs="Arial"/>
        </w:rPr>
        <w:t xml:space="preserve"> capital programme on an annual basis at the February </w:t>
      </w:r>
      <w:r w:rsidR="006F0D95">
        <w:rPr>
          <w:rFonts w:eastAsia="Times New Roman" w:cs="Arial"/>
        </w:rPr>
        <w:t>Full C</w:t>
      </w:r>
      <w:r w:rsidRPr="1296B87A">
        <w:rPr>
          <w:rFonts w:eastAsia="Times New Roman" w:cs="Arial"/>
        </w:rPr>
        <w:t xml:space="preserve">ouncil budget setting meeting. </w:t>
      </w:r>
    </w:p>
    <w:p w14:paraId="19E93CC8" w14:textId="474E2E14" w:rsidR="00B25D35" w:rsidRPr="00B25D35" w:rsidRDefault="00B25D35" w:rsidP="00B25D35">
      <w:pPr>
        <w:rPr>
          <w:rFonts w:eastAsia="Times New Roman" w:cs="Arial"/>
        </w:rPr>
      </w:pPr>
    </w:p>
    <w:p w14:paraId="23CD7729" w14:textId="6A57CC45" w:rsidR="00B25D35" w:rsidRPr="00B25D35" w:rsidRDefault="004A7A82" w:rsidP="00B25D35">
      <w:pPr>
        <w:jc w:val="both"/>
        <w:rPr>
          <w:rFonts w:eastAsia="Times New Roman" w:cs="Arial"/>
        </w:rPr>
      </w:pPr>
      <w:r w:rsidRPr="1296B87A">
        <w:rPr>
          <w:rFonts w:eastAsia="Times New Roman" w:cs="Arial"/>
        </w:rPr>
        <w:t xml:space="preserve">Capital proposals are to be submitted to the Capital Finance Team during the summer of each year to inform the budget setting process. The proposals will be assessed and evaluated, using the matrix as referred to in section 2.3 and included at Annex 1, by </w:t>
      </w:r>
      <w:r w:rsidRPr="1296B87A">
        <w:rPr>
          <w:rFonts w:eastAsia="Times New Roman" w:cs="Arial"/>
        </w:rPr>
        <w:lastRenderedPageBreak/>
        <w:t xml:space="preserve">officers from Capital Finance and Asset Management and the appraisals considered by the Strategic Finance Board to identify those proposals that will be recommended to form the basis of the capital delivery programme submitted to the Executive Management Team and members for consideration and approval. </w:t>
      </w:r>
    </w:p>
    <w:p w14:paraId="1C6123B5" w14:textId="7FC478EB" w:rsidR="00B25D35" w:rsidRPr="00B25D35" w:rsidRDefault="00B25D35" w:rsidP="00B25D35">
      <w:pPr>
        <w:rPr>
          <w:rFonts w:eastAsia="Times New Roman" w:cs="Arial"/>
        </w:rPr>
      </w:pPr>
    </w:p>
    <w:p w14:paraId="55A398FD" w14:textId="133C4888" w:rsidR="00B25D35" w:rsidRPr="00B25D35" w:rsidRDefault="004A7A82" w:rsidP="005838A0">
      <w:pPr>
        <w:keepNext/>
        <w:numPr>
          <w:ilvl w:val="1"/>
          <w:numId w:val="23"/>
        </w:numPr>
        <w:tabs>
          <w:tab w:val="left" w:pos="993"/>
        </w:tabs>
        <w:autoSpaceDE w:val="0"/>
        <w:autoSpaceDN w:val="0"/>
        <w:adjustRightInd w:val="0"/>
        <w:ind w:left="567" w:hanging="589"/>
        <w:jc w:val="both"/>
        <w:outlineLvl w:val="1"/>
        <w:rPr>
          <w:rFonts w:eastAsia="Times New Roman" w:cs="Helvetica-Light"/>
          <w:b/>
          <w:bCs/>
          <w:color w:val="000000"/>
        </w:rPr>
      </w:pPr>
      <w:r w:rsidRPr="1296B87A">
        <w:rPr>
          <w:rFonts w:eastAsia="Times New Roman" w:cs="Helvetica-Light"/>
          <w:b/>
          <w:bCs/>
          <w:color w:val="000000" w:themeColor="text1"/>
        </w:rPr>
        <w:t xml:space="preserve">Invest to save capital </w:t>
      </w:r>
      <w:proofErr w:type="gramStart"/>
      <w:r w:rsidRPr="1296B87A">
        <w:rPr>
          <w:rFonts w:eastAsia="Times New Roman" w:cs="Helvetica-Light"/>
          <w:b/>
          <w:bCs/>
          <w:color w:val="000000" w:themeColor="text1"/>
        </w:rPr>
        <w:t>proposals</w:t>
      </w:r>
      <w:proofErr w:type="gramEnd"/>
      <w:r w:rsidRPr="1296B87A">
        <w:rPr>
          <w:rFonts w:eastAsia="Times New Roman" w:cs="Helvetica-Light"/>
          <w:b/>
          <w:bCs/>
          <w:color w:val="000000" w:themeColor="text1"/>
        </w:rPr>
        <w:t xml:space="preserve"> </w:t>
      </w:r>
    </w:p>
    <w:p w14:paraId="3FF1E3BC" w14:textId="77777777" w:rsidR="007C2EE8" w:rsidRPr="00B25D35" w:rsidRDefault="007C2EE8" w:rsidP="007C2EE8">
      <w:pPr>
        <w:keepNext/>
        <w:tabs>
          <w:tab w:val="left" w:pos="993"/>
        </w:tabs>
        <w:autoSpaceDE w:val="0"/>
        <w:autoSpaceDN w:val="0"/>
        <w:adjustRightInd w:val="0"/>
        <w:ind w:left="567"/>
        <w:jc w:val="both"/>
        <w:outlineLvl w:val="1"/>
        <w:rPr>
          <w:rFonts w:eastAsia="Times New Roman" w:cs="Helvetica-Light"/>
          <w:b/>
          <w:bCs/>
          <w:color w:val="000000"/>
        </w:rPr>
      </w:pPr>
    </w:p>
    <w:p w14:paraId="003111A2" w14:textId="24E5E381" w:rsidR="00B25D35" w:rsidRPr="00B25D35" w:rsidRDefault="004A7A82" w:rsidP="00B25D35">
      <w:pPr>
        <w:jc w:val="both"/>
        <w:rPr>
          <w:rFonts w:eastAsia="Times New Roman" w:cs="Arial"/>
        </w:rPr>
      </w:pPr>
      <w:r w:rsidRPr="1296B87A">
        <w:rPr>
          <w:rFonts w:eastAsia="Times New Roman" w:cs="Arial"/>
        </w:rPr>
        <w:t>Service departments are to be encouraged to consider innovative ways that service provision can drive efficiency in both the revenue and capital budget provision and help drive cash savings and reduce long term funding commitments where possible.  On occasion this may include the identification of assets which are no longer considered to be financially sustainable, or fit for purpose, in relation to the delivery of council services and priorities.</w:t>
      </w:r>
    </w:p>
    <w:p w14:paraId="757E20A8" w14:textId="6FA59C10" w:rsidR="00B25D35" w:rsidRPr="00B25D35" w:rsidRDefault="004A7A82" w:rsidP="00B25D35">
      <w:pPr>
        <w:jc w:val="both"/>
        <w:rPr>
          <w:rFonts w:eastAsia="Times New Roman" w:cs="Arial"/>
        </w:rPr>
      </w:pPr>
      <w:r w:rsidRPr="1296B87A">
        <w:rPr>
          <w:rFonts w:eastAsia="Times New Roman" w:cs="Arial"/>
        </w:rPr>
        <w:t xml:space="preserve"> </w:t>
      </w:r>
    </w:p>
    <w:p w14:paraId="02B7BEB4" w14:textId="35251952" w:rsidR="00B25D35" w:rsidRPr="00B25D35" w:rsidRDefault="004A7A82" w:rsidP="00B25D35">
      <w:pPr>
        <w:jc w:val="both"/>
        <w:rPr>
          <w:rFonts w:eastAsia="Times New Roman" w:cs="Arial"/>
        </w:rPr>
      </w:pPr>
      <w:r w:rsidRPr="1296B87A">
        <w:rPr>
          <w:rFonts w:eastAsia="Times New Roman" w:cs="Arial"/>
        </w:rPr>
        <w:t xml:space="preserve">Invest to save bids will be considered for capital funding on the same basis as other proposals, subject to funding resources being available and </w:t>
      </w:r>
      <w:proofErr w:type="gramStart"/>
      <w:r w:rsidRPr="1296B87A">
        <w:rPr>
          <w:rFonts w:eastAsia="Times New Roman" w:cs="Arial"/>
        </w:rPr>
        <w:t>as long as</w:t>
      </w:r>
      <w:proofErr w:type="gramEnd"/>
      <w:r w:rsidRPr="1296B87A">
        <w:rPr>
          <w:rFonts w:eastAsia="Times New Roman" w:cs="Arial"/>
        </w:rPr>
        <w:t xml:space="preserve"> there is a business case demonstrating the savings and benefits which will be achieved as result of the intervention. Where the benefits of these schemes outweigh the costs including the revenue costs of repaying the borrowing, and taking the lifetime of the intervention into account, there is a greater likelihood of the projects being prioritised using the matrix in annex 1; where the costs outweigh the benefits over the lifetime of the intervention, services may be asked to contribute the funding from their revenue budgets to reduce dependency on the limited borrowing capacity available. </w:t>
      </w:r>
    </w:p>
    <w:p w14:paraId="5E1BB005" w14:textId="293CE12D" w:rsidR="00B25D35" w:rsidRPr="00B25D35" w:rsidRDefault="00B25D35" w:rsidP="00B25D35">
      <w:pPr>
        <w:rPr>
          <w:rFonts w:eastAsia="Times New Roman" w:cs="Arial"/>
        </w:rPr>
      </w:pPr>
    </w:p>
    <w:p w14:paraId="673C853C" w14:textId="250EE4A2" w:rsidR="00B25D35" w:rsidRPr="00B25D35" w:rsidRDefault="004A7A82" w:rsidP="005838A0">
      <w:pPr>
        <w:keepNext/>
        <w:numPr>
          <w:ilvl w:val="1"/>
          <w:numId w:val="23"/>
        </w:numPr>
        <w:autoSpaceDE w:val="0"/>
        <w:autoSpaceDN w:val="0"/>
        <w:adjustRightInd w:val="0"/>
        <w:ind w:left="567" w:hanging="567"/>
        <w:jc w:val="both"/>
        <w:outlineLvl w:val="1"/>
        <w:rPr>
          <w:rFonts w:eastAsia="Times New Roman" w:cs="Helvetica-Light"/>
          <w:b/>
          <w:bCs/>
          <w:color w:val="000000"/>
        </w:rPr>
      </w:pPr>
      <w:r w:rsidRPr="1296B87A">
        <w:rPr>
          <w:rFonts w:eastAsia="Times New Roman" w:cs="Helvetica-Light"/>
          <w:b/>
          <w:bCs/>
          <w:color w:val="000000" w:themeColor="text1"/>
        </w:rPr>
        <w:t>Charges to the capital programme</w:t>
      </w:r>
    </w:p>
    <w:p w14:paraId="3348FCF4" w14:textId="77777777" w:rsidR="007C2EE8" w:rsidRPr="00B25D35" w:rsidRDefault="007C2EE8" w:rsidP="007C2EE8">
      <w:pPr>
        <w:keepNext/>
        <w:autoSpaceDE w:val="0"/>
        <w:autoSpaceDN w:val="0"/>
        <w:adjustRightInd w:val="0"/>
        <w:ind w:left="567"/>
        <w:jc w:val="both"/>
        <w:outlineLvl w:val="1"/>
        <w:rPr>
          <w:rFonts w:eastAsia="Times New Roman" w:cs="Helvetica-Light"/>
          <w:b/>
          <w:bCs/>
          <w:color w:val="000000"/>
        </w:rPr>
      </w:pPr>
    </w:p>
    <w:p w14:paraId="17D04257" w14:textId="0B01BB30" w:rsidR="00B25D35" w:rsidRPr="00B25D35" w:rsidRDefault="004A7A82" w:rsidP="00B25D35">
      <w:pPr>
        <w:jc w:val="both"/>
        <w:rPr>
          <w:rFonts w:eastAsia="Times New Roman" w:cs="Arial"/>
        </w:rPr>
      </w:pPr>
      <w:r w:rsidRPr="1296B87A">
        <w:rPr>
          <w:rFonts w:eastAsia="Times New Roman" w:cs="Arial"/>
        </w:rPr>
        <w:t xml:space="preserve">Service departments should follow the </w:t>
      </w:r>
      <w:r w:rsidR="00250DBB">
        <w:rPr>
          <w:rFonts w:eastAsia="Times New Roman" w:cs="Arial"/>
        </w:rPr>
        <w:t>C</w:t>
      </w:r>
      <w:r w:rsidRPr="1296B87A">
        <w:rPr>
          <w:rFonts w:eastAsia="Times New Roman" w:cs="Arial"/>
        </w:rPr>
        <w:t xml:space="preserve">ouncil's capitalisation policy and only charge allowable expenditure to projects in the capital programme.  This will reduce the risk of regulatory infringements </w:t>
      </w:r>
      <w:proofErr w:type="gramStart"/>
      <w:r w:rsidRPr="1296B87A">
        <w:rPr>
          <w:rFonts w:eastAsia="Times New Roman" w:cs="Arial"/>
        </w:rPr>
        <w:t>and also</w:t>
      </w:r>
      <w:proofErr w:type="gramEnd"/>
      <w:r w:rsidRPr="1296B87A">
        <w:rPr>
          <w:rFonts w:eastAsia="Times New Roman" w:cs="Arial"/>
        </w:rPr>
        <w:t xml:space="preserve"> the burden on capital funding by borrowing, as well as increase the number of projects that can be funded with the limited resources available. This will ensure the most effective use of the resources as directed by this strategy. </w:t>
      </w:r>
    </w:p>
    <w:p w14:paraId="2B8DBA88" w14:textId="4B7CA732" w:rsidR="00B25D35" w:rsidRPr="00B25D35" w:rsidRDefault="00B25D35" w:rsidP="00B25D35">
      <w:pPr>
        <w:rPr>
          <w:rFonts w:eastAsia="Times New Roman" w:cs="Arial"/>
        </w:rPr>
      </w:pPr>
    </w:p>
    <w:p w14:paraId="7739AC59" w14:textId="1E71BFD1" w:rsidR="00B25D35" w:rsidRPr="00B25D35" w:rsidRDefault="004A7A82" w:rsidP="005838A0">
      <w:pPr>
        <w:keepNext/>
        <w:numPr>
          <w:ilvl w:val="1"/>
          <w:numId w:val="23"/>
        </w:numPr>
        <w:autoSpaceDE w:val="0"/>
        <w:autoSpaceDN w:val="0"/>
        <w:adjustRightInd w:val="0"/>
        <w:ind w:left="567" w:hanging="567"/>
        <w:jc w:val="both"/>
        <w:outlineLvl w:val="1"/>
        <w:rPr>
          <w:rFonts w:eastAsia="Times New Roman" w:cs="Helvetica-Light"/>
          <w:b/>
          <w:bCs/>
          <w:color w:val="000000"/>
        </w:rPr>
      </w:pPr>
      <w:r w:rsidRPr="1296B87A">
        <w:rPr>
          <w:rFonts w:eastAsia="Times New Roman" w:cs="Helvetica-Light"/>
          <w:b/>
          <w:bCs/>
          <w:color w:val="000000" w:themeColor="text1"/>
        </w:rPr>
        <w:t xml:space="preserve">Approvals outside of the normal budget setting process. </w:t>
      </w:r>
    </w:p>
    <w:p w14:paraId="70057729" w14:textId="77777777" w:rsidR="007C2EE8" w:rsidRPr="00B25D35" w:rsidRDefault="007C2EE8" w:rsidP="007C2EE8">
      <w:pPr>
        <w:keepNext/>
        <w:autoSpaceDE w:val="0"/>
        <w:autoSpaceDN w:val="0"/>
        <w:adjustRightInd w:val="0"/>
        <w:ind w:left="567"/>
        <w:jc w:val="both"/>
        <w:outlineLvl w:val="1"/>
        <w:rPr>
          <w:rFonts w:eastAsia="Times New Roman" w:cs="Helvetica-Light"/>
          <w:b/>
          <w:bCs/>
          <w:color w:val="000000"/>
        </w:rPr>
      </w:pPr>
    </w:p>
    <w:p w14:paraId="7A95D454" w14:textId="580E331C" w:rsidR="00B25D35" w:rsidRPr="00B25D35" w:rsidRDefault="004A7A82" w:rsidP="00B25D35">
      <w:pPr>
        <w:jc w:val="both"/>
        <w:rPr>
          <w:rFonts w:eastAsia="Times New Roman" w:cs="Arial"/>
        </w:rPr>
      </w:pPr>
      <w:r w:rsidRPr="1296B87A">
        <w:rPr>
          <w:rFonts w:eastAsia="Times New Roman" w:cs="Arial"/>
        </w:rPr>
        <w:t xml:space="preserve">Any additional capital investment proposals received outside of the budget setting process in 2.4 above must in the first instance be submitted to the Strategic Finance Board to be reviewed.  The proposals should be submitted in the standard form and will be scored by Capital Finance and Asset Management, if supported by the Strategic Finance Board they will then be recommended to Management Team and Members for approval.  </w:t>
      </w:r>
    </w:p>
    <w:p w14:paraId="60FFA069" w14:textId="73F28A22" w:rsidR="00B25D35" w:rsidRPr="00B25D35" w:rsidRDefault="00B25D35" w:rsidP="00B25D35">
      <w:pPr>
        <w:rPr>
          <w:rFonts w:eastAsia="Times New Roman" w:cs="Arial"/>
        </w:rPr>
      </w:pPr>
    </w:p>
    <w:p w14:paraId="49B9CCC3" w14:textId="6C206ADB" w:rsidR="00B25D35" w:rsidRPr="00B25D35" w:rsidRDefault="004A7A82" w:rsidP="005838A0">
      <w:pPr>
        <w:keepNext/>
        <w:numPr>
          <w:ilvl w:val="1"/>
          <w:numId w:val="23"/>
        </w:numPr>
        <w:autoSpaceDE w:val="0"/>
        <w:autoSpaceDN w:val="0"/>
        <w:adjustRightInd w:val="0"/>
        <w:ind w:left="567" w:hanging="589"/>
        <w:jc w:val="both"/>
        <w:outlineLvl w:val="1"/>
        <w:rPr>
          <w:rFonts w:eastAsia="Times New Roman" w:cs="Helvetica-Light"/>
          <w:b/>
          <w:bCs/>
          <w:color w:val="000000"/>
        </w:rPr>
      </w:pPr>
      <w:r w:rsidRPr="1296B87A">
        <w:rPr>
          <w:rFonts w:eastAsia="Times New Roman" w:cs="Helvetica-Light"/>
          <w:b/>
          <w:bCs/>
          <w:color w:val="000000" w:themeColor="text1"/>
        </w:rPr>
        <w:t>Loans to external bodies or organisations</w:t>
      </w:r>
    </w:p>
    <w:p w14:paraId="0E8032A5" w14:textId="77777777" w:rsidR="007C2EE8" w:rsidRPr="00B25D35" w:rsidRDefault="007C2EE8" w:rsidP="007C2EE8">
      <w:pPr>
        <w:keepNext/>
        <w:autoSpaceDE w:val="0"/>
        <w:autoSpaceDN w:val="0"/>
        <w:adjustRightInd w:val="0"/>
        <w:ind w:left="567"/>
        <w:jc w:val="both"/>
        <w:outlineLvl w:val="1"/>
        <w:rPr>
          <w:rFonts w:eastAsia="Times New Roman" w:cs="Helvetica-Light"/>
          <w:b/>
          <w:bCs/>
          <w:color w:val="000000"/>
        </w:rPr>
      </w:pPr>
    </w:p>
    <w:p w14:paraId="77F12EE7" w14:textId="58500B49" w:rsidR="00B25D35" w:rsidRPr="00B25D35" w:rsidRDefault="004A7A82" w:rsidP="00B25D35">
      <w:pPr>
        <w:jc w:val="both"/>
        <w:rPr>
          <w:rFonts w:eastAsia="Times New Roman" w:cs="Arial"/>
        </w:rPr>
      </w:pPr>
      <w:r w:rsidRPr="1296B87A">
        <w:rPr>
          <w:rFonts w:eastAsia="Times New Roman" w:cs="Arial"/>
        </w:rPr>
        <w:t xml:space="preserve">The </w:t>
      </w:r>
      <w:r w:rsidR="00250DBB">
        <w:rPr>
          <w:rFonts w:eastAsia="Times New Roman" w:cs="Arial"/>
        </w:rPr>
        <w:t>C</w:t>
      </w:r>
      <w:r w:rsidRPr="1296B87A">
        <w:rPr>
          <w:rFonts w:eastAsia="Times New Roman" w:cs="Arial"/>
        </w:rPr>
        <w:t xml:space="preserve">ouncil's capital programme can also provide the facility to loan monies to, or cash flow projects on behalf of, partner organisations where the activities to be funded align to one or more corporate objective or service priorities.  </w:t>
      </w:r>
    </w:p>
    <w:p w14:paraId="7AA13A7E" w14:textId="618E9D29" w:rsidR="00B25D35" w:rsidRPr="00B25D35" w:rsidRDefault="00B25D35" w:rsidP="00B25D35">
      <w:pPr>
        <w:jc w:val="both"/>
        <w:rPr>
          <w:rFonts w:eastAsia="Times New Roman" w:cs="Arial"/>
        </w:rPr>
      </w:pPr>
    </w:p>
    <w:p w14:paraId="164DE73E" w14:textId="23E967A7" w:rsidR="00B25D35" w:rsidRPr="00B25D35" w:rsidRDefault="004A7A82" w:rsidP="00B25D35">
      <w:pPr>
        <w:jc w:val="both"/>
        <w:rPr>
          <w:rFonts w:eastAsia="Times New Roman" w:cs="Arial"/>
        </w:rPr>
      </w:pPr>
      <w:r w:rsidRPr="1296B87A">
        <w:rPr>
          <w:rFonts w:eastAsia="Times New Roman" w:cs="Arial"/>
        </w:rPr>
        <w:t xml:space="preserve">There are statutory regulations which govern the accounting treatment of loans, provided towards expenditure which, if incurred by the authority itself, would be classed </w:t>
      </w:r>
      <w:r w:rsidRPr="1296B87A">
        <w:rPr>
          <w:rFonts w:eastAsia="Times New Roman" w:cs="Arial"/>
        </w:rPr>
        <w:lastRenderedPageBreak/>
        <w:t xml:space="preserve">as capital expenditure. Loans for this purpose must be State Aid compliant and will be subject to a financial appraisal and due diligence checks, and where possible the </w:t>
      </w:r>
      <w:r w:rsidR="00250DBB">
        <w:rPr>
          <w:rFonts w:eastAsia="Times New Roman" w:cs="Arial"/>
        </w:rPr>
        <w:t>C</w:t>
      </w:r>
      <w:r w:rsidRPr="1296B87A">
        <w:rPr>
          <w:rFonts w:eastAsia="Times New Roman" w:cs="Arial"/>
        </w:rPr>
        <w:t xml:space="preserve">ouncil will seek to </w:t>
      </w:r>
      <w:proofErr w:type="gramStart"/>
      <w:r w:rsidRPr="1296B87A">
        <w:rPr>
          <w:rFonts w:eastAsia="Times New Roman" w:cs="Arial"/>
        </w:rPr>
        <w:t>minimise</w:t>
      </w:r>
      <w:proofErr w:type="gramEnd"/>
      <w:r w:rsidRPr="1296B87A">
        <w:rPr>
          <w:rFonts w:eastAsia="Times New Roman" w:cs="Arial"/>
        </w:rPr>
        <w:t xml:space="preserve"> the risks assessed to the </w:t>
      </w:r>
      <w:r w:rsidR="00250DBB">
        <w:rPr>
          <w:rFonts w:eastAsia="Times New Roman" w:cs="Arial"/>
        </w:rPr>
        <w:t>C</w:t>
      </w:r>
      <w:r w:rsidRPr="1296B87A">
        <w:rPr>
          <w:rFonts w:eastAsia="Times New Roman" w:cs="Arial"/>
        </w:rPr>
        <w:t xml:space="preserve">ouncil. This may be in the form of a loan agreement or by security provided by a charge on partner assets.  </w:t>
      </w:r>
    </w:p>
    <w:p w14:paraId="45ACE58D" w14:textId="772C9CB2" w:rsidR="00B25D35" w:rsidRPr="00B25D35" w:rsidRDefault="00B25D35" w:rsidP="00B25D35">
      <w:pPr>
        <w:jc w:val="both"/>
        <w:rPr>
          <w:rFonts w:eastAsia="Times New Roman" w:cs="Arial"/>
        </w:rPr>
      </w:pPr>
    </w:p>
    <w:p w14:paraId="38F576E7" w14:textId="71788287" w:rsidR="00B25D35" w:rsidRPr="00B25D35" w:rsidRDefault="004A7A82" w:rsidP="003008C5">
      <w:pPr>
        <w:jc w:val="both"/>
        <w:rPr>
          <w:rFonts w:eastAsia="Times New Roman" w:cs="Arial"/>
        </w:rPr>
      </w:pPr>
      <w:r w:rsidRPr="1296B87A">
        <w:rPr>
          <w:rFonts w:eastAsia="Times New Roman" w:cs="Arial"/>
        </w:rPr>
        <w:t xml:space="preserve">The rate of interest charged on these facilities will be dependent on the nature and structure of the loan and its assessed risks but will only be provided on the basis that there is no net cost to the </w:t>
      </w:r>
      <w:r w:rsidR="00250DBB">
        <w:rPr>
          <w:rFonts w:eastAsia="Times New Roman" w:cs="Arial"/>
        </w:rPr>
        <w:t>C</w:t>
      </w:r>
      <w:r w:rsidRPr="1296B87A">
        <w:rPr>
          <w:rFonts w:eastAsia="Times New Roman" w:cs="Arial"/>
        </w:rPr>
        <w:t xml:space="preserve">ouncil over time. </w:t>
      </w:r>
    </w:p>
    <w:p w14:paraId="3BDF5F46" w14:textId="222328A2" w:rsidR="00B25D35" w:rsidRPr="00B25D35" w:rsidRDefault="00B25D35" w:rsidP="00B25D35">
      <w:pPr>
        <w:ind w:left="720"/>
        <w:rPr>
          <w:rFonts w:eastAsia="Times New Roman" w:cs="Arial"/>
        </w:rPr>
      </w:pPr>
    </w:p>
    <w:p w14:paraId="0356D4BA" w14:textId="4C5E54A7" w:rsidR="00B25D35" w:rsidRPr="00B25D35" w:rsidRDefault="004A7A82" w:rsidP="005838A0">
      <w:pPr>
        <w:keepNext/>
        <w:numPr>
          <w:ilvl w:val="0"/>
          <w:numId w:val="23"/>
        </w:numPr>
        <w:autoSpaceDE w:val="0"/>
        <w:autoSpaceDN w:val="0"/>
        <w:adjustRightInd w:val="0"/>
        <w:ind w:left="426" w:hanging="426"/>
        <w:jc w:val="both"/>
        <w:outlineLvl w:val="1"/>
        <w:rPr>
          <w:rFonts w:eastAsia="Times New Roman" w:cs="Helvetica-Light"/>
          <w:b/>
          <w:bCs/>
          <w:color w:val="000000"/>
        </w:rPr>
      </w:pPr>
      <w:r w:rsidRPr="1296B87A">
        <w:rPr>
          <w:rFonts w:eastAsia="Times New Roman" w:cs="Helvetica-Light"/>
          <w:b/>
          <w:bCs/>
          <w:color w:val="000000" w:themeColor="text1"/>
        </w:rPr>
        <w:t xml:space="preserve">  Funding sources and investment decisions</w:t>
      </w:r>
    </w:p>
    <w:p w14:paraId="352BA44F" w14:textId="42012367" w:rsidR="00B25D35" w:rsidRPr="00B25D35" w:rsidRDefault="00B25D35" w:rsidP="00B25D35">
      <w:pPr>
        <w:rPr>
          <w:rFonts w:eastAsia="Times New Roman" w:cs="Arial"/>
        </w:rPr>
      </w:pPr>
    </w:p>
    <w:p w14:paraId="664B4223" w14:textId="18100BAA" w:rsidR="00B25D35" w:rsidRPr="00B25D35" w:rsidRDefault="004A7A82" w:rsidP="00B25D35">
      <w:pPr>
        <w:rPr>
          <w:rFonts w:eastAsia="Times New Roman" w:cs="Arial"/>
        </w:rPr>
      </w:pPr>
      <w:r w:rsidRPr="1296B87A">
        <w:rPr>
          <w:rFonts w:eastAsia="Times New Roman" w:cs="Arial"/>
        </w:rPr>
        <w:t>The main sources of capital funding are summarised below:</w:t>
      </w:r>
    </w:p>
    <w:p w14:paraId="703537F1" w14:textId="047C1F4C" w:rsidR="00B25D35" w:rsidRPr="00B25D35" w:rsidRDefault="00B25D35" w:rsidP="00B25D35">
      <w:pPr>
        <w:rPr>
          <w:rFonts w:eastAsia="Times New Roman" w:cs="Arial"/>
        </w:rPr>
      </w:pPr>
    </w:p>
    <w:p w14:paraId="44B002B9" w14:textId="5A7DB028" w:rsidR="00B25D35" w:rsidRPr="00B25D35" w:rsidRDefault="004A7A82" w:rsidP="005838A0">
      <w:pPr>
        <w:keepNext/>
        <w:numPr>
          <w:ilvl w:val="1"/>
          <w:numId w:val="23"/>
        </w:numPr>
        <w:autoSpaceDE w:val="0"/>
        <w:autoSpaceDN w:val="0"/>
        <w:adjustRightInd w:val="0"/>
        <w:ind w:left="567" w:hanging="567"/>
        <w:jc w:val="both"/>
        <w:outlineLvl w:val="1"/>
        <w:rPr>
          <w:rFonts w:eastAsia="Times New Roman" w:cs="Helvetica-Light"/>
          <w:b/>
          <w:bCs/>
          <w:color w:val="000000"/>
        </w:rPr>
      </w:pPr>
      <w:r w:rsidRPr="1296B87A">
        <w:rPr>
          <w:rFonts w:eastAsia="Times New Roman" w:cs="Helvetica-Light"/>
          <w:b/>
          <w:bCs/>
          <w:color w:val="000000" w:themeColor="text1"/>
        </w:rPr>
        <w:t>Grant funding and external contributions</w:t>
      </w:r>
    </w:p>
    <w:p w14:paraId="5994AB24" w14:textId="77777777" w:rsidR="007C2EE8" w:rsidRPr="00B25D35" w:rsidRDefault="007C2EE8" w:rsidP="007C2EE8">
      <w:pPr>
        <w:keepNext/>
        <w:autoSpaceDE w:val="0"/>
        <w:autoSpaceDN w:val="0"/>
        <w:adjustRightInd w:val="0"/>
        <w:ind w:left="567"/>
        <w:jc w:val="both"/>
        <w:outlineLvl w:val="1"/>
        <w:rPr>
          <w:rFonts w:eastAsia="Times New Roman" w:cs="Helvetica-Light"/>
          <w:b/>
          <w:bCs/>
          <w:color w:val="000000"/>
        </w:rPr>
      </w:pPr>
    </w:p>
    <w:p w14:paraId="2F655BE2" w14:textId="01F3F5D0" w:rsidR="00B25D35" w:rsidRPr="00B25D35" w:rsidRDefault="004A7A82" w:rsidP="00B25D35">
      <w:pPr>
        <w:jc w:val="both"/>
        <w:rPr>
          <w:rFonts w:eastAsia="Times New Roman" w:cs="Arial"/>
        </w:rPr>
      </w:pPr>
      <w:r w:rsidRPr="1296B87A">
        <w:rPr>
          <w:rFonts w:eastAsia="Times New Roman" w:cs="Arial"/>
        </w:rPr>
        <w:t xml:space="preserve">The Council will endeavour to maximise grant allocations and allocate them to most effectively address the corporate priorities identified and that are highest in the prioritisation scoring matrix, whilst ensuring all conditions of the grant are met. The majority of 'planned' capital expenditure for maintenance of highway infrastructure and school buildings are funded by the appropriate grants. </w:t>
      </w:r>
    </w:p>
    <w:p w14:paraId="5E82BD6C" w14:textId="30B27676" w:rsidR="00B25D35" w:rsidRPr="00B25D35" w:rsidRDefault="00B25D35" w:rsidP="00B25D35">
      <w:pPr>
        <w:jc w:val="both"/>
        <w:rPr>
          <w:rFonts w:eastAsia="Times New Roman" w:cs="Arial"/>
        </w:rPr>
      </w:pPr>
    </w:p>
    <w:p w14:paraId="58A9CDA5" w14:textId="615B6492" w:rsidR="00B25D35" w:rsidRPr="00B25D35" w:rsidRDefault="004A7A82" w:rsidP="00B25D35">
      <w:pPr>
        <w:jc w:val="both"/>
        <w:rPr>
          <w:rFonts w:eastAsia="Times New Roman" w:cs="Arial"/>
        </w:rPr>
      </w:pPr>
      <w:r w:rsidRPr="1296B87A">
        <w:rPr>
          <w:rFonts w:eastAsia="Times New Roman" w:cs="Arial"/>
        </w:rPr>
        <w:t xml:space="preserve">Contributions will be sought from developers towards the provision of public or private assets and facilities. This will include agreements with developers to mitigate the impact of their development on communities. This will include using Section 106 (Town and Country Planning Act 1990) agreements or community infrastructure levy towards education infrastructure, as specifically highlighted in Department for Education guidance "securing developer contributions for education" issued in November 2019 and contributions towards Highways infrastructure requirements associated with developments under section 38 and 278 (Highways Act). </w:t>
      </w:r>
    </w:p>
    <w:p w14:paraId="054324FC" w14:textId="68EAF182" w:rsidR="00B25D35" w:rsidRPr="00B25D35" w:rsidRDefault="00B25D35" w:rsidP="00B25D35">
      <w:pPr>
        <w:jc w:val="both"/>
        <w:rPr>
          <w:rFonts w:eastAsia="Times New Roman" w:cs="Arial"/>
        </w:rPr>
      </w:pPr>
    </w:p>
    <w:p w14:paraId="7BEE9C8D" w14:textId="714971CD" w:rsidR="00B25D35" w:rsidRPr="00B25D35" w:rsidRDefault="004A7A82" w:rsidP="00B25D35">
      <w:pPr>
        <w:jc w:val="both"/>
        <w:rPr>
          <w:rFonts w:eastAsia="Times New Roman" w:cs="Arial"/>
        </w:rPr>
      </w:pPr>
      <w:r w:rsidRPr="1296B87A">
        <w:rPr>
          <w:rFonts w:eastAsia="Times New Roman" w:cs="Arial"/>
        </w:rPr>
        <w:t xml:space="preserve">Contributions may also be sought from users of the </w:t>
      </w:r>
      <w:r w:rsidR="00250DBB">
        <w:rPr>
          <w:rFonts w:eastAsia="Times New Roman" w:cs="Arial"/>
        </w:rPr>
        <w:t>C</w:t>
      </w:r>
      <w:r w:rsidRPr="1296B87A">
        <w:rPr>
          <w:rFonts w:eastAsia="Times New Roman" w:cs="Arial"/>
        </w:rPr>
        <w:t xml:space="preserve">ouncil's asset base where a proposal for investment will generate benefits for that user, this could be a partner organisation, internal service department or school. </w:t>
      </w:r>
    </w:p>
    <w:p w14:paraId="6499ECFF" w14:textId="4B1C75F4" w:rsidR="00B25D35" w:rsidRPr="00B25D35" w:rsidRDefault="00B25D35" w:rsidP="00863D57">
      <w:pPr>
        <w:keepNext/>
        <w:autoSpaceDE w:val="0"/>
        <w:autoSpaceDN w:val="0"/>
        <w:adjustRightInd w:val="0"/>
        <w:jc w:val="both"/>
        <w:outlineLvl w:val="1"/>
        <w:rPr>
          <w:rFonts w:eastAsia="Times New Roman" w:cs="Helvetica-Light"/>
          <w:b/>
          <w:bCs/>
          <w:color w:val="000000"/>
        </w:rPr>
      </w:pPr>
    </w:p>
    <w:p w14:paraId="0025F22B" w14:textId="50FBD36B" w:rsidR="00B25D35" w:rsidRPr="003008C5" w:rsidRDefault="004A7A82" w:rsidP="005838A0">
      <w:pPr>
        <w:keepNext/>
        <w:numPr>
          <w:ilvl w:val="1"/>
          <w:numId w:val="23"/>
        </w:numPr>
        <w:autoSpaceDE w:val="0"/>
        <w:autoSpaceDN w:val="0"/>
        <w:adjustRightInd w:val="0"/>
        <w:ind w:left="567" w:hanging="589"/>
        <w:jc w:val="both"/>
        <w:outlineLvl w:val="1"/>
        <w:rPr>
          <w:rFonts w:eastAsia="Times New Roman" w:cs="Helvetica-Light"/>
          <w:b/>
          <w:bCs/>
          <w:color w:val="000000"/>
        </w:rPr>
      </w:pPr>
      <w:r w:rsidRPr="1296B87A">
        <w:rPr>
          <w:rFonts w:eastAsia="Times New Roman" w:cs="Helvetica-Light"/>
          <w:b/>
          <w:bCs/>
          <w:color w:val="000000" w:themeColor="text1"/>
        </w:rPr>
        <w:t xml:space="preserve">Capital </w:t>
      </w:r>
      <w:proofErr w:type="gramStart"/>
      <w:r w:rsidRPr="1296B87A">
        <w:rPr>
          <w:rFonts w:eastAsia="Times New Roman" w:cs="Helvetica-Light"/>
          <w:b/>
          <w:bCs/>
          <w:color w:val="000000" w:themeColor="text1"/>
        </w:rPr>
        <w:t>receipts</w:t>
      </w:r>
      <w:proofErr w:type="gramEnd"/>
    </w:p>
    <w:p w14:paraId="3A206A82" w14:textId="77777777" w:rsidR="003008C5" w:rsidRPr="00B25D35" w:rsidRDefault="003008C5" w:rsidP="003008C5">
      <w:pPr>
        <w:keepNext/>
        <w:autoSpaceDE w:val="0"/>
        <w:autoSpaceDN w:val="0"/>
        <w:adjustRightInd w:val="0"/>
        <w:ind w:left="567"/>
        <w:jc w:val="both"/>
        <w:outlineLvl w:val="1"/>
        <w:rPr>
          <w:rFonts w:eastAsia="Times New Roman" w:cs="Helvetica-Light"/>
          <w:b/>
          <w:bCs/>
          <w:color w:val="000000"/>
        </w:rPr>
      </w:pPr>
    </w:p>
    <w:p w14:paraId="4AC814F1" w14:textId="726ACA43" w:rsidR="00B25D35" w:rsidRPr="00B25D35" w:rsidRDefault="004A7A82" w:rsidP="00B25D35">
      <w:pPr>
        <w:jc w:val="both"/>
        <w:rPr>
          <w:rFonts w:eastAsia="Times New Roman" w:cs="Arial"/>
        </w:rPr>
      </w:pPr>
      <w:r w:rsidRPr="1296B87A">
        <w:rPr>
          <w:rFonts w:eastAsia="Times New Roman" w:cs="Arial"/>
        </w:rPr>
        <w:t xml:space="preserve">A capital receipt is an amount of money exceeding £10,000 which is generated from the sale of an asset.  </w:t>
      </w:r>
    </w:p>
    <w:p w14:paraId="78D839AA" w14:textId="3050AF8E" w:rsidR="00B25D35" w:rsidRPr="00B25D35" w:rsidRDefault="00B25D35" w:rsidP="00B25D35">
      <w:pPr>
        <w:jc w:val="both"/>
        <w:rPr>
          <w:rFonts w:eastAsia="Times New Roman" w:cs="Arial"/>
        </w:rPr>
      </w:pPr>
    </w:p>
    <w:p w14:paraId="1A292E5D" w14:textId="71C86BA8" w:rsidR="00B25D35" w:rsidRPr="00B25D35" w:rsidRDefault="004A7A82" w:rsidP="00B25D35">
      <w:pPr>
        <w:jc w:val="both"/>
        <w:rPr>
          <w:rFonts w:eastAsia="Times New Roman" w:cs="Arial"/>
        </w:rPr>
      </w:pPr>
      <w:r w:rsidRPr="1296B87A">
        <w:rPr>
          <w:rFonts w:eastAsia="Times New Roman" w:cs="Arial"/>
        </w:rPr>
        <w:t xml:space="preserve">Capital receipts from asset disposals are a finite funding source and it is important to utilise them to the most effective </w:t>
      </w:r>
      <w:proofErr w:type="gramStart"/>
      <w:r w:rsidRPr="1296B87A">
        <w:rPr>
          <w:rFonts w:eastAsia="Times New Roman" w:cs="Arial"/>
        </w:rPr>
        <w:t>long term</w:t>
      </w:r>
      <w:proofErr w:type="gramEnd"/>
      <w:r w:rsidRPr="1296B87A">
        <w:rPr>
          <w:rFonts w:eastAsia="Times New Roman" w:cs="Arial"/>
        </w:rPr>
        <w:t xml:space="preserve"> advantage of the </w:t>
      </w:r>
      <w:r w:rsidR="00250DBB">
        <w:rPr>
          <w:rFonts w:eastAsia="Times New Roman" w:cs="Arial"/>
        </w:rPr>
        <w:t>C</w:t>
      </w:r>
      <w:r w:rsidRPr="1296B87A">
        <w:rPr>
          <w:rFonts w:eastAsia="Times New Roman" w:cs="Arial"/>
        </w:rPr>
        <w:t xml:space="preserve">ouncil be that funding new capital investment or offsetting debt or transitional costs. </w:t>
      </w:r>
    </w:p>
    <w:p w14:paraId="38E46626" w14:textId="62E3B9BF" w:rsidR="00B25D35" w:rsidRPr="00B25D35" w:rsidRDefault="00B25D35" w:rsidP="00B25D35">
      <w:pPr>
        <w:jc w:val="both"/>
        <w:rPr>
          <w:rFonts w:eastAsia="Times New Roman" w:cs="Arial"/>
        </w:rPr>
      </w:pPr>
    </w:p>
    <w:p w14:paraId="2D2F9AC5" w14:textId="451CCA32" w:rsidR="00B25D35" w:rsidRPr="00B25D35" w:rsidRDefault="004A7A82" w:rsidP="00B25D35">
      <w:pPr>
        <w:jc w:val="both"/>
        <w:rPr>
          <w:rFonts w:eastAsia="Times New Roman" w:cs="Arial"/>
        </w:rPr>
      </w:pPr>
      <w:r w:rsidRPr="1296B87A">
        <w:rPr>
          <w:rFonts w:eastAsia="Times New Roman" w:cs="Arial"/>
        </w:rPr>
        <w:t xml:space="preserve">The </w:t>
      </w:r>
      <w:r w:rsidR="00250DBB">
        <w:rPr>
          <w:rFonts w:eastAsia="Times New Roman" w:cs="Arial"/>
        </w:rPr>
        <w:t>C</w:t>
      </w:r>
      <w:r w:rsidRPr="1296B87A">
        <w:rPr>
          <w:rFonts w:eastAsia="Times New Roman" w:cs="Arial"/>
        </w:rPr>
        <w:t xml:space="preserve">ouncil's policy is to treat all capital receipts as a corporate resource, enabling investment to be directed towards those proposals scoring highest in the prioritisation matrix but where grant funding is not appropriate to be applied to. </w:t>
      </w:r>
    </w:p>
    <w:p w14:paraId="16513EAD" w14:textId="03CFB973" w:rsidR="00B25D35" w:rsidRPr="00B25D35" w:rsidRDefault="00B25D35" w:rsidP="00B25D35">
      <w:pPr>
        <w:jc w:val="both"/>
        <w:rPr>
          <w:rFonts w:eastAsia="Times New Roman" w:cs="Arial"/>
        </w:rPr>
      </w:pPr>
    </w:p>
    <w:p w14:paraId="45DE34C9" w14:textId="32379EC9" w:rsidR="00B25D35" w:rsidRPr="00B25D35" w:rsidRDefault="004A7A82" w:rsidP="00B25D35">
      <w:pPr>
        <w:jc w:val="both"/>
        <w:rPr>
          <w:rFonts w:eastAsia="Times New Roman" w:cs="Arial"/>
        </w:rPr>
      </w:pPr>
      <w:r w:rsidRPr="1296B87A">
        <w:rPr>
          <w:rFonts w:eastAsia="Times New Roman" w:cs="Arial"/>
        </w:rPr>
        <w:t xml:space="preserve">The </w:t>
      </w:r>
      <w:r w:rsidR="00250DBB">
        <w:rPr>
          <w:rFonts w:eastAsia="Times New Roman" w:cs="Arial"/>
        </w:rPr>
        <w:t>C</w:t>
      </w:r>
      <w:r w:rsidRPr="1296B87A">
        <w:rPr>
          <w:rFonts w:eastAsia="Times New Roman" w:cs="Arial"/>
        </w:rPr>
        <w:t xml:space="preserve">ouncil has a substantial property estate, mainly held for operational service requirements, which includes administrative buildings and a range of other land and property assets. The estate is to be managed through the asset management strategy </w:t>
      </w:r>
      <w:r w:rsidRPr="1296B87A">
        <w:rPr>
          <w:rFonts w:eastAsia="Times New Roman" w:cs="Arial"/>
        </w:rPr>
        <w:lastRenderedPageBreak/>
        <w:t xml:space="preserve">which identifies property requirements and where appropriate properties which are surplus to operational requirements which will be disposed of. </w:t>
      </w:r>
    </w:p>
    <w:p w14:paraId="789BD6DC" w14:textId="1F9FEF41" w:rsidR="00B25D35" w:rsidRPr="00B25D35" w:rsidRDefault="00B25D35" w:rsidP="00B25D35">
      <w:pPr>
        <w:jc w:val="both"/>
        <w:rPr>
          <w:rFonts w:eastAsia="Times New Roman" w:cs="Arial"/>
        </w:rPr>
      </w:pPr>
    </w:p>
    <w:p w14:paraId="0D8EBFF1" w14:textId="37DFC722" w:rsidR="00B25D35" w:rsidRPr="00B25D35" w:rsidRDefault="004A7A82" w:rsidP="00B25D35">
      <w:pPr>
        <w:jc w:val="both"/>
        <w:rPr>
          <w:rFonts w:eastAsia="Times New Roman" w:cs="Arial"/>
        </w:rPr>
      </w:pPr>
      <w:r w:rsidRPr="1296B87A">
        <w:rPr>
          <w:rFonts w:eastAsia="Times New Roman" w:cs="Arial"/>
        </w:rPr>
        <w:t xml:space="preserve">The </w:t>
      </w:r>
      <w:r w:rsidR="00250DBB">
        <w:rPr>
          <w:rFonts w:eastAsia="Times New Roman" w:cs="Arial"/>
        </w:rPr>
        <w:t>C</w:t>
      </w:r>
      <w:r w:rsidRPr="1296B87A">
        <w:rPr>
          <w:rFonts w:eastAsia="Times New Roman" w:cs="Arial"/>
        </w:rPr>
        <w:t xml:space="preserve">ouncil will continue to work with other organisations to utilise redundant assets and vacant land to bring them into a useful economic purpose and facilitate employment and job creation, subject to the proposals fitting the principles and criteria previously outlined in this strategy.  </w:t>
      </w:r>
    </w:p>
    <w:p w14:paraId="38664A81" w14:textId="72B2FE26" w:rsidR="00B25D35" w:rsidRPr="00B25D35" w:rsidRDefault="00B25D35" w:rsidP="00B25D35">
      <w:pPr>
        <w:rPr>
          <w:rFonts w:eastAsia="Times New Roman" w:cs="Arial"/>
        </w:rPr>
      </w:pPr>
    </w:p>
    <w:p w14:paraId="47451B6B" w14:textId="487584E5" w:rsidR="00B25D35" w:rsidRPr="003008C5" w:rsidRDefault="004A7A82" w:rsidP="005838A0">
      <w:pPr>
        <w:keepNext/>
        <w:numPr>
          <w:ilvl w:val="1"/>
          <w:numId w:val="23"/>
        </w:numPr>
        <w:autoSpaceDE w:val="0"/>
        <w:autoSpaceDN w:val="0"/>
        <w:adjustRightInd w:val="0"/>
        <w:ind w:left="567" w:hanging="567"/>
        <w:jc w:val="both"/>
        <w:outlineLvl w:val="1"/>
        <w:rPr>
          <w:rFonts w:eastAsia="Times New Roman" w:cs="Helvetica-Light"/>
          <w:b/>
          <w:bCs/>
          <w:color w:val="000000"/>
        </w:rPr>
      </w:pPr>
      <w:r w:rsidRPr="1296B87A">
        <w:rPr>
          <w:rFonts w:eastAsia="Times New Roman" w:cs="Helvetica-Light"/>
          <w:b/>
          <w:bCs/>
          <w:color w:val="000000" w:themeColor="text1"/>
        </w:rPr>
        <w:t xml:space="preserve">Borrowing </w:t>
      </w:r>
    </w:p>
    <w:p w14:paraId="2E724A6E" w14:textId="77777777" w:rsidR="003008C5" w:rsidRPr="00B25D35" w:rsidRDefault="003008C5" w:rsidP="003008C5">
      <w:pPr>
        <w:keepNext/>
        <w:autoSpaceDE w:val="0"/>
        <w:autoSpaceDN w:val="0"/>
        <w:adjustRightInd w:val="0"/>
        <w:ind w:left="567"/>
        <w:jc w:val="both"/>
        <w:outlineLvl w:val="1"/>
        <w:rPr>
          <w:rFonts w:eastAsia="Times New Roman" w:cs="Helvetica-Light"/>
          <w:b/>
          <w:bCs/>
          <w:color w:val="000000"/>
        </w:rPr>
      </w:pPr>
    </w:p>
    <w:p w14:paraId="4139A892" w14:textId="257CF0FF" w:rsidR="00B25D35" w:rsidRPr="00B25D35" w:rsidRDefault="004A7A82" w:rsidP="00B25D35">
      <w:pPr>
        <w:jc w:val="both"/>
        <w:rPr>
          <w:rFonts w:eastAsia="Times New Roman" w:cs="Arial"/>
        </w:rPr>
      </w:pPr>
      <w:r w:rsidRPr="1296B87A">
        <w:rPr>
          <w:rFonts w:eastAsia="Times New Roman" w:cs="Arial"/>
        </w:rPr>
        <w:t xml:space="preserve">The </w:t>
      </w:r>
      <w:r w:rsidR="00250DBB">
        <w:rPr>
          <w:rFonts w:eastAsia="Times New Roman" w:cs="Arial"/>
        </w:rPr>
        <w:t>C</w:t>
      </w:r>
      <w:r w:rsidRPr="1296B87A">
        <w:rPr>
          <w:rFonts w:eastAsia="Times New Roman" w:cs="Arial"/>
        </w:rPr>
        <w:t xml:space="preserve">ouncil will seek to minimise the level of borrowing required to finance required capital expenditure by maximising grants and contributions received, minimise the costs charge to each project and ensuring any surplus assets are sold. </w:t>
      </w:r>
    </w:p>
    <w:p w14:paraId="5C04B491" w14:textId="2CD8C2CB" w:rsidR="00B25D35" w:rsidRPr="00B25D35" w:rsidRDefault="00B25D35" w:rsidP="00B25D35">
      <w:pPr>
        <w:jc w:val="both"/>
        <w:rPr>
          <w:rFonts w:eastAsia="Times New Roman" w:cs="Arial"/>
        </w:rPr>
      </w:pPr>
    </w:p>
    <w:p w14:paraId="3B8FFC1D" w14:textId="7AC6750F" w:rsidR="00B25D35" w:rsidRPr="00B25D35" w:rsidRDefault="004A7A82" w:rsidP="00B25D35">
      <w:pPr>
        <w:jc w:val="both"/>
        <w:rPr>
          <w:rFonts w:eastAsia="Times New Roman" w:cs="Arial"/>
        </w:rPr>
      </w:pPr>
      <w:r w:rsidRPr="1296B87A">
        <w:rPr>
          <w:rFonts w:eastAsia="Times New Roman" w:cs="Arial"/>
        </w:rPr>
        <w:t xml:space="preserve">The Local Government Act 2003 enables local authorities to determine their programmes for capital investment and associated borrowing requirements provided they have regard to the Prudential Code for Capital Finance in Local authorities developed by CIPFA.  </w:t>
      </w:r>
    </w:p>
    <w:p w14:paraId="1DC7AB6B" w14:textId="40746438" w:rsidR="00B25D35" w:rsidRPr="00B25D35" w:rsidRDefault="00B25D35" w:rsidP="00B25D35">
      <w:pPr>
        <w:jc w:val="both"/>
        <w:rPr>
          <w:rFonts w:eastAsia="Times New Roman" w:cs="Arial"/>
        </w:rPr>
      </w:pPr>
    </w:p>
    <w:p w14:paraId="1007FB45" w14:textId="4988C5B4" w:rsidR="00B25D35" w:rsidRPr="00B25D35" w:rsidRDefault="004A7A82" w:rsidP="00B25D35">
      <w:pPr>
        <w:jc w:val="both"/>
        <w:rPr>
          <w:rFonts w:eastAsia="Times New Roman" w:cs="Arial"/>
        </w:rPr>
      </w:pPr>
      <w:r w:rsidRPr="1296B87A">
        <w:rPr>
          <w:rFonts w:eastAsia="Times New Roman" w:cs="Arial"/>
        </w:rPr>
        <w:t xml:space="preserve">The key objectives of the Prudential Code are to ensure, within a clear framework that the capital investment plans of the authority are affordable, prudent and sustainable.  To demonstrate that local authorities have fulfilled these obligations the Code sets out a series of indicators – known as prudential indicators – the </w:t>
      </w:r>
      <w:r w:rsidR="00250DBB">
        <w:rPr>
          <w:rFonts w:eastAsia="Times New Roman" w:cs="Arial"/>
        </w:rPr>
        <w:t>C</w:t>
      </w:r>
      <w:r w:rsidRPr="1296B87A">
        <w:rPr>
          <w:rFonts w:eastAsia="Times New Roman" w:cs="Arial"/>
        </w:rPr>
        <w:t xml:space="preserve">ouncil must consider as part of its budget setting process </w:t>
      </w:r>
      <w:proofErr w:type="gramStart"/>
      <w:r w:rsidRPr="1296B87A">
        <w:rPr>
          <w:rFonts w:eastAsia="Times New Roman" w:cs="Arial"/>
        </w:rPr>
        <w:t>and also</w:t>
      </w:r>
      <w:proofErr w:type="gramEnd"/>
      <w:r w:rsidRPr="1296B87A">
        <w:rPr>
          <w:rFonts w:eastAsia="Times New Roman" w:cs="Arial"/>
        </w:rPr>
        <w:t xml:space="preserve"> give consideration to CIPFA financial resilience indicators.  </w:t>
      </w:r>
    </w:p>
    <w:p w14:paraId="1D3F3FEA" w14:textId="7D378C04" w:rsidR="00B25D35" w:rsidRPr="00B25D35" w:rsidRDefault="00B25D35" w:rsidP="00B25D35">
      <w:pPr>
        <w:jc w:val="both"/>
        <w:rPr>
          <w:rFonts w:eastAsia="Times New Roman" w:cs="Arial"/>
        </w:rPr>
      </w:pPr>
    </w:p>
    <w:p w14:paraId="645B03F7" w14:textId="3A32F501" w:rsidR="003008C5" w:rsidRPr="003008C5" w:rsidRDefault="004A7A82" w:rsidP="005838A0">
      <w:pPr>
        <w:keepNext/>
        <w:numPr>
          <w:ilvl w:val="1"/>
          <w:numId w:val="23"/>
        </w:numPr>
        <w:autoSpaceDE w:val="0"/>
        <w:autoSpaceDN w:val="0"/>
        <w:adjustRightInd w:val="0"/>
        <w:ind w:left="567" w:hanging="567"/>
        <w:jc w:val="both"/>
        <w:outlineLvl w:val="1"/>
        <w:rPr>
          <w:rFonts w:eastAsia="Times New Roman" w:cs="Helvetica-Light"/>
          <w:b/>
          <w:bCs/>
          <w:color w:val="000000"/>
        </w:rPr>
      </w:pPr>
      <w:r w:rsidRPr="1296B87A">
        <w:rPr>
          <w:rFonts w:eastAsia="Times New Roman" w:cs="Helvetica-Light"/>
          <w:b/>
          <w:bCs/>
          <w:color w:val="000000" w:themeColor="text1"/>
        </w:rPr>
        <w:t>Revenue funding</w:t>
      </w:r>
    </w:p>
    <w:p w14:paraId="74F6A47F" w14:textId="77777777" w:rsidR="003008C5" w:rsidRPr="003008C5" w:rsidRDefault="003008C5" w:rsidP="003008C5">
      <w:pPr>
        <w:keepNext/>
        <w:autoSpaceDE w:val="0"/>
        <w:autoSpaceDN w:val="0"/>
        <w:adjustRightInd w:val="0"/>
        <w:ind w:left="567"/>
        <w:jc w:val="both"/>
        <w:outlineLvl w:val="1"/>
        <w:rPr>
          <w:rFonts w:eastAsia="Times New Roman" w:cs="Helvetica-Light"/>
          <w:b/>
          <w:bCs/>
          <w:color w:val="000000"/>
        </w:rPr>
      </w:pPr>
    </w:p>
    <w:p w14:paraId="5745948D" w14:textId="2EE7CBE8" w:rsidR="00B25D35" w:rsidRPr="00B25D35" w:rsidRDefault="004A7A82" w:rsidP="007D7C56">
      <w:pPr>
        <w:jc w:val="both"/>
        <w:rPr>
          <w:rFonts w:eastAsia="Times New Roman" w:cs="Arial"/>
        </w:rPr>
      </w:pPr>
      <w:r w:rsidRPr="1296B87A">
        <w:rPr>
          <w:rFonts w:eastAsia="Times New Roman" w:cs="Arial"/>
        </w:rPr>
        <w:t xml:space="preserve">Capital expenditure may be funded from revenue, for example where a service requests a capital investment to improve its productivity or where funds can be contributed by a school towards improvement or expansion plans.  Pressures on the </w:t>
      </w:r>
      <w:r w:rsidR="00250DBB">
        <w:rPr>
          <w:rFonts w:eastAsia="Times New Roman" w:cs="Arial"/>
        </w:rPr>
        <w:t>C</w:t>
      </w:r>
      <w:r w:rsidRPr="1296B87A">
        <w:rPr>
          <w:rFonts w:eastAsia="Times New Roman" w:cs="Arial"/>
        </w:rPr>
        <w:t xml:space="preserve">ouncil's revenue budget and council tax limits may restrict the extent to which revenue funding can be exercised as a source of capital funding. </w:t>
      </w:r>
    </w:p>
    <w:p w14:paraId="2360B88C" w14:textId="1ECD5446" w:rsidR="00B25D35" w:rsidRPr="00B25D35" w:rsidRDefault="00B25D35" w:rsidP="1296B87A">
      <w:pPr>
        <w:rPr>
          <w:rFonts w:eastAsia="Times New Roman" w:cs="Arial"/>
          <w:b/>
          <w:bCs/>
        </w:rPr>
      </w:pPr>
    </w:p>
    <w:p w14:paraId="509485BC" w14:textId="0246D623" w:rsidR="00B25D35" w:rsidRPr="003008C5" w:rsidRDefault="004A7A82" w:rsidP="005838A0">
      <w:pPr>
        <w:keepNext/>
        <w:numPr>
          <w:ilvl w:val="0"/>
          <w:numId w:val="23"/>
        </w:numPr>
        <w:autoSpaceDE w:val="0"/>
        <w:autoSpaceDN w:val="0"/>
        <w:adjustRightInd w:val="0"/>
        <w:ind w:left="567" w:hanging="567"/>
        <w:jc w:val="both"/>
        <w:outlineLvl w:val="1"/>
        <w:rPr>
          <w:rFonts w:eastAsia="Times New Roman" w:cs="Helvetica-Light"/>
          <w:b/>
          <w:bCs/>
          <w:color w:val="000000"/>
        </w:rPr>
      </w:pPr>
      <w:r w:rsidRPr="1296B87A">
        <w:rPr>
          <w:rFonts w:eastAsia="Times New Roman" w:cs="Helvetica-Light"/>
          <w:b/>
          <w:bCs/>
          <w:color w:val="000000" w:themeColor="text1"/>
        </w:rPr>
        <w:t xml:space="preserve">Revenue implications and links to MTFS, Treasury Management Strategy, and prudential indicators </w:t>
      </w:r>
    </w:p>
    <w:p w14:paraId="7DA7DE5E" w14:textId="77777777" w:rsidR="003008C5" w:rsidRPr="00B25D35" w:rsidRDefault="003008C5" w:rsidP="003008C5">
      <w:pPr>
        <w:keepNext/>
        <w:autoSpaceDE w:val="0"/>
        <w:autoSpaceDN w:val="0"/>
        <w:adjustRightInd w:val="0"/>
        <w:ind w:left="567"/>
        <w:jc w:val="both"/>
        <w:outlineLvl w:val="1"/>
        <w:rPr>
          <w:rFonts w:eastAsia="Times New Roman" w:cs="Helvetica-Light"/>
          <w:b/>
          <w:bCs/>
          <w:color w:val="000000"/>
        </w:rPr>
      </w:pPr>
    </w:p>
    <w:p w14:paraId="6CDB63F2" w14:textId="75C51EB8" w:rsidR="00B25D35" w:rsidRPr="00B25D35" w:rsidRDefault="004A7A82" w:rsidP="00B25D35">
      <w:pPr>
        <w:jc w:val="both"/>
        <w:rPr>
          <w:rFonts w:eastAsia="Times New Roman" w:cs="Arial"/>
        </w:rPr>
      </w:pPr>
      <w:r w:rsidRPr="1296B87A">
        <w:rPr>
          <w:rFonts w:eastAsia="Times New Roman" w:cs="Arial"/>
        </w:rPr>
        <w:t xml:space="preserve">The impact of the revenue implications </w:t>
      </w:r>
      <w:proofErr w:type="gramStart"/>
      <w:r w:rsidRPr="1296B87A">
        <w:rPr>
          <w:rFonts w:eastAsia="Times New Roman" w:cs="Arial"/>
        </w:rPr>
        <w:t>has to</w:t>
      </w:r>
      <w:proofErr w:type="gramEnd"/>
      <w:r w:rsidRPr="1296B87A">
        <w:rPr>
          <w:rFonts w:eastAsia="Times New Roman" w:cs="Arial"/>
        </w:rPr>
        <w:t xml:space="preserve"> be a significant factor in determining approval of projects.  All capital investment decisions should consider the revenue implications both in terms of servicing the finance but also running and maintaining the new asset.  Life cycle costing should be a key factor in the rolling capital strategy requirements and feed through into the rolling </w:t>
      </w:r>
      <w:proofErr w:type="gramStart"/>
      <w:r w:rsidRPr="1296B87A">
        <w:rPr>
          <w:rFonts w:eastAsia="Times New Roman" w:cs="Arial"/>
        </w:rPr>
        <w:t>three year</w:t>
      </w:r>
      <w:proofErr w:type="gramEnd"/>
      <w:r w:rsidRPr="1296B87A">
        <w:rPr>
          <w:rFonts w:eastAsia="Times New Roman" w:cs="Arial"/>
        </w:rPr>
        <w:t xml:space="preserve"> capital delivery programme.  </w:t>
      </w:r>
    </w:p>
    <w:p w14:paraId="37963546" w14:textId="14F70246" w:rsidR="00B25D35" w:rsidRPr="00B25D35" w:rsidRDefault="004A7A82" w:rsidP="00B25D35">
      <w:pPr>
        <w:jc w:val="both"/>
        <w:rPr>
          <w:rFonts w:eastAsia="Times New Roman" w:cs="Arial"/>
        </w:rPr>
      </w:pPr>
      <w:r w:rsidRPr="1296B87A">
        <w:rPr>
          <w:rFonts w:eastAsia="Times New Roman" w:cs="Arial"/>
        </w:rPr>
        <w:t xml:space="preserve">It may be more financially beneficial where service requirements change in the short to medium term to pursue a different model for asset holding which reduces the capital requirements for investment. An example of this could be leasing buildings for service delivery when the demand for the service in that area is shorter than the </w:t>
      </w:r>
      <w:proofErr w:type="gramStart"/>
      <w:r w:rsidRPr="1296B87A">
        <w:rPr>
          <w:rFonts w:eastAsia="Times New Roman" w:cs="Arial"/>
        </w:rPr>
        <w:t>long term</w:t>
      </w:r>
      <w:proofErr w:type="gramEnd"/>
      <w:r w:rsidRPr="1296B87A">
        <w:rPr>
          <w:rFonts w:eastAsia="Times New Roman" w:cs="Arial"/>
        </w:rPr>
        <w:t xml:space="preserve"> financial strategy or the leasing of vehicles. </w:t>
      </w:r>
    </w:p>
    <w:p w14:paraId="188689BC" w14:textId="09C5F703" w:rsidR="00B25D35" w:rsidRPr="00B25D35" w:rsidRDefault="00B25D35" w:rsidP="00B25D35">
      <w:pPr>
        <w:jc w:val="both"/>
        <w:rPr>
          <w:rFonts w:eastAsia="Times New Roman" w:cs="Arial"/>
        </w:rPr>
      </w:pPr>
    </w:p>
    <w:p w14:paraId="7C5EB9D3" w14:textId="13613B6A" w:rsidR="00B25D35" w:rsidRPr="00B25D35" w:rsidRDefault="004A7A82" w:rsidP="00B25D35">
      <w:pPr>
        <w:jc w:val="both"/>
        <w:rPr>
          <w:rFonts w:eastAsia="Times New Roman" w:cs="Arial"/>
        </w:rPr>
      </w:pPr>
      <w:r w:rsidRPr="1296B87A">
        <w:rPr>
          <w:rFonts w:eastAsia="Times New Roman" w:cs="Arial"/>
        </w:rPr>
        <w:t xml:space="preserve">The use and financing of capital resources has been fully taken into account in the production of the </w:t>
      </w:r>
      <w:r w:rsidR="002634BF">
        <w:rPr>
          <w:rFonts w:eastAsia="Times New Roman" w:cs="Arial"/>
        </w:rPr>
        <w:t>C</w:t>
      </w:r>
      <w:r w:rsidRPr="1296B87A">
        <w:rPr>
          <w:rFonts w:eastAsia="Times New Roman" w:cs="Arial"/>
        </w:rPr>
        <w:t xml:space="preserve">ouncil's annual budget and medium term financial </w:t>
      </w:r>
      <w:proofErr w:type="gramStart"/>
      <w:r w:rsidRPr="1296B87A">
        <w:rPr>
          <w:rFonts w:eastAsia="Times New Roman" w:cs="Arial"/>
        </w:rPr>
        <w:t>strategy, and</w:t>
      </w:r>
      <w:proofErr w:type="gramEnd"/>
      <w:r w:rsidRPr="1296B87A">
        <w:rPr>
          <w:rFonts w:eastAsia="Times New Roman" w:cs="Arial"/>
        </w:rPr>
        <w:t xml:space="preserve"> are </w:t>
      </w:r>
      <w:r w:rsidRPr="1296B87A">
        <w:rPr>
          <w:rFonts w:eastAsia="Times New Roman" w:cs="Arial"/>
        </w:rPr>
        <w:lastRenderedPageBreak/>
        <w:t xml:space="preserve">reflected in both the Treasury Management Strategy and Prudential indicators as detailed in appendices of the 2023-24 Budget report.  </w:t>
      </w:r>
    </w:p>
    <w:p w14:paraId="34CE55B0" w14:textId="15E4E3CF" w:rsidR="00B25D35" w:rsidRPr="007D7C56" w:rsidRDefault="004A7A82" w:rsidP="1296B87A">
      <w:pPr>
        <w:rPr>
          <w:rFonts w:eastAsia="Times New Roman" w:cs="Arial"/>
        </w:rPr>
      </w:pPr>
      <w:r w:rsidRPr="1296B87A">
        <w:rPr>
          <w:rFonts w:eastAsia="Times New Roman" w:cs="Arial"/>
        </w:rPr>
        <w:t xml:space="preserve"> </w:t>
      </w:r>
    </w:p>
    <w:p w14:paraId="6ABA0C50" w14:textId="416DDF29" w:rsidR="00B25D35" w:rsidRPr="003008C5" w:rsidRDefault="004A7A82" w:rsidP="005838A0">
      <w:pPr>
        <w:keepNext/>
        <w:numPr>
          <w:ilvl w:val="0"/>
          <w:numId w:val="23"/>
        </w:numPr>
        <w:autoSpaceDE w:val="0"/>
        <w:autoSpaceDN w:val="0"/>
        <w:adjustRightInd w:val="0"/>
        <w:ind w:left="567" w:hanging="567"/>
        <w:jc w:val="both"/>
        <w:outlineLvl w:val="1"/>
        <w:rPr>
          <w:rFonts w:eastAsia="Times New Roman" w:cs="Helvetica-Light"/>
          <w:b/>
          <w:bCs/>
          <w:color w:val="000000"/>
        </w:rPr>
      </w:pPr>
      <w:r w:rsidRPr="1296B87A">
        <w:rPr>
          <w:rFonts w:eastAsia="Times New Roman" w:cs="Helvetica-Light"/>
          <w:b/>
          <w:bCs/>
          <w:color w:val="000000" w:themeColor="text1"/>
        </w:rPr>
        <w:t xml:space="preserve"> Performance monitoring of the capital programme. </w:t>
      </w:r>
    </w:p>
    <w:p w14:paraId="3494E719" w14:textId="77777777" w:rsidR="003008C5" w:rsidRPr="00B25D35" w:rsidRDefault="003008C5" w:rsidP="003008C5">
      <w:pPr>
        <w:keepNext/>
        <w:autoSpaceDE w:val="0"/>
        <w:autoSpaceDN w:val="0"/>
        <w:adjustRightInd w:val="0"/>
        <w:ind w:left="567"/>
        <w:jc w:val="both"/>
        <w:outlineLvl w:val="1"/>
        <w:rPr>
          <w:rFonts w:eastAsia="Times New Roman" w:cs="Helvetica-Light"/>
          <w:b/>
          <w:bCs/>
          <w:color w:val="000000"/>
        </w:rPr>
      </w:pPr>
    </w:p>
    <w:p w14:paraId="7E774EEC" w14:textId="244C4CD6" w:rsidR="00B25D35" w:rsidRPr="00B25D35" w:rsidRDefault="004A7A82" w:rsidP="00B25D35">
      <w:pPr>
        <w:jc w:val="both"/>
        <w:rPr>
          <w:rFonts w:eastAsia="Times New Roman" w:cs="Arial"/>
        </w:rPr>
      </w:pPr>
      <w:r w:rsidRPr="1296B87A">
        <w:rPr>
          <w:rFonts w:eastAsia="Times New Roman" w:cs="Arial"/>
        </w:rPr>
        <w:t>The capital finance team, working with programme and project managers and heads of service for delivery, monitor</w:t>
      </w:r>
      <w:r w:rsidR="004851E5">
        <w:rPr>
          <w:rFonts w:eastAsia="Times New Roman" w:cs="Arial"/>
        </w:rPr>
        <w:t>s</w:t>
      </w:r>
      <w:r w:rsidRPr="1296B87A">
        <w:rPr>
          <w:rFonts w:eastAsia="Times New Roman" w:cs="Arial"/>
        </w:rPr>
        <w:t xml:space="preserve"> the progress of the capital programme </w:t>
      </w:r>
      <w:proofErr w:type="gramStart"/>
      <w:r w:rsidRPr="1296B87A">
        <w:rPr>
          <w:rFonts w:eastAsia="Times New Roman" w:cs="Arial"/>
        </w:rPr>
        <w:t>on a monthly basis</w:t>
      </w:r>
      <w:proofErr w:type="gramEnd"/>
      <w:r w:rsidRPr="1296B87A">
        <w:rPr>
          <w:rFonts w:eastAsia="Times New Roman" w:cs="Arial"/>
        </w:rPr>
        <w:t xml:space="preserve"> and report to Cabinet on a quarterly basis. All delivery projects within the capital programme are managed through the corporate system (PPMS) and reports will be taken to the Strategic Finance Board where there are issues that increase the risks in the capital programme. </w:t>
      </w:r>
    </w:p>
    <w:p w14:paraId="421BA939" w14:textId="19EA0480" w:rsidR="00B25D35" w:rsidRPr="00B25D35" w:rsidRDefault="00B25D35" w:rsidP="00B25D35">
      <w:pPr>
        <w:jc w:val="both"/>
        <w:rPr>
          <w:rFonts w:eastAsia="Times New Roman" w:cs="Arial"/>
        </w:rPr>
      </w:pPr>
    </w:p>
    <w:p w14:paraId="3A37C25B" w14:textId="595934B9" w:rsidR="00B25D35" w:rsidRPr="00B25D35" w:rsidRDefault="004A7A82" w:rsidP="00B25D35">
      <w:pPr>
        <w:rPr>
          <w:rFonts w:eastAsia="Times New Roman" w:cs="Arial"/>
        </w:rPr>
      </w:pPr>
      <w:r w:rsidRPr="1296B87A">
        <w:rPr>
          <w:rFonts w:eastAsia="Times New Roman" w:cs="Arial"/>
        </w:rPr>
        <w:t xml:space="preserve">All processes and procedures relating to the monitoring of the capital programme are set out in the </w:t>
      </w:r>
      <w:r w:rsidR="002634BF">
        <w:rPr>
          <w:rFonts w:eastAsia="Times New Roman" w:cs="Arial"/>
        </w:rPr>
        <w:t>C</w:t>
      </w:r>
      <w:r w:rsidRPr="1296B87A">
        <w:rPr>
          <w:rFonts w:eastAsia="Times New Roman" w:cs="Arial"/>
        </w:rPr>
        <w:t>ouncil</w:t>
      </w:r>
      <w:r w:rsidR="002634BF">
        <w:rPr>
          <w:rFonts w:eastAsia="Times New Roman" w:cs="Arial"/>
        </w:rPr>
        <w:t>'</w:t>
      </w:r>
      <w:r w:rsidRPr="1296B87A">
        <w:rPr>
          <w:rFonts w:eastAsia="Times New Roman" w:cs="Arial"/>
        </w:rPr>
        <w:t>s Financial Regulations.  The key controls are:</w:t>
      </w:r>
    </w:p>
    <w:p w14:paraId="0827DDF3" w14:textId="088A51C1" w:rsidR="00B25D35" w:rsidRPr="00B25D35" w:rsidRDefault="004A7A82" w:rsidP="005838A0">
      <w:pPr>
        <w:numPr>
          <w:ilvl w:val="0"/>
          <w:numId w:val="32"/>
        </w:numPr>
        <w:autoSpaceDE w:val="0"/>
        <w:autoSpaceDN w:val="0"/>
        <w:adjustRightInd w:val="0"/>
        <w:jc w:val="both"/>
        <w:rPr>
          <w:rFonts w:eastAsia="Times New Roman" w:cs="Arial"/>
        </w:rPr>
      </w:pPr>
      <w:r w:rsidRPr="1296B87A">
        <w:rPr>
          <w:rFonts w:eastAsia="Times New Roman" w:cs="Arial"/>
        </w:rPr>
        <w:t xml:space="preserve">All expenditure must be carried out in accordance with Financial Regulations and the capitalisation policy. </w:t>
      </w:r>
    </w:p>
    <w:p w14:paraId="7C7A724A" w14:textId="6B47ED06" w:rsidR="00B25D35" w:rsidRPr="00B25D35" w:rsidRDefault="004A7A82" w:rsidP="005838A0">
      <w:pPr>
        <w:numPr>
          <w:ilvl w:val="0"/>
          <w:numId w:val="32"/>
        </w:numPr>
        <w:autoSpaceDE w:val="0"/>
        <w:autoSpaceDN w:val="0"/>
        <w:adjustRightInd w:val="0"/>
        <w:jc w:val="both"/>
        <w:rPr>
          <w:rFonts w:eastAsia="Times New Roman" w:cs="Arial"/>
        </w:rPr>
      </w:pPr>
      <w:r w:rsidRPr="1296B87A">
        <w:rPr>
          <w:rFonts w:eastAsia="Times New Roman" w:cs="Arial"/>
        </w:rPr>
        <w:t xml:space="preserve">The expenditure must comply with the statutory definition of 'capital purpose' as interpreted in guidance by the Section 151 officer. </w:t>
      </w:r>
    </w:p>
    <w:p w14:paraId="007F77E0" w14:textId="2107FF83" w:rsidR="00B25D35" w:rsidRPr="00B25D35" w:rsidRDefault="004A7A82" w:rsidP="005838A0">
      <w:pPr>
        <w:numPr>
          <w:ilvl w:val="0"/>
          <w:numId w:val="32"/>
        </w:numPr>
        <w:autoSpaceDE w:val="0"/>
        <w:autoSpaceDN w:val="0"/>
        <w:adjustRightInd w:val="0"/>
        <w:jc w:val="both"/>
        <w:rPr>
          <w:rFonts w:eastAsia="Times New Roman" w:cs="Arial"/>
        </w:rPr>
      </w:pPr>
      <w:r w:rsidRPr="1296B87A">
        <w:rPr>
          <w:rFonts w:eastAsia="Times New Roman" w:cs="Arial"/>
        </w:rPr>
        <w:t xml:space="preserve">Where the budget setting process approves a programme budget, a further report on individual schemes to be taken from this budget needs to be approved by the Strategic Finance Board unless delegated powers in the financial regulations apply. </w:t>
      </w:r>
    </w:p>
    <w:p w14:paraId="35266A92" w14:textId="00603A79" w:rsidR="00B25D35" w:rsidRPr="00B25D35" w:rsidRDefault="004A7A82" w:rsidP="005838A0">
      <w:pPr>
        <w:numPr>
          <w:ilvl w:val="0"/>
          <w:numId w:val="32"/>
        </w:numPr>
        <w:autoSpaceDE w:val="0"/>
        <w:autoSpaceDN w:val="0"/>
        <w:adjustRightInd w:val="0"/>
        <w:jc w:val="both"/>
        <w:rPr>
          <w:rFonts w:eastAsia="Times New Roman" w:cs="Arial"/>
        </w:rPr>
      </w:pPr>
      <w:r w:rsidRPr="1296B87A">
        <w:rPr>
          <w:rFonts w:eastAsia="Times New Roman" w:cs="Arial"/>
        </w:rPr>
        <w:t xml:space="preserve">Budgets and responsibility for each project must be under the control of a nominated project manager. </w:t>
      </w:r>
    </w:p>
    <w:p w14:paraId="1DD34499" w14:textId="05BE2ABF" w:rsidR="00B25D35" w:rsidRPr="00B25D35" w:rsidRDefault="00B25D35" w:rsidP="00B25D35">
      <w:pPr>
        <w:autoSpaceDE w:val="0"/>
        <w:autoSpaceDN w:val="0"/>
        <w:adjustRightInd w:val="0"/>
        <w:ind w:left="720"/>
        <w:jc w:val="both"/>
        <w:rPr>
          <w:rFonts w:eastAsia="Times New Roman" w:cs="Arial"/>
        </w:rPr>
      </w:pPr>
    </w:p>
    <w:p w14:paraId="4CFB7397" w14:textId="2D365CB4" w:rsidR="00B25D35" w:rsidRPr="00B25D35" w:rsidRDefault="004A7A82" w:rsidP="1296B87A">
      <w:pPr>
        <w:rPr>
          <w:rFonts w:eastAsia="Times New Roman" w:cs="Arial"/>
          <w:b/>
          <w:bCs/>
        </w:rPr>
      </w:pPr>
      <w:r w:rsidRPr="1296B87A">
        <w:rPr>
          <w:rFonts w:eastAsia="Times New Roman" w:cs="Arial"/>
        </w:rPr>
        <w:t>The monitoring work above will ensure these controls are enforced.</w:t>
      </w:r>
      <w:r w:rsidRPr="1296B87A">
        <w:rPr>
          <w:rFonts w:eastAsia="Times New Roman" w:cs="Arial"/>
          <w:b/>
          <w:bCs/>
        </w:rPr>
        <w:t xml:space="preserve">  </w:t>
      </w:r>
    </w:p>
    <w:p w14:paraId="658E4D6B" w14:textId="1B0CE3E4" w:rsidR="00B25D35" w:rsidRPr="00B25D35" w:rsidRDefault="00B25D35" w:rsidP="1296B87A">
      <w:pPr>
        <w:rPr>
          <w:rFonts w:eastAsia="Times New Roman" w:cs="Arial"/>
          <w:b/>
          <w:bCs/>
        </w:rPr>
      </w:pPr>
    </w:p>
    <w:p w14:paraId="1F3CF710" w14:textId="4B13360C" w:rsidR="00B25D35" w:rsidRPr="003008C5" w:rsidRDefault="004A7A82" w:rsidP="005838A0">
      <w:pPr>
        <w:keepNext/>
        <w:numPr>
          <w:ilvl w:val="0"/>
          <w:numId w:val="23"/>
        </w:numPr>
        <w:autoSpaceDE w:val="0"/>
        <w:autoSpaceDN w:val="0"/>
        <w:adjustRightInd w:val="0"/>
        <w:ind w:left="567" w:hanging="567"/>
        <w:jc w:val="both"/>
        <w:outlineLvl w:val="1"/>
        <w:rPr>
          <w:rFonts w:eastAsia="Times New Roman" w:cs="Helvetica-Light"/>
          <w:b/>
          <w:bCs/>
          <w:color w:val="000000"/>
        </w:rPr>
      </w:pPr>
      <w:r w:rsidRPr="1296B87A">
        <w:rPr>
          <w:rFonts w:eastAsia="Times New Roman" w:cs="Helvetica-Light"/>
          <w:b/>
          <w:bCs/>
          <w:color w:val="000000" w:themeColor="text1"/>
        </w:rPr>
        <w:t xml:space="preserve"> Stewardship of assets</w:t>
      </w:r>
    </w:p>
    <w:p w14:paraId="7721E791" w14:textId="77777777" w:rsidR="003008C5" w:rsidRPr="00B25D35" w:rsidRDefault="003008C5" w:rsidP="003008C5">
      <w:pPr>
        <w:keepNext/>
        <w:autoSpaceDE w:val="0"/>
        <w:autoSpaceDN w:val="0"/>
        <w:adjustRightInd w:val="0"/>
        <w:ind w:left="567"/>
        <w:jc w:val="both"/>
        <w:outlineLvl w:val="1"/>
        <w:rPr>
          <w:rFonts w:eastAsia="Times New Roman" w:cs="Helvetica-Light"/>
          <w:b/>
          <w:bCs/>
          <w:color w:val="000000"/>
        </w:rPr>
      </w:pPr>
    </w:p>
    <w:p w14:paraId="00DED797" w14:textId="4FD4B8F5" w:rsidR="00B25D35" w:rsidRPr="00B25D35" w:rsidRDefault="004A7A82" w:rsidP="00B25D35">
      <w:pPr>
        <w:jc w:val="both"/>
        <w:rPr>
          <w:rFonts w:eastAsia="Times New Roman" w:cs="Arial"/>
        </w:rPr>
      </w:pPr>
      <w:r w:rsidRPr="1296B87A">
        <w:rPr>
          <w:rFonts w:eastAsia="Times New Roman" w:cs="Arial"/>
        </w:rPr>
        <w:t xml:space="preserve">The </w:t>
      </w:r>
      <w:r w:rsidR="002634BF">
        <w:rPr>
          <w:rFonts w:eastAsia="Times New Roman" w:cs="Arial"/>
        </w:rPr>
        <w:t>C</w:t>
      </w:r>
      <w:r w:rsidRPr="1296B87A">
        <w:rPr>
          <w:rFonts w:eastAsia="Times New Roman" w:cs="Arial"/>
        </w:rPr>
        <w:t xml:space="preserve">ouncil's Asset Management Strategy sets out the standard and condition each of its assets should be maintained to and the arrangements for managing these effectively.  The implications of that strategy are included in the </w:t>
      </w:r>
      <w:proofErr w:type="gramStart"/>
      <w:r w:rsidRPr="1296B87A">
        <w:rPr>
          <w:rFonts w:eastAsia="Times New Roman" w:cs="Arial"/>
        </w:rPr>
        <w:t>long term</w:t>
      </w:r>
      <w:proofErr w:type="gramEnd"/>
      <w:r w:rsidRPr="1296B87A">
        <w:rPr>
          <w:rFonts w:eastAsia="Times New Roman" w:cs="Arial"/>
        </w:rPr>
        <w:t xml:space="preserve"> capital strategy requirements and form an important context in which to make future asset management and capital investment decisions. </w:t>
      </w:r>
    </w:p>
    <w:p w14:paraId="50D4102A" w14:textId="7AF04B1D" w:rsidR="00B25D35" w:rsidRPr="00B25D35" w:rsidRDefault="00B25D35" w:rsidP="1296B87A">
      <w:pPr>
        <w:rPr>
          <w:rFonts w:eastAsia="Times New Roman" w:cs="Arial"/>
          <w:b/>
          <w:bCs/>
        </w:rPr>
      </w:pPr>
    </w:p>
    <w:p w14:paraId="727D0577" w14:textId="3618FABC" w:rsidR="00B25D35" w:rsidRPr="003008C5" w:rsidRDefault="004A7A82" w:rsidP="005838A0">
      <w:pPr>
        <w:keepNext/>
        <w:numPr>
          <w:ilvl w:val="0"/>
          <w:numId w:val="23"/>
        </w:numPr>
        <w:autoSpaceDE w:val="0"/>
        <w:autoSpaceDN w:val="0"/>
        <w:adjustRightInd w:val="0"/>
        <w:ind w:left="567" w:hanging="567"/>
        <w:jc w:val="both"/>
        <w:outlineLvl w:val="1"/>
        <w:rPr>
          <w:rFonts w:eastAsia="Times New Roman" w:cs="Helvetica-Light"/>
          <w:b/>
          <w:bCs/>
          <w:color w:val="000000"/>
        </w:rPr>
      </w:pPr>
      <w:r w:rsidRPr="1296B87A">
        <w:rPr>
          <w:rFonts w:eastAsia="Times New Roman" w:cs="Helvetica-Light"/>
          <w:b/>
          <w:bCs/>
          <w:color w:val="000000" w:themeColor="text1"/>
        </w:rPr>
        <w:t xml:space="preserve"> Overview of capital requirements for the existing asset base</w:t>
      </w:r>
    </w:p>
    <w:p w14:paraId="38FC916B" w14:textId="77777777" w:rsidR="003008C5" w:rsidRPr="00B25D35" w:rsidRDefault="003008C5" w:rsidP="003008C5">
      <w:pPr>
        <w:keepNext/>
        <w:autoSpaceDE w:val="0"/>
        <w:autoSpaceDN w:val="0"/>
        <w:adjustRightInd w:val="0"/>
        <w:ind w:left="567"/>
        <w:jc w:val="both"/>
        <w:outlineLvl w:val="1"/>
        <w:rPr>
          <w:rFonts w:eastAsia="Times New Roman" w:cs="Helvetica-Light"/>
          <w:b/>
          <w:bCs/>
          <w:color w:val="000000"/>
        </w:rPr>
      </w:pPr>
    </w:p>
    <w:p w14:paraId="414790DB" w14:textId="3E39D291" w:rsidR="00B25D35" w:rsidRPr="00B25D35" w:rsidRDefault="004A7A82" w:rsidP="00B25D35">
      <w:pPr>
        <w:jc w:val="both"/>
        <w:rPr>
          <w:rFonts w:eastAsia="Times New Roman" w:cs="Arial"/>
        </w:rPr>
      </w:pPr>
      <w:r w:rsidRPr="1296B87A">
        <w:rPr>
          <w:rFonts w:eastAsia="Times New Roman" w:cs="Arial"/>
        </w:rPr>
        <w:t xml:space="preserve">The assessment of investment required over the term of the strategy is updated regularly.  A detailed capital programme will be set each year to deliver the investments that score the highest in the prioritisation scoring and can be delivered within the funding available.  Items which cannot be funded by the available resources will remain unfunded requirements in future strategy assessments and the risk associated with not delivering them will be highlighted in the capital risk register managed by the Strategic Finance Board.   </w:t>
      </w:r>
    </w:p>
    <w:p w14:paraId="718CE750" w14:textId="68CB2EDF" w:rsidR="00B25D35" w:rsidRPr="00B25D35" w:rsidRDefault="004A7A82" w:rsidP="00B25D35">
      <w:pPr>
        <w:keepNext/>
        <w:autoSpaceDE w:val="0"/>
        <w:autoSpaceDN w:val="0"/>
        <w:adjustRightInd w:val="0"/>
        <w:jc w:val="both"/>
        <w:outlineLvl w:val="1"/>
        <w:rPr>
          <w:rFonts w:eastAsia="Times New Roman" w:cs="Helvetica-Light"/>
          <w:b/>
          <w:bCs/>
          <w:color w:val="000000"/>
        </w:rPr>
      </w:pPr>
      <w:r w:rsidRPr="1296B87A">
        <w:rPr>
          <w:rFonts w:eastAsia="Times New Roman" w:cs="Helvetica-Light"/>
          <w:b/>
          <w:bCs/>
          <w:color w:val="000000" w:themeColor="text1"/>
        </w:rPr>
        <w:br w:type="page"/>
      </w:r>
      <w:r w:rsidR="00025875">
        <w:rPr>
          <w:rFonts w:eastAsia="Times New Roman" w:cs="Helvetica-Light"/>
          <w:b/>
          <w:bCs/>
          <w:color w:val="000000" w:themeColor="text1"/>
        </w:rPr>
        <w:lastRenderedPageBreak/>
        <w:t xml:space="preserve">Capital Strategy - </w:t>
      </w:r>
      <w:r w:rsidRPr="1296B87A">
        <w:rPr>
          <w:rFonts w:eastAsia="Times New Roman" w:cs="Helvetica-Light"/>
          <w:b/>
          <w:bCs/>
          <w:color w:val="000000" w:themeColor="text1"/>
        </w:rPr>
        <w:t>Annex 1</w:t>
      </w:r>
    </w:p>
    <w:p w14:paraId="4592EC63" w14:textId="0D3C7D87" w:rsidR="00B25D35" w:rsidRPr="00B25D35" w:rsidRDefault="00B25D35" w:rsidP="00B25D35">
      <w:pPr>
        <w:rPr>
          <w:rFonts w:eastAsia="Times New Roman" w:cs="Arial"/>
        </w:rPr>
      </w:pPr>
    </w:p>
    <w:p w14:paraId="3083636A" w14:textId="4687B796" w:rsidR="00B25D35" w:rsidRPr="00B25D35" w:rsidRDefault="004A7A82" w:rsidP="00B25D35">
      <w:pPr>
        <w:keepNext/>
        <w:autoSpaceDE w:val="0"/>
        <w:autoSpaceDN w:val="0"/>
        <w:adjustRightInd w:val="0"/>
        <w:jc w:val="both"/>
        <w:outlineLvl w:val="1"/>
        <w:rPr>
          <w:rFonts w:eastAsia="Times New Roman" w:cs="Helvetica-Light"/>
          <w:b/>
          <w:bCs/>
          <w:color w:val="000000"/>
        </w:rPr>
      </w:pPr>
      <w:r w:rsidRPr="1296B87A">
        <w:rPr>
          <w:rFonts w:eastAsia="Times New Roman" w:cs="Helvetica-Light"/>
          <w:b/>
          <w:bCs/>
          <w:color w:val="000000" w:themeColor="text1"/>
        </w:rPr>
        <w:t xml:space="preserve">Capital projects: evaluation and priority </w:t>
      </w:r>
      <w:proofErr w:type="gramStart"/>
      <w:r w:rsidRPr="1296B87A">
        <w:rPr>
          <w:rFonts w:eastAsia="Times New Roman" w:cs="Helvetica-Light"/>
          <w:b/>
          <w:bCs/>
          <w:color w:val="000000" w:themeColor="text1"/>
        </w:rPr>
        <w:t>scoring</w:t>
      </w:r>
      <w:proofErr w:type="gramEnd"/>
      <w:r w:rsidRPr="1296B87A">
        <w:rPr>
          <w:rFonts w:eastAsia="Times New Roman" w:cs="Helvetica-Light"/>
          <w:b/>
          <w:bCs/>
          <w:color w:val="000000" w:themeColor="text1"/>
        </w:rPr>
        <w:t xml:space="preserve"> </w:t>
      </w:r>
    </w:p>
    <w:p w14:paraId="3B899DFE" w14:textId="38162C1E" w:rsidR="00B25D35" w:rsidRPr="00B25D35" w:rsidRDefault="004A7A82" w:rsidP="00B25D35">
      <w:pPr>
        <w:rPr>
          <w:rFonts w:eastAsia="Times New Roman" w:cs="Arial"/>
        </w:rPr>
      </w:pPr>
      <w:r w:rsidRPr="1296B87A">
        <w:rPr>
          <w:rFonts w:eastAsia="Times New Roman" w:cs="Arial"/>
        </w:rPr>
        <w:t xml:space="preserve">The criteria referred to in section 2.3 of the Capital Strategy to be applied for 2023-2024 is set out below.  </w:t>
      </w:r>
    </w:p>
    <w:p w14:paraId="297EF3DD" w14:textId="3F025DDF" w:rsidR="00B25D35" w:rsidRPr="00B25D35" w:rsidRDefault="00B25D35" w:rsidP="00B25D35">
      <w:pPr>
        <w:rPr>
          <w:rFonts w:eastAsia="Times New Roman" w:cs="Arial"/>
        </w:rPr>
      </w:pPr>
    </w:p>
    <w:p w14:paraId="065E2FEB" w14:textId="304EF4FE" w:rsidR="00B25D35" w:rsidRPr="00B25D35" w:rsidRDefault="004A7A82" w:rsidP="005838A0">
      <w:pPr>
        <w:numPr>
          <w:ilvl w:val="0"/>
          <w:numId w:val="31"/>
        </w:numPr>
        <w:autoSpaceDE w:val="0"/>
        <w:autoSpaceDN w:val="0"/>
        <w:adjustRightInd w:val="0"/>
        <w:jc w:val="both"/>
        <w:rPr>
          <w:rFonts w:eastAsia="Times New Roman" w:cs="Arial"/>
        </w:rPr>
      </w:pPr>
      <w:r w:rsidRPr="1296B87A">
        <w:rPr>
          <w:rFonts w:eastAsia="Times New Roman" w:cs="Arial"/>
        </w:rPr>
        <w:t xml:space="preserve">The contribution the proposal will make to one or more of the corporate strategy priorities. </w:t>
      </w:r>
    </w:p>
    <w:p w14:paraId="6660FA8C" w14:textId="5B6AA11F" w:rsidR="00B25D35" w:rsidRPr="00B25D35" w:rsidRDefault="004A7A82" w:rsidP="005838A0">
      <w:pPr>
        <w:numPr>
          <w:ilvl w:val="0"/>
          <w:numId w:val="31"/>
        </w:numPr>
        <w:autoSpaceDE w:val="0"/>
        <w:autoSpaceDN w:val="0"/>
        <w:adjustRightInd w:val="0"/>
        <w:jc w:val="both"/>
        <w:rPr>
          <w:rFonts w:eastAsia="Times New Roman" w:cs="Arial"/>
        </w:rPr>
      </w:pPr>
      <w:r w:rsidRPr="1296B87A">
        <w:rPr>
          <w:rFonts w:eastAsia="Times New Roman" w:cs="Arial"/>
        </w:rPr>
        <w:t xml:space="preserve">The impact the proposal will have on the </w:t>
      </w:r>
      <w:r w:rsidR="002634BF">
        <w:rPr>
          <w:rFonts w:eastAsia="Times New Roman" w:cs="Arial"/>
        </w:rPr>
        <w:t>C</w:t>
      </w:r>
      <w:r w:rsidRPr="1296B87A">
        <w:rPr>
          <w:rFonts w:eastAsia="Times New Roman" w:cs="Arial"/>
        </w:rPr>
        <w:t xml:space="preserve">ouncil's revenue budgets either as additional running costs or as a saving including allowing service to be delivered in a more effective way. </w:t>
      </w:r>
    </w:p>
    <w:p w14:paraId="3178C532" w14:textId="6A214405" w:rsidR="00B25D35" w:rsidRPr="00B25D35" w:rsidRDefault="004A7A82" w:rsidP="005838A0">
      <w:pPr>
        <w:numPr>
          <w:ilvl w:val="0"/>
          <w:numId w:val="31"/>
        </w:numPr>
        <w:autoSpaceDE w:val="0"/>
        <w:autoSpaceDN w:val="0"/>
        <w:adjustRightInd w:val="0"/>
        <w:jc w:val="both"/>
        <w:rPr>
          <w:rFonts w:eastAsia="Times New Roman" w:cs="Arial"/>
        </w:rPr>
      </w:pPr>
      <w:r w:rsidRPr="1296B87A">
        <w:rPr>
          <w:rFonts w:eastAsia="Times New Roman" w:cs="Arial"/>
        </w:rPr>
        <w:t xml:space="preserve">The proposals contribution to maintain existing assets to the standard in the specific assent management strategy or to allow services to be delivered as per directorate strategies for non-property assets. </w:t>
      </w:r>
    </w:p>
    <w:p w14:paraId="0131DE11" w14:textId="0D864ED0" w:rsidR="00B25D35" w:rsidRPr="00B25D35" w:rsidRDefault="004A7A82" w:rsidP="005838A0">
      <w:pPr>
        <w:numPr>
          <w:ilvl w:val="0"/>
          <w:numId w:val="31"/>
        </w:numPr>
        <w:autoSpaceDE w:val="0"/>
        <w:autoSpaceDN w:val="0"/>
        <w:adjustRightInd w:val="0"/>
        <w:jc w:val="both"/>
        <w:rPr>
          <w:rFonts w:eastAsia="Times New Roman" w:cs="Arial"/>
        </w:rPr>
      </w:pPr>
      <w:r w:rsidRPr="1296B87A">
        <w:rPr>
          <w:rFonts w:eastAsia="Times New Roman" w:cs="Arial"/>
        </w:rPr>
        <w:t xml:space="preserve">The </w:t>
      </w:r>
      <w:proofErr w:type="gramStart"/>
      <w:r w:rsidRPr="1296B87A">
        <w:rPr>
          <w:rFonts w:eastAsia="Times New Roman" w:cs="Arial"/>
        </w:rPr>
        <w:t>proposals</w:t>
      </w:r>
      <w:proofErr w:type="gramEnd"/>
      <w:r w:rsidRPr="1296B87A">
        <w:rPr>
          <w:rFonts w:eastAsia="Times New Roman" w:cs="Arial"/>
        </w:rPr>
        <w:t xml:space="preserve"> ability to assist in attracting a wider investment such as external funds</w:t>
      </w:r>
      <w:r w:rsidR="007D7C56">
        <w:rPr>
          <w:rFonts w:eastAsia="Times New Roman" w:cs="Arial"/>
        </w:rPr>
        <w:t>.</w:t>
      </w:r>
    </w:p>
    <w:p w14:paraId="7120EFEA" w14:textId="77FA5678" w:rsidR="00B25D35" w:rsidRPr="00B25D35" w:rsidRDefault="004A7A82" w:rsidP="005838A0">
      <w:pPr>
        <w:numPr>
          <w:ilvl w:val="0"/>
          <w:numId w:val="31"/>
        </w:numPr>
        <w:autoSpaceDE w:val="0"/>
        <w:autoSpaceDN w:val="0"/>
        <w:adjustRightInd w:val="0"/>
        <w:jc w:val="both"/>
        <w:rPr>
          <w:rFonts w:eastAsia="Times New Roman" w:cs="Arial"/>
        </w:rPr>
      </w:pPr>
      <w:r w:rsidRPr="1296B87A">
        <w:rPr>
          <w:rFonts w:eastAsia="Times New Roman" w:cs="Arial"/>
        </w:rPr>
        <w:t xml:space="preserve">The </w:t>
      </w:r>
      <w:proofErr w:type="gramStart"/>
      <w:r w:rsidRPr="1296B87A">
        <w:rPr>
          <w:rFonts w:eastAsia="Times New Roman" w:cs="Arial"/>
        </w:rPr>
        <w:t>proposals</w:t>
      </w:r>
      <w:proofErr w:type="gramEnd"/>
      <w:r w:rsidRPr="1296B87A">
        <w:rPr>
          <w:rFonts w:eastAsia="Times New Roman" w:cs="Arial"/>
        </w:rPr>
        <w:t xml:space="preserve"> ability to meet statutory compliance and regulatory requirements including those relating to information assets. </w:t>
      </w:r>
    </w:p>
    <w:p w14:paraId="17A0D7A0" w14:textId="5BC059FC" w:rsidR="00B25D35" w:rsidRPr="00B25D35" w:rsidRDefault="004A7A82" w:rsidP="005838A0">
      <w:pPr>
        <w:numPr>
          <w:ilvl w:val="0"/>
          <w:numId w:val="31"/>
        </w:numPr>
        <w:autoSpaceDE w:val="0"/>
        <w:autoSpaceDN w:val="0"/>
        <w:adjustRightInd w:val="0"/>
        <w:jc w:val="both"/>
        <w:rPr>
          <w:rFonts w:eastAsia="Times New Roman" w:cs="Arial"/>
        </w:rPr>
      </w:pPr>
      <w:r w:rsidRPr="1296B87A">
        <w:rPr>
          <w:rFonts w:eastAsia="Times New Roman" w:cs="Arial"/>
        </w:rPr>
        <w:t xml:space="preserve">The proposal meets specific government initiatives. </w:t>
      </w:r>
    </w:p>
    <w:p w14:paraId="107CDEA2" w14:textId="63E2DE58" w:rsidR="00B25D35" w:rsidRPr="00B25D35" w:rsidRDefault="004A7A82" w:rsidP="005838A0">
      <w:pPr>
        <w:numPr>
          <w:ilvl w:val="0"/>
          <w:numId w:val="31"/>
        </w:numPr>
        <w:autoSpaceDE w:val="0"/>
        <w:autoSpaceDN w:val="0"/>
        <w:adjustRightInd w:val="0"/>
        <w:jc w:val="both"/>
        <w:rPr>
          <w:rFonts w:eastAsia="Times New Roman" w:cs="Arial"/>
        </w:rPr>
      </w:pPr>
      <w:r w:rsidRPr="1296B87A">
        <w:rPr>
          <w:rFonts w:eastAsia="Times New Roman" w:cs="Arial"/>
        </w:rPr>
        <w:t>The proposal addresses non statutory Health and safety risks identified by survey data or mitigates issues included in the corporate capital risk register</w:t>
      </w:r>
      <w:r w:rsidR="007D7C56">
        <w:rPr>
          <w:rFonts w:eastAsia="Times New Roman" w:cs="Arial"/>
        </w:rPr>
        <w:t>.</w:t>
      </w:r>
    </w:p>
    <w:p w14:paraId="7E8A50F2" w14:textId="2FCCF0ED" w:rsidR="00B04BC4" w:rsidRDefault="00B04BC4" w:rsidP="00320643">
      <w:pPr>
        <w:autoSpaceDE w:val="0"/>
        <w:autoSpaceDN w:val="0"/>
        <w:adjustRightInd w:val="0"/>
        <w:jc w:val="both"/>
        <w:rPr>
          <w:rFonts w:eastAsia="Calibri" w:cs="Helvetica-Light"/>
          <w:color w:val="000000"/>
        </w:rPr>
      </w:pPr>
    </w:p>
    <w:p w14:paraId="3D3BBC1F" w14:textId="77777777" w:rsidR="00607344" w:rsidRDefault="00607344" w:rsidP="00320643">
      <w:pPr>
        <w:autoSpaceDE w:val="0"/>
        <w:autoSpaceDN w:val="0"/>
        <w:adjustRightInd w:val="0"/>
        <w:jc w:val="both"/>
        <w:rPr>
          <w:rFonts w:eastAsia="Calibri" w:cs="Helvetica-Light"/>
          <w:color w:val="000000"/>
        </w:rPr>
      </w:pPr>
    </w:p>
    <w:p w14:paraId="78CDAF13" w14:textId="77777777" w:rsidR="00607344" w:rsidRDefault="00607344" w:rsidP="00320643">
      <w:pPr>
        <w:autoSpaceDE w:val="0"/>
        <w:autoSpaceDN w:val="0"/>
        <w:adjustRightInd w:val="0"/>
        <w:jc w:val="both"/>
        <w:rPr>
          <w:rFonts w:eastAsia="Calibri" w:cs="Helvetica-Light"/>
          <w:color w:val="000000"/>
        </w:rPr>
      </w:pPr>
    </w:p>
    <w:p w14:paraId="0D1F0BFA" w14:textId="77777777" w:rsidR="00607344" w:rsidRDefault="00607344" w:rsidP="00320643">
      <w:pPr>
        <w:autoSpaceDE w:val="0"/>
        <w:autoSpaceDN w:val="0"/>
        <w:adjustRightInd w:val="0"/>
        <w:jc w:val="both"/>
        <w:rPr>
          <w:rFonts w:eastAsia="Calibri" w:cs="Helvetica-Light"/>
          <w:color w:val="000000"/>
        </w:rPr>
      </w:pPr>
    </w:p>
    <w:p w14:paraId="5E0EA321" w14:textId="77777777" w:rsidR="00607344" w:rsidRDefault="00607344" w:rsidP="00320643">
      <w:pPr>
        <w:autoSpaceDE w:val="0"/>
        <w:autoSpaceDN w:val="0"/>
        <w:adjustRightInd w:val="0"/>
        <w:jc w:val="both"/>
        <w:rPr>
          <w:rFonts w:eastAsia="Calibri" w:cs="Helvetica-Light"/>
          <w:color w:val="000000"/>
        </w:rPr>
      </w:pPr>
    </w:p>
    <w:p w14:paraId="5DFB5E40" w14:textId="77777777" w:rsidR="00607344" w:rsidRDefault="00607344" w:rsidP="00320643">
      <w:pPr>
        <w:autoSpaceDE w:val="0"/>
        <w:autoSpaceDN w:val="0"/>
        <w:adjustRightInd w:val="0"/>
        <w:jc w:val="both"/>
        <w:rPr>
          <w:rFonts w:eastAsia="Calibri" w:cs="Helvetica-Light"/>
          <w:color w:val="000000"/>
        </w:rPr>
      </w:pPr>
    </w:p>
    <w:p w14:paraId="484A18D2" w14:textId="77777777" w:rsidR="00607344" w:rsidRDefault="00607344" w:rsidP="00320643">
      <w:pPr>
        <w:autoSpaceDE w:val="0"/>
        <w:autoSpaceDN w:val="0"/>
        <w:adjustRightInd w:val="0"/>
        <w:jc w:val="both"/>
        <w:rPr>
          <w:rFonts w:eastAsia="Calibri" w:cs="Helvetica-Light"/>
          <w:color w:val="000000"/>
        </w:rPr>
      </w:pPr>
    </w:p>
    <w:p w14:paraId="6B4530C8" w14:textId="77777777" w:rsidR="00607344" w:rsidRDefault="00607344" w:rsidP="00320643">
      <w:pPr>
        <w:autoSpaceDE w:val="0"/>
        <w:autoSpaceDN w:val="0"/>
        <w:adjustRightInd w:val="0"/>
        <w:jc w:val="both"/>
        <w:rPr>
          <w:rFonts w:eastAsia="Calibri" w:cs="Helvetica-Light"/>
          <w:color w:val="000000"/>
        </w:rPr>
      </w:pPr>
    </w:p>
    <w:p w14:paraId="73EA44E1" w14:textId="77777777" w:rsidR="00607344" w:rsidRDefault="00607344" w:rsidP="00320643">
      <w:pPr>
        <w:autoSpaceDE w:val="0"/>
        <w:autoSpaceDN w:val="0"/>
        <w:adjustRightInd w:val="0"/>
        <w:jc w:val="both"/>
        <w:rPr>
          <w:rFonts w:eastAsia="Calibri" w:cs="Helvetica-Light"/>
          <w:color w:val="000000"/>
        </w:rPr>
      </w:pPr>
    </w:p>
    <w:p w14:paraId="1BCA81A5" w14:textId="77777777" w:rsidR="00607344" w:rsidRDefault="00607344" w:rsidP="00320643">
      <w:pPr>
        <w:autoSpaceDE w:val="0"/>
        <w:autoSpaceDN w:val="0"/>
        <w:adjustRightInd w:val="0"/>
        <w:jc w:val="both"/>
        <w:rPr>
          <w:rFonts w:eastAsia="Calibri" w:cs="Helvetica-Light"/>
          <w:color w:val="000000"/>
        </w:rPr>
      </w:pPr>
    </w:p>
    <w:p w14:paraId="1A30A4C0" w14:textId="77777777" w:rsidR="00607344" w:rsidRDefault="00607344" w:rsidP="00320643">
      <w:pPr>
        <w:autoSpaceDE w:val="0"/>
        <w:autoSpaceDN w:val="0"/>
        <w:adjustRightInd w:val="0"/>
        <w:jc w:val="both"/>
        <w:rPr>
          <w:rFonts w:eastAsia="Calibri" w:cs="Helvetica-Light"/>
          <w:color w:val="000000"/>
        </w:rPr>
      </w:pPr>
    </w:p>
    <w:p w14:paraId="77A8ECFF" w14:textId="77777777" w:rsidR="00607344" w:rsidRDefault="00607344" w:rsidP="00320643">
      <w:pPr>
        <w:autoSpaceDE w:val="0"/>
        <w:autoSpaceDN w:val="0"/>
        <w:adjustRightInd w:val="0"/>
        <w:jc w:val="both"/>
        <w:rPr>
          <w:rFonts w:eastAsia="Calibri" w:cs="Helvetica-Light"/>
          <w:color w:val="000000"/>
        </w:rPr>
      </w:pPr>
    </w:p>
    <w:p w14:paraId="532D84EC" w14:textId="77777777" w:rsidR="00607344" w:rsidRDefault="00607344" w:rsidP="00320643">
      <w:pPr>
        <w:autoSpaceDE w:val="0"/>
        <w:autoSpaceDN w:val="0"/>
        <w:adjustRightInd w:val="0"/>
        <w:jc w:val="both"/>
        <w:rPr>
          <w:rFonts w:eastAsia="Calibri" w:cs="Helvetica-Light"/>
          <w:color w:val="000000"/>
        </w:rPr>
      </w:pPr>
    </w:p>
    <w:p w14:paraId="0B0400EE" w14:textId="77777777" w:rsidR="00607344" w:rsidRDefault="00607344" w:rsidP="00320643">
      <w:pPr>
        <w:autoSpaceDE w:val="0"/>
        <w:autoSpaceDN w:val="0"/>
        <w:adjustRightInd w:val="0"/>
        <w:jc w:val="both"/>
        <w:rPr>
          <w:rFonts w:eastAsia="Calibri" w:cs="Helvetica-Light"/>
          <w:color w:val="000000"/>
        </w:rPr>
      </w:pPr>
    </w:p>
    <w:p w14:paraId="425301C4" w14:textId="77777777" w:rsidR="00607344" w:rsidRDefault="00607344" w:rsidP="00320643">
      <w:pPr>
        <w:autoSpaceDE w:val="0"/>
        <w:autoSpaceDN w:val="0"/>
        <w:adjustRightInd w:val="0"/>
        <w:jc w:val="both"/>
        <w:rPr>
          <w:rFonts w:eastAsia="Calibri" w:cs="Helvetica-Light"/>
          <w:color w:val="000000"/>
        </w:rPr>
      </w:pPr>
    </w:p>
    <w:p w14:paraId="58EC0859" w14:textId="77777777" w:rsidR="00607344" w:rsidRDefault="00607344" w:rsidP="00320643">
      <w:pPr>
        <w:autoSpaceDE w:val="0"/>
        <w:autoSpaceDN w:val="0"/>
        <w:adjustRightInd w:val="0"/>
        <w:jc w:val="both"/>
        <w:rPr>
          <w:rFonts w:eastAsia="Calibri" w:cs="Helvetica-Light"/>
          <w:color w:val="000000"/>
        </w:rPr>
      </w:pPr>
    </w:p>
    <w:p w14:paraId="618106B3" w14:textId="77777777" w:rsidR="00607344" w:rsidRDefault="00607344" w:rsidP="00320643">
      <w:pPr>
        <w:autoSpaceDE w:val="0"/>
        <w:autoSpaceDN w:val="0"/>
        <w:adjustRightInd w:val="0"/>
        <w:jc w:val="both"/>
        <w:rPr>
          <w:rFonts w:eastAsia="Calibri" w:cs="Helvetica-Light"/>
          <w:color w:val="000000"/>
        </w:rPr>
      </w:pPr>
    </w:p>
    <w:p w14:paraId="26E3BC6D" w14:textId="77777777" w:rsidR="00607344" w:rsidRDefault="00607344" w:rsidP="00320643">
      <w:pPr>
        <w:autoSpaceDE w:val="0"/>
        <w:autoSpaceDN w:val="0"/>
        <w:adjustRightInd w:val="0"/>
        <w:jc w:val="both"/>
        <w:rPr>
          <w:rFonts w:eastAsia="Calibri" w:cs="Helvetica-Light"/>
          <w:color w:val="000000"/>
        </w:rPr>
      </w:pPr>
    </w:p>
    <w:p w14:paraId="3327C497" w14:textId="77777777" w:rsidR="00607344" w:rsidRDefault="00607344" w:rsidP="00320643">
      <w:pPr>
        <w:autoSpaceDE w:val="0"/>
        <w:autoSpaceDN w:val="0"/>
        <w:adjustRightInd w:val="0"/>
        <w:jc w:val="both"/>
        <w:rPr>
          <w:rFonts w:eastAsia="Calibri" w:cs="Helvetica-Light"/>
          <w:color w:val="000000"/>
        </w:rPr>
      </w:pPr>
    </w:p>
    <w:p w14:paraId="7E27A7EB" w14:textId="77777777" w:rsidR="00607344" w:rsidRDefault="00607344" w:rsidP="00320643">
      <w:pPr>
        <w:autoSpaceDE w:val="0"/>
        <w:autoSpaceDN w:val="0"/>
        <w:adjustRightInd w:val="0"/>
        <w:jc w:val="both"/>
        <w:rPr>
          <w:rFonts w:eastAsia="Calibri" w:cs="Helvetica-Light"/>
          <w:color w:val="000000"/>
        </w:rPr>
      </w:pPr>
    </w:p>
    <w:p w14:paraId="0E60C89F" w14:textId="77777777" w:rsidR="00607344" w:rsidRDefault="00607344" w:rsidP="00320643">
      <w:pPr>
        <w:autoSpaceDE w:val="0"/>
        <w:autoSpaceDN w:val="0"/>
        <w:adjustRightInd w:val="0"/>
        <w:jc w:val="both"/>
        <w:rPr>
          <w:rFonts w:eastAsia="Calibri" w:cs="Helvetica-Light"/>
          <w:color w:val="000000"/>
        </w:rPr>
      </w:pPr>
    </w:p>
    <w:p w14:paraId="590CE8B4" w14:textId="77777777" w:rsidR="00607344" w:rsidRDefault="00607344" w:rsidP="00320643">
      <w:pPr>
        <w:autoSpaceDE w:val="0"/>
        <w:autoSpaceDN w:val="0"/>
        <w:adjustRightInd w:val="0"/>
        <w:jc w:val="both"/>
        <w:rPr>
          <w:rFonts w:eastAsia="Calibri" w:cs="Helvetica-Light"/>
          <w:color w:val="000000"/>
        </w:rPr>
      </w:pPr>
    </w:p>
    <w:p w14:paraId="6B9A1FFE" w14:textId="77777777" w:rsidR="00607344" w:rsidRDefault="00607344" w:rsidP="00320643">
      <w:pPr>
        <w:autoSpaceDE w:val="0"/>
        <w:autoSpaceDN w:val="0"/>
        <w:adjustRightInd w:val="0"/>
        <w:jc w:val="both"/>
        <w:rPr>
          <w:rFonts w:eastAsia="Calibri" w:cs="Helvetica-Light"/>
          <w:color w:val="000000"/>
        </w:rPr>
      </w:pPr>
    </w:p>
    <w:p w14:paraId="744DBF62" w14:textId="77777777" w:rsidR="00607344" w:rsidRDefault="00607344" w:rsidP="00320643">
      <w:pPr>
        <w:autoSpaceDE w:val="0"/>
        <w:autoSpaceDN w:val="0"/>
        <w:adjustRightInd w:val="0"/>
        <w:jc w:val="both"/>
        <w:rPr>
          <w:rFonts w:eastAsia="Calibri" w:cs="Helvetica-Light"/>
          <w:color w:val="000000"/>
        </w:rPr>
      </w:pPr>
    </w:p>
    <w:p w14:paraId="43D88D7C" w14:textId="77777777" w:rsidR="00607344" w:rsidRDefault="00607344" w:rsidP="00320643">
      <w:pPr>
        <w:autoSpaceDE w:val="0"/>
        <w:autoSpaceDN w:val="0"/>
        <w:adjustRightInd w:val="0"/>
        <w:jc w:val="both"/>
        <w:rPr>
          <w:rFonts w:eastAsia="Calibri" w:cs="Helvetica-Light"/>
          <w:color w:val="000000"/>
        </w:rPr>
      </w:pPr>
    </w:p>
    <w:p w14:paraId="75923DB7" w14:textId="77777777" w:rsidR="00607344" w:rsidRDefault="00607344" w:rsidP="00320643">
      <w:pPr>
        <w:autoSpaceDE w:val="0"/>
        <w:autoSpaceDN w:val="0"/>
        <w:adjustRightInd w:val="0"/>
        <w:jc w:val="both"/>
        <w:rPr>
          <w:rFonts w:eastAsia="Calibri" w:cs="Helvetica-Light"/>
          <w:color w:val="000000"/>
        </w:rPr>
      </w:pPr>
    </w:p>
    <w:p w14:paraId="41299E39" w14:textId="77777777" w:rsidR="00607344" w:rsidRDefault="00607344" w:rsidP="00320643">
      <w:pPr>
        <w:autoSpaceDE w:val="0"/>
        <w:autoSpaceDN w:val="0"/>
        <w:adjustRightInd w:val="0"/>
        <w:jc w:val="both"/>
        <w:rPr>
          <w:rFonts w:eastAsia="Calibri" w:cs="Helvetica-Light"/>
          <w:color w:val="000000"/>
        </w:rPr>
      </w:pPr>
    </w:p>
    <w:p w14:paraId="639C53D5" w14:textId="77777777" w:rsidR="00607344" w:rsidRDefault="00607344" w:rsidP="00320643">
      <w:pPr>
        <w:autoSpaceDE w:val="0"/>
        <w:autoSpaceDN w:val="0"/>
        <w:adjustRightInd w:val="0"/>
        <w:jc w:val="both"/>
        <w:rPr>
          <w:rFonts w:eastAsia="Calibri" w:cs="Helvetica-Light"/>
          <w:color w:val="000000"/>
        </w:rPr>
      </w:pPr>
    </w:p>
    <w:p w14:paraId="3C877D71" w14:textId="77777777" w:rsidR="007A3349" w:rsidRDefault="007A3349" w:rsidP="00320643">
      <w:pPr>
        <w:autoSpaceDE w:val="0"/>
        <w:autoSpaceDN w:val="0"/>
        <w:adjustRightInd w:val="0"/>
        <w:jc w:val="both"/>
        <w:rPr>
          <w:rFonts w:eastAsia="Calibri" w:cs="Helvetica-Light"/>
          <w:color w:val="000000"/>
        </w:rPr>
      </w:pPr>
    </w:p>
    <w:p w14:paraId="288756CF" w14:textId="13D5DC98" w:rsidR="0003413B" w:rsidRPr="00931402" w:rsidRDefault="004A7A82" w:rsidP="0003413B">
      <w:pPr>
        <w:jc w:val="both"/>
        <w:rPr>
          <w:bCs/>
        </w:rPr>
      </w:pPr>
      <w:r w:rsidRPr="1296B87A">
        <w:rPr>
          <w:rFonts w:eastAsia="Calibri" w:cs="Helvetica-Light"/>
          <w:b/>
          <w:bCs/>
          <w:color w:val="000000" w:themeColor="text1"/>
          <w:u w:val="single"/>
        </w:rPr>
        <w:lastRenderedPageBreak/>
        <w:t xml:space="preserve">Annex </w:t>
      </w:r>
      <w:r>
        <w:rPr>
          <w:rFonts w:eastAsia="Calibri" w:cs="Helvetica-Light"/>
          <w:b/>
          <w:bCs/>
          <w:color w:val="000000" w:themeColor="text1"/>
          <w:u w:val="single"/>
        </w:rPr>
        <w:t>G</w:t>
      </w:r>
      <w:r w:rsidRPr="1296B87A">
        <w:rPr>
          <w:rFonts w:eastAsia="Calibri" w:cs="Helvetica-Light"/>
          <w:b/>
          <w:bCs/>
          <w:color w:val="000000" w:themeColor="text1"/>
          <w:u w:val="single"/>
        </w:rPr>
        <w:t xml:space="preserve"> </w:t>
      </w:r>
    </w:p>
    <w:p w14:paraId="016A6FF3" w14:textId="6B1A079B" w:rsidR="007A3349" w:rsidRDefault="007A3349" w:rsidP="007A3349">
      <w:pPr>
        <w:autoSpaceDE w:val="0"/>
        <w:autoSpaceDN w:val="0"/>
        <w:adjustRightInd w:val="0"/>
        <w:jc w:val="both"/>
        <w:rPr>
          <w:rFonts w:eastAsia="Calibri" w:cs="Helvetica-Light"/>
          <w:b/>
          <w:bCs/>
          <w:color w:val="000000"/>
          <w:u w:val="single"/>
        </w:rPr>
      </w:pPr>
    </w:p>
    <w:p w14:paraId="6B55BDEA" w14:textId="77777777" w:rsidR="00290A8A" w:rsidRPr="00BA3A52" w:rsidRDefault="004A7A82" w:rsidP="00290A8A">
      <w:pPr>
        <w:pBdr>
          <w:bottom w:val="single" w:sz="12" w:space="1" w:color="auto"/>
        </w:pBdr>
        <w:rPr>
          <w:b/>
          <w:bCs/>
          <w:sz w:val="28"/>
          <w:szCs w:val="28"/>
        </w:rPr>
      </w:pPr>
      <w:r w:rsidRPr="00BA3A52">
        <w:rPr>
          <w:b/>
          <w:bCs/>
          <w:sz w:val="28"/>
          <w:szCs w:val="28"/>
        </w:rPr>
        <w:t>Treasury Management Strategy 2024/25</w:t>
      </w:r>
    </w:p>
    <w:p w14:paraId="536399D7" w14:textId="77777777" w:rsidR="00290A8A" w:rsidRPr="00734E71" w:rsidRDefault="004A7A82" w:rsidP="00290A8A">
      <w:pPr>
        <w:pBdr>
          <w:bottom w:val="single" w:sz="12" w:space="1" w:color="auto"/>
        </w:pBdr>
        <w:rPr>
          <w:bCs/>
          <w:highlight w:val="yellow"/>
        </w:rPr>
      </w:pPr>
      <w:r w:rsidRPr="00734E71">
        <w:rPr>
          <w:b/>
          <w:bCs/>
          <w:sz w:val="28"/>
          <w:szCs w:val="28"/>
          <w:highlight w:val="yellow"/>
        </w:rPr>
        <w:t xml:space="preserve"> </w:t>
      </w:r>
    </w:p>
    <w:p w14:paraId="2F11B33C" w14:textId="77777777" w:rsidR="00290A8A" w:rsidRPr="00734E71" w:rsidRDefault="00290A8A" w:rsidP="00290A8A">
      <w:pPr>
        <w:jc w:val="both"/>
        <w:rPr>
          <w:highlight w:val="yellow"/>
        </w:rPr>
      </w:pPr>
    </w:p>
    <w:p w14:paraId="5515CE60" w14:textId="77777777" w:rsidR="00290A8A" w:rsidRPr="000E0052" w:rsidRDefault="004A7A82" w:rsidP="00290A8A">
      <w:pPr>
        <w:jc w:val="both"/>
      </w:pPr>
      <w:r w:rsidRPr="000E0052">
        <w:t>Under the Local Government Act 2003, local authorities must have regard to statutory proper practices in their treasury management activities. In effect this means the council must adhere to the Chartered Institute of Public Finance and Accountancy’s (CIPFA) Prudential Code for capital finance in local authorities, CIPFA's 'Treasury Management in the Public Services: Code of Practice' (the CIPFA Code), and the then Ministry of Homes, Communities and Local Government guidance on local authority investments.</w:t>
      </w:r>
    </w:p>
    <w:p w14:paraId="409B20F3" w14:textId="77777777" w:rsidR="00290A8A" w:rsidRPr="000E0052" w:rsidRDefault="00290A8A" w:rsidP="00290A8A">
      <w:pPr>
        <w:jc w:val="both"/>
      </w:pPr>
    </w:p>
    <w:p w14:paraId="1A4BEF95" w14:textId="77777777" w:rsidR="00290A8A" w:rsidRPr="000E0052" w:rsidRDefault="004A7A82" w:rsidP="00290A8A">
      <w:pPr>
        <w:jc w:val="both"/>
      </w:pPr>
      <w:r w:rsidRPr="000E0052">
        <w:t>The CIPFA code requires the treasury management strategy to be produced and approved annually before the start of each financial year. In addition, the then Ministry of Homes, Communities and Local Government has issued updated statutory guidance on local government investments. This now covers a wider definition of investments and includes those that support local public services by lending to or buying shares in other organisations (service investments), and those made to earn investment income (known as commercial investments where this is the main purpose). Investments held for service purposes or for commercial profit are considered in the separate investment strategy.</w:t>
      </w:r>
    </w:p>
    <w:p w14:paraId="6E32F0C8" w14:textId="77777777" w:rsidR="00290A8A" w:rsidRPr="000E0052" w:rsidRDefault="00290A8A" w:rsidP="00290A8A"/>
    <w:p w14:paraId="334C17B3" w14:textId="77777777" w:rsidR="00290A8A" w:rsidRPr="000E0052" w:rsidRDefault="004A7A82" w:rsidP="00290A8A">
      <w:pPr>
        <w:jc w:val="both"/>
      </w:pPr>
      <w:r w:rsidRPr="000E0052">
        <w:t xml:space="preserve">In conjunction with the detailed treasury management practices approved by the Director of Finance, the strategy provides the policy framework for the engagement of the council with financial markets </w:t>
      </w:r>
      <w:proofErr w:type="gramStart"/>
      <w:r w:rsidRPr="000E0052">
        <w:t>in order to</w:t>
      </w:r>
      <w:proofErr w:type="gramEnd"/>
      <w:r w:rsidRPr="000E0052">
        <w:t xml:space="preserve"> fund its capital investment programme, to maintain the security of its cash balances and protect them from credit, liquidity, inflation and interest rate risk.</w:t>
      </w:r>
    </w:p>
    <w:p w14:paraId="09360F5D" w14:textId="77777777" w:rsidR="00290A8A" w:rsidRPr="000E0052" w:rsidRDefault="00290A8A" w:rsidP="00290A8A"/>
    <w:p w14:paraId="79F81462" w14:textId="77777777" w:rsidR="00290A8A" w:rsidRDefault="004A7A82" w:rsidP="00290A8A">
      <w:pPr>
        <w:jc w:val="both"/>
      </w:pPr>
      <w:r w:rsidRPr="000E0052">
        <w:t>The strategy includes provisions for borrowing, treasury investments, financial derivatives and the indicators that will be used for monitoring purposes throughout the year. It is designed to achieve the following objectives:</w:t>
      </w:r>
    </w:p>
    <w:p w14:paraId="3D32FD3F" w14:textId="77777777" w:rsidR="00290A8A" w:rsidRPr="000E0052" w:rsidRDefault="00290A8A" w:rsidP="00290A8A">
      <w:pPr>
        <w:jc w:val="both"/>
      </w:pPr>
    </w:p>
    <w:p w14:paraId="682A2749" w14:textId="77777777" w:rsidR="00290A8A" w:rsidRPr="000E0052" w:rsidRDefault="004A7A82" w:rsidP="005838A0">
      <w:pPr>
        <w:pStyle w:val="ListParagraph"/>
        <w:numPr>
          <w:ilvl w:val="0"/>
          <w:numId w:val="42"/>
        </w:numPr>
        <w:jc w:val="both"/>
      </w:pPr>
      <w:r w:rsidRPr="000E0052">
        <w:t>To ensure the security of the principal sums invested which represent the council's various reserves and balances.</w:t>
      </w:r>
    </w:p>
    <w:p w14:paraId="34320DB6" w14:textId="77777777" w:rsidR="00290A8A" w:rsidRPr="000E0052" w:rsidRDefault="004A7A82" w:rsidP="005838A0">
      <w:pPr>
        <w:pStyle w:val="ListParagraph"/>
        <w:numPr>
          <w:ilvl w:val="0"/>
          <w:numId w:val="42"/>
        </w:numPr>
        <w:jc w:val="both"/>
      </w:pPr>
      <w:r w:rsidRPr="000E0052">
        <w:t>To ensure that the council has access to cash resources as and when required.</w:t>
      </w:r>
    </w:p>
    <w:p w14:paraId="7F44D20F" w14:textId="77777777" w:rsidR="00290A8A" w:rsidRPr="000E0052" w:rsidRDefault="004A7A82" w:rsidP="005838A0">
      <w:pPr>
        <w:pStyle w:val="ListParagraph"/>
        <w:numPr>
          <w:ilvl w:val="0"/>
          <w:numId w:val="42"/>
        </w:numPr>
        <w:jc w:val="both"/>
      </w:pPr>
      <w:r w:rsidRPr="000E0052">
        <w:t xml:space="preserve">To minimise the cost of the borrowing required to finance the council's capital investment programme, and to manage interest and inflation rate risks appropriately. </w:t>
      </w:r>
    </w:p>
    <w:p w14:paraId="0E3B8C94" w14:textId="77777777" w:rsidR="00290A8A" w:rsidRPr="000E0052" w:rsidRDefault="004A7A82" w:rsidP="005838A0">
      <w:pPr>
        <w:pStyle w:val="ListParagraph"/>
        <w:numPr>
          <w:ilvl w:val="0"/>
          <w:numId w:val="42"/>
        </w:numPr>
        <w:jc w:val="both"/>
      </w:pPr>
      <w:r w:rsidRPr="000E0052">
        <w:t>To maximise investment returns commensurate with the council's policy of minimising risks to the security of capital and its liquidity position.</w:t>
      </w:r>
    </w:p>
    <w:p w14:paraId="1D8CB873" w14:textId="77777777" w:rsidR="00290A8A" w:rsidRPr="000E0052" w:rsidRDefault="00290A8A" w:rsidP="00290A8A"/>
    <w:p w14:paraId="3A8CCD79" w14:textId="77777777" w:rsidR="00290A8A" w:rsidRPr="000E0052" w:rsidRDefault="004A7A82" w:rsidP="00290A8A">
      <w:pPr>
        <w:jc w:val="both"/>
      </w:pPr>
      <w:r w:rsidRPr="000E0052">
        <w:t xml:space="preserve">In setting the treasury management strategy, the following factors have a strong influence: </w:t>
      </w:r>
    </w:p>
    <w:p w14:paraId="46B36F8D" w14:textId="77777777" w:rsidR="00290A8A" w:rsidRPr="000E0052" w:rsidRDefault="00290A8A" w:rsidP="00290A8A">
      <w:pPr>
        <w:jc w:val="both"/>
      </w:pPr>
    </w:p>
    <w:p w14:paraId="6CCB50D5" w14:textId="77777777" w:rsidR="00290A8A" w:rsidRPr="000E0052" w:rsidRDefault="004A7A82" w:rsidP="005838A0">
      <w:pPr>
        <w:pStyle w:val="ListParagraph"/>
        <w:numPr>
          <w:ilvl w:val="0"/>
          <w:numId w:val="35"/>
        </w:numPr>
        <w:ind w:left="360"/>
        <w:jc w:val="both"/>
      </w:pPr>
      <w:r>
        <w:t>T</w:t>
      </w:r>
      <w:r w:rsidRPr="000E0052">
        <w:t xml:space="preserve">he economic </w:t>
      </w:r>
      <w:proofErr w:type="gramStart"/>
      <w:r w:rsidRPr="000E0052">
        <w:t>position</w:t>
      </w:r>
      <w:r>
        <w:t>;</w:t>
      </w:r>
      <w:proofErr w:type="gramEnd"/>
    </w:p>
    <w:p w14:paraId="4EE8E8B3" w14:textId="77777777" w:rsidR="00290A8A" w:rsidRPr="000E0052" w:rsidRDefault="004A7A82" w:rsidP="005838A0">
      <w:pPr>
        <w:pStyle w:val="ListParagraph"/>
        <w:numPr>
          <w:ilvl w:val="0"/>
          <w:numId w:val="35"/>
        </w:numPr>
        <w:ind w:left="360"/>
        <w:jc w:val="both"/>
      </w:pPr>
      <w:r>
        <w:t>Th</w:t>
      </w:r>
      <w:r w:rsidRPr="000E0052">
        <w:t>e council's current investment and borrowing portfolio</w:t>
      </w:r>
      <w:r>
        <w:t>; and</w:t>
      </w:r>
    </w:p>
    <w:p w14:paraId="5833F577" w14:textId="77777777" w:rsidR="00290A8A" w:rsidRPr="000E0052" w:rsidRDefault="004A7A82" w:rsidP="005838A0">
      <w:pPr>
        <w:pStyle w:val="ListParagraph"/>
        <w:numPr>
          <w:ilvl w:val="0"/>
          <w:numId w:val="35"/>
        </w:numPr>
        <w:ind w:left="360"/>
        <w:jc w:val="both"/>
      </w:pPr>
      <w:r>
        <w:t>E</w:t>
      </w:r>
      <w:r w:rsidRPr="000E0052">
        <w:t>stimates of future borrowing and investment requirements</w:t>
      </w:r>
      <w:r>
        <w:t>.</w:t>
      </w:r>
    </w:p>
    <w:p w14:paraId="5D61B5BD" w14:textId="77777777" w:rsidR="00C40133" w:rsidRDefault="00C40133" w:rsidP="00290A8A">
      <w:pPr>
        <w:jc w:val="both"/>
        <w:rPr>
          <w:b/>
          <w:bCs/>
          <w:i/>
        </w:rPr>
      </w:pPr>
    </w:p>
    <w:p w14:paraId="1A0B44E5" w14:textId="545F0C24" w:rsidR="00290A8A" w:rsidRPr="00B62DDC" w:rsidRDefault="004A7A82" w:rsidP="00290A8A">
      <w:pPr>
        <w:jc w:val="both"/>
        <w:rPr>
          <w:b/>
          <w:iCs/>
        </w:rPr>
      </w:pPr>
      <w:r w:rsidRPr="00B62DDC">
        <w:rPr>
          <w:b/>
          <w:bCs/>
          <w:iCs/>
        </w:rPr>
        <w:lastRenderedPageBreak/>
        <w:t>Economic</w:t>
      </w:r>
      <w:r w:rsidRPr="00B62DDC">
        <w:rPr>
          <w:b/>
          <w:iCs/>
        </w:rPr>
        <w:t xml:space="preserve"> </w:t>
      </w:r>
      <w:r>
        <w:rPr>
          <w:b/>
          <w:iCs/>
        </w:rPr>
        <w:t>p</w:t>
      </w:r>
      <w:r w:rsidRPr="00B62DDC">
        <w:rPr>
          <w:b/>
          <w:iCs/>
        </w:rPr>
        <w:t xml:space="preserve">osition </w:t>
      </w:r>
    </w:p>
    <w:p w14:paraId="3D5EC5DB" w14:textId="77777777" w:rsidR="00290A8A" w:rsidRPr="00BA3A52" w:rsidRDefault="00290A8A" w:rsidP="00290A8A">
      <w:pPr>
        <w:jc w:val="both"/>
        <w:rPr>
          <w:b/>
          <w:i/>
        </w:rPr>
      </w:pPr>
    </w:p>
    <w:p w14:paraId="77D93307" w14:textId="77777777" w:rsidR="00290A8A" w:rsidRPr="00BA3A52" w:rsidRDefault="004A7A82" w:rsidP="00290A8A">
      <w:pPr>
        <w:pStyle w:val="ListParagraph"/>
        <w:ind w:left="0"/>
        <w:contextualSpacing w:val="0"/>
        <w:jc w:val="both"/>
        <w:rPr>
          <w:u w:val="single"/>
        </w:rPr>
      </w:pPr>
      <w:r w:rsidRPr="00BA3A52">
        <w:rPr>
          <w:u w:val="single"/>
        </w:rPr>
        <w:t xml:space="preserve">Economic background: </w:t>
      </w:r>
    </w:p>
    <w:p w14:paraId="628796E4" w14:textId="77777777" w:rsidR="00290A8A" w:rsidRDefault="00290A8A" w:rsidP="00290A8A">
      <w:pPr>
        <w:pStyle w:val="ListParagraph"/>
        <w:ind w:left="0"/>
        <w:contextualSpacing w:val="0"/>
        <w:jc w:val="both"/>
        <w:rPr>
          <w:highlight w:val="yellow"/>
        </w:rPr>
      </w:pPr>
    </w:p>
    <w:p w14:paraId="06B492B5" w14:textId="77777777" w:rsidR="00290A8A" w:rsidRDefault="004A7A82" w:rsidP="00290A8A">
      <w:pPr>
        <w:pStyle w:val="ListParagraph"/>
        <w:ind w:left="0"/>
        <w:contextualSpacing w:val="0"/>
        <w:jc w:val="both"/>
      </w:pPr>
      <w:r w:rsidRPr="00734E71">
        <w:t>The impact on the UK from higher interest rates and inflation, a weakening economic outlook, an uncertain political climate due to an upcoming general election, together with war in Ukraine and the Middle East,</w:t>
      </w:r>
      <w:r>
        <w:t xml:space="preserve"> are</w:t>
      </w:r>
      <w:r w:rsidRPr="00FC70C0">
        <w:t xml:space="preserve"> major influences on the </w:t>
      </w:r>
      <w:r>
        <w:t>council's</w:t>
      </w:r>
      <w:r w:rsidRPr="00FC70C0">
        <w:t xml:space="preserve"> treasury management strategy for 2024/25. </w:t>
      </w:r>
    </w:p>
    <w:p w14:paraId="586CD01E" w14:textId="77777777" w:rsidR="00290A8A" w:rsidRDefault="00290A8A" w:rsidP="00290A8A">
      <w:pPr>
        <w:pStyle w:val="ListParagraph"/>
        <w:ind w:left="0"/>
        <w:contextualSpacing w:val="0"/>
        <w:jc w:val="both"/>
      </w:pPr>
    </w:p>
    <w:p w14:paraId="6178E8BC" w14:textId="77777777" w:rsidR="00290A8A" w:rsidRPr="00FC70C0" w:rsidRDefault="004A7A82" w:rsidP="00290A8A">
      <w:pPr>
        <w:pStyle w:val="ListParagraph"/>
        <w:ind w:left="0"/>
        <w:contextualSpacing w:val="0"/>
        <w:jc w:val="both"/>
      </w:pPr>
      <w:r w:rsidRPr="00734E71">
        <w:t>The Bank of England (BoE) increased</w:t>
      </w:r>
      <w:r>
        <w:t xml:space="preserve"> the</w:t>
      </w:r>
      <w:r w:rsidRPr="00734E71">
        <w:t xml:space="preserve"> Bank Rate to 5.25% in August 2023, before maintaining this level in September and then again in November</w:t>
      </w:r>
    </w:p>
    <w:p w14:paraId="76856C54" w14:textId="77777777" w:rsidR="00290A8A" w:rsidRPr="00734E71" w:rsidRDefault="00290A8A" w:rsidP="00290A8A">
      <w:pPr>
        <w:pStyle w:val="ListParagraph"/>
        <w:ind w:left="0"/>
        <w:contextualSpacing w:val="0"/>
        <w:jc w:val="both"/>
        <w:rPr>
          <w:highlight w:val="yellow"/>
        </w:rPr>
      </w:pPr>
    </w:p>
    <w:p w14:paraId="7799D244" w14:textId="77777777" w:rsidR="00290A8A" w:rsidRPr="00734E71" w:rsidRDefault="004A7A82" w:rsidP="00290A8A">
      <w:pPr>
        <w:pStyle w:val="ListParagraph"/>
        <w:ind w:left="0"/>
        <w:jc w:val="both"/>
      </w:pPr>
      <w:r w:rsidRPr="00734E71">
        <w:t xml:space="preserve">The November quarterly Monetary Policy Report (MPR) forecast a prolonged period of weak Gross Domestic Product (GDP) growth with the potential for a mild contraction due to ongoing weak economic activity. The outlook for CPI inflation was deemed to be highly uncertain, with near-term risks to CPI falling to the 2% target coming from potential energy price increases, strong domestic wage growth and persistence in price-setting. </w:t>
      </w:r>
    </w:p>
    <w:p w14:paraId="63246F5D" w14:textId="77777777" w:rsidR="00290A8A" w:rsidRDefault="00290A8A" w:rsidP="00290A8A">
      <w:pPr>
        <w:pStyle w:val="ListParagraph"/>
        <w:ind w:left="0"/>
        <w:contextualSpacing w:val="0"/>
        <w:jc w:val="both"/>
        <w:rPr>
          <w:color w:val="58B6C0" w:themeColor="accent2"/>
          <w:highlight w:val="yellow"/>
        </w:rPr>
      </w:pPr>
    </w:p>
    <w:p w14:paraId="07D13BF3" w14:textId="77777777" w:rsidR="00290A8A" w:rsidRPr="00734E71" w:rsidRDefault="004A7A82" w:rsidP="00290A8A">
      <w:pPr>
        <w:pStyle w:val="ListParagraph"/>
        <w:ind w:left="0"/>
        <w:jc w:val="both"/>
        <w:rPr>
          <w:highlight w:val="yellow"/>
        </w:rPr>
      </w:pPr>
      <w:r w:rsidRPr="00D618D1">
        <w:t>The UK economy grew by 0.2% between April and June 202</w:t>
      </w:r>
      <w:r w:rsidRPr="00734E71">
        <w:t>3</w:t>
      </w:r>
      <w:r w:rsidRPr="00D618D1">
        <w:t xml:space="preserve">. </w:t>
      </w:r>
      <w:r w:rsidRPr="00734E71">
        <w:t xml:space="preserve">The BoE forecasts GDP will likely stagnate </w:t>
      </w:r>
      <w:r>
        <w:t>in the first quarter of 2024 and</w:t>
      </w:r>
      <w:r w:rsidRPr="00734E71">
        <w:t xml:space="preserve"> forecasts that higher interest rates will constrain GDP growth, which will remain weak over the</w:t>
      </w:r>
      <w:r>
        <w:t>ir</w:t>
      </w:r>
      <w:r w:rsidRPr="00734E71">
        <w:t xml:space="preserve"> entire forecast horizon. </w:t>
      </w:r>
    </w:p>
    <w:p w14:paraId="00F581BE" w14:textId="77777777" w:rsidR="00290A8A" w:rsidRDefault="00290A8A" w:rsidP="00290A8A">
      <w:pPr>
        <w:pStyle w:val="ListParagraph"/>
        <w:ind w:left="0"/>
        <w:contextualSpacing w:val="0"/>
        <w:jc w:val="both"/>
        <w:rPr>
          <w:highlight w:val="yellow"/>
        </w:rPr>
      </w:pPr>
    </w:p>
    <w:p w14:paraId="657F0CCB" w14:textId="77777777" w:rsidR="00290A8A" w:rsidRPr="00734E71" w:rsidRDefault="004A7A82" w:rsidP="00290A8A">
      <w:pPr>
        <w:pStyle w:val="ListParagraph"/>
        <w:ind w:left="0"/>
        <w:jc w:val="both"/>
      </w:pPr>
      <w:r w:rsidRPr="00734E71">
        <w:t>Office for National Statistics (ONS) figures showed CPI inflation was 6.7% in September 2023, unchanged from the previous month but above the 6.6% expected. Core CPI inflation fell to 6.1% from 6.2%, in line with predictions. Looking ahead, using the interest rate path implied by financial markets the BoE expects CPI inflation to continue falling</w:t>
      </w:r>
      <w:r>
        <w:t xml:space="preserve"> however</w:t>
      </w:r>
      <w:r w:rsidRPr="00734E71">
        <w:t xml:space="preserve"> taking until early 2025 to reach the 2% target and then falling below target during the second half 2025 and into 2026.</w:t>
      </w:r>
    </w:p>
    <w:p w14:paraId="561ABF7B" w14:textId="77777777" w:rsidR="00290A8A" w:rsidRPr="0002442F" w:rsidRDefault="00290A8A" w:rsidP="00290A8A">
      <w:pPr>
        <w:pStyle w:val="ListParagraph"/>
        <w:ind w:left="0"/>
        <w:contextualSpacing w:val="0"/>
        <w:jc w:val="both"/>
        <w:rPr>
          <w:highlight w:val="yellow"/>
        </w:rPr>
      </w:pPr>
    </w:p>
    <w:p w14:paraId="5B30C107" w14:textId="77777777" w:rsidR="00290A8A" w:rsidRPr="00D618D1" w:rsidRDefault="004A7A82" w:rsidP="00290A8A">
      <w:pPr>
        <w:pStyle w:val="ListParagraph"/>
        <w:ind w:left="0"/>
        <w:contextualSpacing w:val="0"/>
        <w:jc w:val="both"/>
        <w:rPr>
          <w:b/>
          <w:bCs/>
        </w:rPr>
      </w:pPr>
      <w:proofErr w:type="spellStart"/>
      <w:r w:rsidRPr="00D618D1">
        <w:rPr>
          <w:b/>
          <w:bCs/>
        </w:rPr>
        <w:t>Arlingclose</w:t>
      </w:r>
      <w:proofErr w:type="spellEnd"/>
      <w:r w:rsidRPr="00D618D1">
        <w:rPr>
          <w:b/>
          <w:bCs/>
        </w:rPr>
        <w:t xml:space="preserve"> </w:t>
      </w:r>
      <w:proofErr w:type="gramStart"/>
      <w:r>
        <w:rPr>
          <w:b/>
          <w:bCs/>
        </w:rPr>
        <w:t>f</w:t>
      </w:r>
      <w:r w:rsidRPr="00D618D1">
        <w:rPr>
          <w:b/>
          <w:bCs/>
        </w:rPr>
        <w:t>orecast</w:t>
      </w:r>
      <w:proofErr w:type="gramEnd"/>
    </w:p>
    <w:p w14:paraId="786A003B" w14:textId="77777777" w:rsidR="00290A8A" w:rsidRPr="00D618D1" w:rsidRDefault="00290A8A" w:rsidP="00290A8A">
      <w:pPr>
        <w:pStyle w:val="ListParagraph"/>
        <w:ind w:left="0"/>
        <w:contextualSpacing w:val="0"/>
        <w:jc w:val="both"/>
      </w:pPr>
    </w:p>
    <w:p w14:paraId="1597DDB5" w14:textId="77777777" w:rsidR="00290A8A" w:rsidRPr="00734E71" w:rsidRDefault="004A7A82" w:rsidP="00290A8A">
      <w:pPr>
        <w:pStyle w:val="ListParagraph"/>
        <w:ind w:left="0"/>
        <w:contextualSpacing w:val="0"/>
        <w:jc w:val="both"/>
      </w:pPr>
      <w:bookmarkStart w:id="10" w:name="_Hlk90993115"/>
      <w:r w:rsidRPr="009B6751">
        <w:t>The</w:t>
      </w:r>
      <w:r>
        <w:t xml:space="preserve"> council's</w:t>
      </w:r>
      <w:r w:rsidRPr="009B6751">
        <w:t xml:space="preserve"> treasury management adviser </w:t>
      </w:r>
      <w:proofErr w:type="spellStart"/>
      <w:r w:rsidRPr="009B6751">
        <w:t>Arlingclose</w:t>
      </w:r>
      <w:proofErr w:type="spellEnd"/>
      <w:r w:rsidRPr="009B6751">
        <w:t xml:space="preserve"> forecasts that </w:t>
      </w:r>
      <w:r>
        <w:t>a</w:t>
      </w:r>
      <w:r w:rsidRPr="00734E71">
        <w:t>lthough UK inflation and wage growth remain elevated, th</w:t>
      </w:r>
      <w:r>
        <w:t>at</w:t>
      </w:r>
      <w:r w:rsidRPr="00734E71">
        <w:t xml:space="preserve"> Bank Rate has peaked at 5.25%.  </w:t>
      </w:r>
    </w:p>
    <w:p w14:paraId="7E212F68" w14:textId="77777777" w:rsidR="00290A8A" w:rsidRPr="00734E71" w:rsidRDefault="00290A8A" w:rsidP="00290A8A">
      <w:pPr>
        <w:pStyle w:val="ListParagraph"/>
        <w:ind w:left="0"/>
        <w:jc w:val="both"/>
      </w:pPr>
    </w:p>
    <w:p w14:paraId="5A24B3FF" w14:textId="77777777" w:rsidR="00290A8A" w:rsidRPr="00734E71" w:rsidRDefault="004A7A82" w:rsidP="00290A8A">
      <w:pPr>
        <w:pStyle w:val="ListParagraph"/>
        <w:ind w:left="0"/>
        <w:jc w:val="both"/>
      </w:pPr>
      <w:r w:rsidRPr="00734E71">
        <w:t xml:space="preserve">The Bank of England’s Monetary Policy Committee will cut rates in the medium term to stimulate the UK economy but will be reluctant to do so until it is sure there will be no lingering second-round effects.  </w:t>
      </w:r>
      <w:proofErr w:type="spellStart"/>
      <w:r w:rsidRPr="00734E71">
        <w:t>Arlingclose</w:t>
      </w:r>
      <w:proofErr w:type="spellEnd"/>
      <w:r w:rsidRPr="00734E71">
        <w:t xml:space="preserve"> sees rate cuts from </w:t>
      </w:r>
      <w:r>
        <w:t>the third quarter of</w:t>
      </w:r>
      <w:r w:rsidRPr="00734E71">
        <w:t xml:space="preserve"> 2024 to a low of around 3% by </w:t>
      </w:r>
      <w:proofErr w:type="gramStart"/>
      <w:r w:rsidRPr="00734E71">
        <w:t>early-mid</w:t>
      </w:r>
      <w:proofErr w:type="gramEnd"/>
      <w:r w:rsidRPr="00734E71">
        <w:t xml:space="preserve"> 2026.</w:t>
      </w:r>
    </w:p>
    <w:p w14:paraId="4D1A2A5B" w14:textId="77777777" w:rsidR="00290A8A" w:rsidRDefault="00290A8A" w:rsidP="00290A8A">
      <w:pPr>
        <w:pStyle w:val="ListParagraph"/>
        <w:ind w:left="0"/>
        <w:contextualSpacing w:val="0"/>
        <w:jc w:val="both"/>
        <w:rPr>
          <w:highlight w:val="yellow"/>
        </w:rPr>
      </w:pPr>
    </w:p>
    <w:p w14:paraId="7FD7D466" w14:textId="77777777" w:rsidR="00290A8A" w:rsidRPr="00734E71" w:rsidRDefault="004A7A82" w:rsidP="00290A8A">
      <w:pPr>
        <w:pStyle w:val="ListParagraph"/>
        <w:ind w:left="0"/>
        <w:jc w:val="both"/>
      </w:pPr>
      <w:proofErr w:type="spellStart"/>
      <w:r w:rsidRPr="00734E71">
        <w:t>Arlingclose</w:t>
      </w:r>
      <w:proofErr w:type="spellEnd"/>
      <w:r w:rsidRPr="00734E71">
        <w:t xml:space="preserve"> expects long-term gilt yields to eventually fall from current levels (amid continued volatility) reflecting the lower medium-term path for Bank Rate. However, yields will remain relatively higher than in the past, due to quantitative tightening and significant bond supply.  As ever, there will undoubtedly be short-term volatility due to economic and political uncertainty and events.</w:t>
      </w:r>
    </w:p>
    <w:p w14:paraId="15FC4A1D" w14:textId="77777777" w:rsidR="00290A8A" w:rsidRPr="00734E71" w:rsidRDefault="00290A8A" w:rsidP="00290A8A">
      <w:pPr>
        <w:pStyle w:val="ListParagraph"/>
        <w:ind w:left="0"/>
        <w:jc w:val="both"/>
      </w:pPr>
    </w:p>
    <w:p w14:paraId="322C3A28" w14:textId="77777777" w:rsidR="00C40133" w:rsidRDefault="004A7A82" w:rsidP="00C40133">
      <w:pPr>
        <w:pStyle w:val="ListParagraph"/>
        <w:ind w:left="0"/>
        <w:jc w:val="both"/>
      </w:pPr>
      <w:r w:rsidRPr="00734E71">
        <w:t xml:space="preserve">Like the BoE, the Federal Reserve and other central banks see persistently high policy rates through 2023 and 2024 as key to dampening domestic inflationary pressure. Bond markets </w:t>
      </w:r>
      <w:r>
        <w:t>are expected to</w:t>
      </w:r>
      <w:r w:rsidRPr="00734E71">
        <w:t xml:space="preserve"> need to absorb significant new supply, particularly from the US government. </w:t>
      </w:r>
      <w:bookmarkEnd w:id="10"/>
    </w:p>
    <w:p w14:paraId="099D8F44" w14:textId="7755D07D" w:rsidR="00290A8A" w:rsidRPr="00C40133" w:rsidRDefault="004A7A82" w:rsidP="00C40133">
      <w:pPr>
        <w:pStyle w:val="ListParagraph"/>
        <w:ind w:left="0"/>
        <w:jc w:val="both"/>
      </w:pPr>
      <w:r w:rsidRPr="00B62DDC">
        <w:rPr>
          <w:b/>
          <w:iCs/>
        </w:rPr>
        <w:lastRenderedPageBreak/>
        <w:t xml:space="preserve">Current </w:t>
      </w:r>
      <w:r>
        <w:rPr>
          <w:b/>
          <w:iCs/>
        </w:rPr>
        <w:t>p</w:t>
      </w:r>
      <w:r w:rsidRPr="00B62DDC">
        <w:rPr>
          <w:b/>
          <w:iCs/>
        </w:rPr>
        <w:t>ortfolio</w:t>
      </w:r>
    </w:p>
    <w:p w14:paraId="7C8DEA48" w14:textId="77777777" w:rsidR="00290A8A" w:rsidRPr="00BD218E" w:rsidRDefault="00290A8A" w:rsidP="00290A8A">
      <w:pPr>
        <w:jc w:val="both"/>
        <w:rPr>
          <w:b/>
          <w:i/>
        </w:rPr>
      </w:pPr>
    </w:p>
    <w:p w14:paraId="6B61D067" w14:textId="77777777" w:rsidR="00290A8A" w:rsidRPr="00BD218E" w:rsidRDefault="004A7A82" w:rsidP="00290A8A">
      <w:pPr>
        <w:jc w:val="both"/>
      </w:pPr>
      <w:r w:rsidRPr="00BD218E">
        <w:t xml:space="preserve">The council’s treasury portfolio as </w:t>
      </w:r>
      <w:proofErr w:type="gramStart"/>
      <w:r w:rsidRPr="00BD218E">
        <w:t>at</w:t>
      </w:r>
      <w:proofErr w:type="gramEnd"/>
      <w:r w:rsidRPr="00BD218E">
        <w:t xml:space="preserve"> 30 November 2023 was as follows. </w:t>
      </w:r>
    </w:p>
    <w:p w14:paraId="2284F030" w14:textId="77777777" w:rsidR="00290A8A" w:rsidRPr="00734E71" w:rsidRDefault="00290A8A" w:rsidP="00290A8A">
      <w:pPr>
        <w:jc w:val="both"/>
        <w:rPr>
          <w:highlight w:val="yellow"/>
        </w:rPr>
      </w:pPr>
    </w:p>
    <w:tbl>
      <w:tblPr>
        <w:tblW w:w="7645" w:type="dxa"/>
        <w:tblLook w:val="04A0" w:firstRow="1" w:lastRow="0" w:firstColumn="1" w:lastColumn="0" w:noHBand="0" w:noVBand="1"/>
      </w:tblPr>
      <w:tblGrid>
        <w:gridCol w:w="6369"/>
        <w:gridCol w:w="1276"/>
      </w:tblGrid>
      <w:tr w:rsidR="00C92CD8" w14:paraId="556551D3" w14:textId="77777777">
        <w:trPr>
          <w:trHeight w:val="326"/>
        </w:trPr>
        <w:tc>
          <w:tcPr>
            <w:tcW w:w="6369" w:type="dxa"/>
            <w:tcBorders>
              <w:top w:val="single" w:sz="8" w:space="0" w:color="auto"/>
              <w:left w:val="single" w:sz="8" w:space="0" w:color="auto"/>
              <w:bottom w:val="single" w:sz="8" w:space="0" w:color="auto"/>
              <w:right w:val="single" w:sz="8" w:space="0" w:color="auto"/>
            </w:tcBorders>
            <w:shd w:val="clear" w:color="auto" w:fill="auto"/>
            <w:noWrap/>
            <w:tcMar>
              <w:top w:w="0" w:type="dxa"/>
              <w:left w:w="0" w:type="dxa"/>
              <w:bottom w:w="0" w:type="dxa"/>
              <w:right w:w="0" w:type="dxa"/>
            </w:tcMar>
            <w:vAlign w:val="center"/>
            <w:hideMark/>
          </w:tcPr>
          <w:p w14:paraId="60FF2326" w14:textId="77777777" w:rsidR="00290A8A" w:rsidRPr="00734E71" w:rsidRDefault="004A7A82">
            <w:pPr>
              <w:rPr>
                <w:color w:val="000000"/>
                <w:highlight w:val="yellow"/>
              </w:rPr>
            </w:pPr>
            <w:r>
              <w:rPr>
                <w:color w:val="000000"/>
              </w:rPr>
              <w:t> </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0" w:type="dxa"/>
              <w:bottom w:w="0" w:type="dxa"/>
              <w:right w:w="0" w:type="dxa"/>
            </w:tcMar>
            <w:vAlign w:val="center"/>
            <w:hideMark/>
          </w:tcPr>
          <w:p w14:paraId="36F44E1C" w14:textId="77777777" w:rsidR="00290A8A" w:rsidRPr="00734E71" w:rsidRDefault="004A7A82">
            <w:pPr>
              <w:jc w:val="center"/>
              <w:rPr>
                <w:color w:val="000000"/>
                <w:highlight w:val="yellow"/>
              </w:rPr>
            </w:pPr>
            <w:r>
              <w:rPr>
                <w:color w:val="000000"/>
              </w:rPr>
              <w:t>£m</w:t>
            </w:r>
          </w:p>
        </w:tc>
      </w:tr>
      <w:tr w:rsidR="00C92CD8" w14:paraId="59CFD1DC" w14:textId="77777777">
        <w:trPr>
          <w:trHeight w:val="326"/>
        </w:trPr>
        <w:tc>
          <w:tcPr>
            <w:tcW w:w="6369" w:type="dxa"/>
            <w:tcBorders>
              <w:top w:val="nil"/>
              <w:left w:val="single" w:sz="8" w:space="0" w:color="auto"/>
              <w:bottom w:val="single" w:sz="8" w:space="0" w:color="auto"/>
              <w:right w:val="single" w:sz="8" w:space="0" w:color="auto"/>
            </w:tcBorders>
            <w:shd w:val="clear" w:color="auto" w:fill="auto"/>
            <w:noWrap/>
            <w:tcMar>
              <w:top w:w="0" w:type="dxa"/>
              <w:left w:w="0" w:type="dxa"/>
              <w:bottom w:w="0" w:type="dxa"/>
              <w:right w:w="0" w:type="dxa"/>
            </w:tcMar>
            <w:vAlign w:val="center"/>
            <w:hideMark/>
          </w:tcPr>
          <w:p w14:paraId="2B00FAB3" w14:textId="77777777" w:rsidR="00290A8A" w:rsidRPr="00734E71" w:rsidRDefault="004A7A82">
            <w:pPr>
              <w:rPr>
                <w:color w:val="000000"/>
                <w:highlight w:val="yellow"/>
              </w:rPr>
            </w:pPr>
            <w:r>
              <w:rPr>
                <w:color w:val="000000"/>
              </w:rPr>
              <w:t>Call accounts</w:t>
            </w:r>
          </w:p>
        </w:tc>
        <w:tc>
          <w:tcPr>
            <w:tcW w:w="1276" w:type="dxa"/>
            <w:tcBorders>
              <w:top w:val="nil"/>
              <w:left w:val="nil"/>
              <w:bottom w:val="single" w:sz="8" w:space="0" w:color="auto"/>
              <w:right w:val="single" w:sz="8" w:space="0" w:color="auto"/>
            </w:tcBorders>
            <w:shd w:val="clear" w:color="auto" w:fill="auto"/>
            <w:noWrap/>
            <w:tcMar>
              <w:top w:w="0" w:type="dxa"/>
              <w:left w:w="0" w:type="dxa"/>
              <w:bottom w:w="0" w:type="dxa"/>
              <w:right w:w="0" w:type="dxa"/>
            </w:tcMar>
            <w:vAlign w:val="center"/>
            <w:hideMark/>
          </w:tcPr>
          <w:p w14:paraId="5F9E5FD8" w14:textId="77777777" w:rsidR="00290A8A" w:rsidRPr="00734E71" w:rsidRDefault="004A7A82">
            <w:pPr>
              <w:ind w:right="279"/>
              <w:jc w:val="right"/>
              <w:rPr>
                <w:color w:val="000000"/>
                <w:highlight w:val="yellow"/>
              </w:rPr>
            </w:pPr>
            <w:r>
              <w:rPr>
                <w:color w:val="000000"/>
              </w:rPr>
              <w:t>68</w:t>
            </w:r>
          </w:p>
        </w:tc>
      </w:tr>
      <w:tr w:rsidR="00C92CD8" w14:paraId="5868E92D" w14:textId="77777777">
        <w:trPr>
          <w:trHeight w:val="326"/>
        </w:trPr>
        <w:tc>
          <w:tcPr>
            <w:tcW w:w="6369" w:type="dxa"/>
            <w:tcBorders>
              <w:top w:val="nil"/>
              <w:left w:val="single" w:sz="8" w:space="0" w:color="auto"/>
              <w:bottom w:val="single" w:sz="8" w:space="0" w:color="auto"/>
              <w:right w:val="single" w:sz="8" w:space="0" w:color="auto"/>
            </w:tcBorders>
            <w:shd w:val="clear" w:color="auto" w:fill="auto"/>
            <w:noWrap/>
            <w:tcMar>
              <w:top w:w="0" w:type="dxa"/>
              <w:left w:w="0" w:type="dxa"/>
              <w:bottom w:w="0" w:type="dxa"/>
              <w:right w:w="0" w:type="dxa"/>
            </w:tcMar>
            <w:vAlign w:val="center"/>
            <w:hideMark/>
          </w:tcPr>
          <w:p w14:paraId="14B2D072" w14:textId="77777777" w:rsidR="00290A8A" w:rsidRPr="00734E71" w:rsidRDefault="004A7A82">
            <w:pPr>
              <w:rPr>
                <w:color w:val="000000"/>
                <w:highlight w:val="yellow"/>
              </w:rPr>
            </w:pPr>
            <w:r>
              <w:rPr>
                <w:color w:val="000000"/>
              </w:rPr>
              <w:t>Local authority deposits</w:t>
            </w:r>
          </w:p>
        </w:tc>
        <w:tc>
          <w:tcPr>
            <w:tcW w:w="1276" w:type="dxa"/>
            <w:tcBorders>
              <w:top w:val="nil"/>
              <w:left w:val="nil"/>
              <w:bottom w:val="single" w:sz="8" w:space="0" w:color="auto"/>
              <w:right w:val="single" w:sz="8" w:space="0" w:color="auto"/>
            </w:tcBorders>
            <w:shd w:val="clear" w:color="auto" w:fill="auto"/>
            <w:noWrap/>
            <w:tcMar>
              <w:top w:w="0" w:type="dxa"/>
              <w:left w:w="0" w:type="dxa"/>
              <w:bottom w:w="0" w:type="dxa"/>
              <w:right w:w="0" w:type="dxa"/>
            </w:tcMar>
            <w:vAlign w:val="center"/>
            <w:hideMark/>
          </w:tcPr>
          <w:p w14:paraId="2AF371FE" w14:textId="77777777" w:rsidR="00290A8A" w:rsidRPr="00734E71" w:rsidRDefault="004A7A82">
            <w:pPr>
              <w:ind w:right="279"/>
              <w:jc w:val="right"/>
              <w:rPr>
                <w:color w:val="000000"/>
                <w:highlight w:val="yellow"/>
              </w:rPr>
            </w:pPr>
            <w:r>
              <w:rPr>
                <w:color w:val="000000"/>
              </w:rPr>
              <w:t>10</w:t>
            </w:r>
          </w:p>
        </w:tc>
      </w:tr>
      <w:tr w:rsidR="00C92CD8" w14:paraId="34BD7174" w14:textId="77777777">
        <w:trPr>
          <w:trHeight w:val="326"/>
        </w:trPr>
        <w:tc>
          <w:tcPr>
            <w:tcW w:w="6369" w:type="dxa"/>
            <w:tcBorders>
              <w:top w:val="nil"/>
              <w:left w:val="single" w:sz="8" w:space="0" w:color="auto"/>
              <w:bottom w:val="single" w:sz="8" w:space="0" w:color="auto"/>
              <w:right w:val="single" w:sz="8" w:space="0" w:color="auto"/>
            </w:tcBorders>
            <w:shd w:val="clear" w:color="auto" w:fill="auto"/>
            <w:noWrap/>
            <w:tcMar>
              <w:top w:w="0" w:type="dxa"/>
              <w:left w:w="0" w:type="dxa"/>
              <w:bottom w:w="0" w:type="dxa"/>
              <w:right w:w="0" w:type="dxa"/>
            </w:tcMar>
            <w:vAlign w:val="center"/>
            <w:hideMark/>
          </w:tcPr>
          <w:p w14:paraId="4BC63D43" w14:textId="77777777" w:rsidR="00290A8A" w:rsidRPr="00734E71" w:rsidRDefault="004A7A82">
            <w:pPr>
              <w:rPr>
                <w:color w:val="000000"/>
                <w:highlight w:val="yellow"/>
              </w:rPr>
            </w:pPr>
            <w:r>
              <w:rPr>
                <w:color w:val="000000"/>
              </w:rPr>
              <w:t>Corporate Bonds</w:t>
            </w:r>
          </w:p>
        </w:tc>
        <w:tc>
          <w:tcPr>
            <w:tcW w:w="1276" w:type="dxa"/>
            <w:tcBorders>
              <w:top w:val="nil"/>
              <w:left w:val="nil"/>
              <w:bottom w:val="single" w:sz="8" w:space="0" w:color="auto"/>
              <w:right w:val="single" w:sz="8" w:space="0" w:color="auto"/>
            </w:tcBorders>
            <w:shd w:val="clear" w:color="auto" w:fill="auto"/>
            <w:noWrap/>
            <w:tcMar>
              <w:top w:w="0" w:type="dxa"/>
              <w:left w:w="0" w:type="dxa"/>
              <w:bottom w:w="0" w:type="dxa"/>
              <w:right w:w="0" w:type="dxa"/>
            </w:tcMar>
            <w:vAlign w:val="center"/>
            <w:hideMark/>
          </w:tcPr>
          <w:p w14:paraId="0F290BFC" w14:textId="77777777" w:rsidR="00290A8A" w:rsidRPr="00734E71" w:rsidRDefault="004A7A82">
            <w:pPr>
              <w:ind w:right="279"/>
              <w:jc w:val="right"/>
              <w:rPr>
                <w:color w:val="000000"/>
                <w:highlight w:val="yellow"/>
              </w:rPr>
            </w:pPr>
            <w:r>
              <w:rPr>
                <w:color w:val="000000"/>
              </w:rPr>
              <w:t>374</w:t>
            </w:r>
          </w:p>
        </w:tc>
      </w:tr>
      <w:tr w:rsidR="00C92CD8" w14:paraId="27D81D5A" w14:textId="77777777">
        <w:trPr>
          <w:trHeight w:val="326"/>
        </w:trPr>
        <w:tc>
          <w:tcPr>
            <w:tcW w:w="6369" w:type="dxa"/>
            <w:tcBorders>
              <w:top w:val="nil"/>
              <w:left w:val="single" w:sz="8" w:space="0" w:color="auto"/>
              <w:bottom w:val="single" w:sz="8" w:space="0" w:color="auto"/>
              <w:right w:val="single" w:sz="8" w:space="0" w:color="auto"/>
            </w:tcBorders>
            <w:shd w:val="clear" w:color="auto" w:fill="auto"/>
            <w:noWrap/>
            <w:tcMar>
              <w:top w:w="0" w:type="dxa"/>
              <w:left w:w="0" w:type="dxa"/>
              <w:bottom w:w="0" w:type="dxa"/>
              <w:right w:w="0" w:type="dxa"/>
            </w:tcMar>
            <w:vAlign w:val="center"/>
            <w:hideMark/>
          </w:tcPr>
          <w:p w14:paraId="62B63DBD" w14:textId="77777777" w:rsidR="00290A8A" w:rsidRPr="00734E71" w:rsidRDefault="004A7A82">
            <w:pPr>
              <w:rPr>
                <w:color w:val="000000"/>
                <w:highlight w:val="yellow"/>
              </w:rPr>
            </w:pPr>
            <w:r>
              <w:rPr>
                <w:color w:val="000000"/>
              </w:rPr>
              <w:t xml:space="preserve">Government, local government and supra-national bonds </w:t>
            </w:r>
          </w:p>
        </w:tc>
        <w:tc>
          <w:tcPr>
            <w:tcW w:w="1276" w:type="dxa"/>
            <w:tcBorders>
              <w:top w:val="nil"/>
              <w:left w:val="nil"/>
              <w:bottom w:val="single" w:sz="8" w:space="0" w:color="auto"/>
              <w:right w:val="single" w:sz="8" w:space="0" w:color="auto"/>
            </w:tcBorders>
            <w:shd w:val="clear" w:color="auto" w:fill="auto"/>
            <w:noWrap/>
            <w:tcMar>
              <w:top w:w="0" w:type="dxa"/>
              <w:left w:w="0" w:type="dxa"/>
              <w:bottom w:w="0" w:type="dxa"/>
              <w:right w:w="0" w:type="dxa"/>
            </w:tcMar>
            <w:vAlign w:val="center"/>
            <w:hideMark/>
          </w:tcPr>
          <w:p w14:paraId="046B6A42" w14:textId="77777777" w:rsidR="00290A8A" w:rsidRPr="00734E71" w:rsidRDefault="004A7A82">
            <w:pPr>
              <w:ind w:right="279"/>
              <w:jc w:val="right"/>
              <w:rPr>
                <w:color w:val="000000"/>
                <w:highlight w:val="yellow"/>
              </w:rPr>
            </w:pPr>
            <w:r>
              <w:rPr>
                <w:color w:val="000000"/>
              </w:rPr>
              <w:t>365</w:t>
            </w:r>
          </w:p>
        </w:tc>
      </w:tr>
      <w:tr w:rsidR="00C92CD8" w14:paraId="0764A56A" w14:textId="77777777">
        <w:trPr>
          <w:trHeight w:val="326"/>
        </w:trPr>
        <w:tc>
          <w:tcPr>
            <w:tcW w:w="6369" w:type="dxa"/>
            <w:tcBorders>
              <w:top w:val="nil"/>
              <w:left w:val="single" w:sz="8" w:space="0" w:color="auto"/>
              <w:bottom w:val="single" w:sz="8" w:space="0" w:color="auto"/>
              <w:right w:val="single" w:sz="8" w:space="0" w:color="auto"/>
            </w:tcBorders>
            <w:shd w:val="clear" w:color="000000" w:fill="DBE5F1"/>
            <w:noWrap/>
            <w:tcMar>
              <w:top w:w="0" w:type="dxa"/>
              <w:left w:w="0" w:type="dxa"/>
              <w:bottom w:w="0" w:type="dxa"/>
              <w:right w:w="0" w:type="dxa"/>
            </w:tcMar>
            <w:vAlign w:val="center"/>
            <w:hideMark/>
          </w:tcPr>
          <w:p w14:paraId="28EAC217" w14:textId="77777777" w:rsidR="00290A8A" w:rsidRPr="00734E71" w:rsidRDefault="004A7A82">
            <w:pPr>
              <w:rPr>
                <w:b/>
                <w:bCs/>
                <w:color w:val="000000"/>
                <w:highlight w:val="yellow"/>
              </w:rPr>
            </w:pPr>
            <w:r>
              <w:rPr>
                <w:b/>
                <w:bCs/>
                <w:color w:val="000000"/>
              </w:rPr>
              <w:t>Total Investments</w:t>
            </w:r>
          </w:p>
        </w:tc>
        <w:tc>
          <w:tcPr>
            <w:tcW w:w="1276" w:type="dxa"/>
            <w:tcBorders>
              <w:top w:val="nil"/>
              <w:left w:val="nil"/>
              <w:bottom w:val="single" w:sz="8" w:space="0" w:color="auto"/>
              <w:right w:val="single" w:sz="8" w:space="0" w:color="auto"/>
            </w:tcBorders>
            <w:shd w:val="clear" w:color="000000" w:fill="DBE5F1"/>
            <w:noWrap/>
            <w:tcMar>
              <w:top w:w="0" w:type="dxa"/>
              <w:left w:w="0" w:type="dxa"/>
              <w:bottom w:w="0" w:type="dxa"/>
              <w:right w:w="0" w:type="dxa"/>
            </w:tcMar>
            <w:vAlign w:val="center"/>
            <w:hideMark/>
          </w:tcPr>
          <w:p w14:paraId="5124AF44" w14:textId="77777777" w:rsidR="00290A8A" w:rsidRPr="00734E71" w:rsidRDefault="004A7A82">
            <w:pPr>
              <w:ind w:right="279"/>
              <w:jc w:val="right"/>
              <w:rPr>
                <w:b/>
                <w:bCs/>
                <w:color w:val="000000"/>
                <w:highlight w:val="yellow"/>
              </w:rPr>
            </w:pPr>
            <w:r>
              <w:rPr>
                <w:b/>
                <w:bCs/>
                <w:color w:val="000000"/>
              </w:rPr>
              <w:t>817</w:t>
            </w:r>
          </w:p>
        </w:tc>
      </w:tr>
      <w:tr w:rsidR="00C92CD8" w14:paraId="4E16CC9B" w14:textId="77777777">
        <w:trPr>
          <w:trHeight w:val="326"/>
        </w:trPr>
        <w:tc>
          <w:tcPr>
            <w:tcW w:w="6369" w:type="dxa"/>
            <w:tcBorders>
              <w:top w:val="nil"/>
              <w:left w:val="single" w:sz="8" w:space="0" w:color="auto"/>
              <w:bottom w:val="single" w:sz="8" w:space="0" w:color="auto"/>
              <w:right w:val="single" w:sz="8" w:space="0" w:color="auto"/>
            </w:tcBorders>
            <w:shd w:val="clear" w:color="auto" w:fill="auto"/>
            <w:noWrap/>
            <w:tcMar>
              <w:top w:w="0" w:type="dxa"/>
              <w:left w:w="0" w:type="dxa"/>
              <w:bottom w:w="0" w:type="dxa"/>
              <w:right w:w="0" w:type="dxa"/>
            </w:tcMar>
            <w:vAlign w:val="center"/>
            <w:hideMark/>
          </w:tcPr>
          <w:p w14:paraId="3B2A8197" w14:textId="77777777" w:rsidR="00290A8A" w:rsidRPr="00734E71" w:rsidRDefault="004A7A82">
            <w:pPr>
              <w:rPr>
                <w:color w:val="000000"/>
                <w:highlight w:val="yellow"/>
              </w:rPr>
            </w:pPr>
            <w:r>
              <w:rPr>
                <w:color w:val="000000"/>
              </w:rPr>
              <w:t>Short term loans</w:t>
            </w:r>
          </w:p>
        </w:tc>
        <w:tc>
          <w:tcPr>
            <w:tcW w:w="1276" w:type="dxa"/>
            <w:tcBorders>
              <w:top w:val="nil"/>
              <w:left w:val="nil"/>
              <w:bottom w:val="single" w:sz="8" w:space="0" w:color="auto"/>
              <w:right w:val="single" w:sz="8" w:space="0" w:color="auto"/>
            </w:tcBorders>
            <w:shd w:val="clear" w:color="auto" w:fill="auto"/>
            <w:noWrap/>
            <w:tcMar>
              <w:top w:w="0" w:type="dxa"/>
              <w:left w:w="0" w:type="dxa"/>
              <w:bottom w:w="0" w:type="dxa"/>
              <w:right w:w="0" w:type="dxa"/>
            </w:tcMar>
            <w:vAlign w:val="center"/>
            <w:hideMark/>
          </w:tcPr>
          <w:p w14:paraId="68BA4C87" w14:textId="77777777" w:rsidR="00290A8A" w:rsidRPr="00734E71" w:rsidRDefault="004A7A82">
            <w:pPr>
              <w:ind w:right="279"/>
              <w:jc w:val="right"/>
              <w:rPr>
                <w:color w:val="000000"/>
                <w:highlight w:val="yellow"/>
              </w:rPr>
            </w:pPr>
            <w:r>
              <w:rPr>
                <w:color w:val="000000"/>
              </w:rPr>
              <w:t>276</w:t>
            </w:r>
          </w:p>
        </w:tc>
      </w:tr>
      <w:tr w:rsidR="00C92CD8" w14:paraId="3D612B0A" w14:textId="77777777">
        <w:trPr>
          <w:trHeight w:val="326"/>
        </w:trPr>
        <w:tc>
          <w:tcPr>
            <w:tcW w:w="6369" w:type="dxa"/>
            <w:tcBorders>
              <w:top w:val="nil"/>
              <w:left w:val="single" w:sz="8" w:space="0" w:color="auto"/>
              <w:bottom w:val="single" w:sz="8" w:space="0" w:color="auto"/>
              <w:right w:val="single" w:sz="8" w:space="0" w:color="auto"/>
            </w:tcBorders>
            <w:shd w:val="clear" w:color="auto" w:fill="auto"/>
            <w:noWrap/>
            <w:tcMar>
              <w:top w:w="0" w:type="dxa"/>
              <w:left w:w="0" w:type="dxa"/>
              <w:bottom w:w="0" w:type="dxa"/>
              <w:right w:w="0" w:type="dxa"/>
            </w:tcMar>
            <w:vAlign w:val="center"/>
            <w:hideMark/>
          </w:tcPr>
          <w:p w14:paraId="5BB42FEC" w14:textId="77777777" w:rsidR="00290A8A" w:rsidRPr="00734E71" w:rsidRDefault="004A7A82">
            <w:pPr>
              <w:rPr>
                <w:color w:val="000000"/>
                <w:highlight w:val="yellow"/>
              </w:rPr>
            </w:pPr>
            <w:r>
              <w:rPr>
                <w:color w:val="000000"/>
              </w:rPr>
              <w:t>Shared investment scheme</w:t>
            </w:r>
          </w:p>
        </w:tc>
        <w:tc>
          <w:tcPr>
            <w:tcW w:w="1276" w:type="dxa"/>
            <w:tcBorders>
              <w:top w:val="nil"/>
              <w:left w:val="nil"/>
              <w:bottom w:val="single" w:sz="8" w:space="0" w:color="auto"/>
              <w:right w:val="single" w:sz="8" w:space="0" w:color="auto"/>
            </w:tcBorders>
            <w:shd w:val="clear" w:color="auto" w:fill="auto"/>
            <w:noWrap/>
            <w:tcMar>
              <w:top w:w="0" w:type="dxa"/>
              <w:left w:w="0" w:type="dxa"/>
              <w:bottom w:w="0" w:type="dxa"/>
              <w:right w:w="0" w:type="dxa"/>
            </w:tcMar>
            <w:vAlign w:val="center"/>
            <w:hideMark/>
          </w:tcPr>
          <w:p w14:paraId="2A9F53DE" w14:textId="77777777" w:rsidR="00290A8A" w:rsidRPr="00734E71" w:rsidRDefault="004A7A82">
            <w:pPr>
              <w:ind w:right="279"/>
              <w:jc w:val="right"/>
              <w:rPr>
                <w:color w:val="000000"/>
                <w:highlight w:val="yellow"/>
              </w:rPr>
            </w:pPr>
            <w:r>
              <w:rPr>
                <w:color w:val="000000"/>
              </w:rPr>
              <w:t>118</w:t>
            </w:r>
          </w:p>
        </w:tc>
      </w:tr>
      <w:tr w:rsidR="00C92CD8" w14:paraId="1D29A778" w14:textId="77777777">
        <w:trPr>
          <w:trHeight w:val="326"/>
        </w:trPr>
        <w:tc>
          <w:tcPr>
            <w:tcW w:w="6369" w:type="dxa"/>
            <w:tcBorders>
              <w:top w:val="nil"/>
              <w:left w:val="single" w:sz="8" w:space="0" w:color="auto"/>
              <w:bottom w:val="single" w:sz="8" w:space="0" w:color="auto"/>
              <w:right w:val="single" w:sz="8" w:space="0" w:color="auto"/>
            </w:tcBorders>
            <w:shd w:val="clear" w:color="auto" w:fill="auto"/>
            <w:noWrap/>
            <w:tcMar>
              <w:top w:w="0" w:type="dxa"/>
              <w:left w:w="0" w:type="dxa"/>
              <w:bottom w:w="0" w:type="dxa"/>
              <w:right w:w="0" w:type="dxa"/>
            </w:tcMar>
            <w:vAlign w:val="center"/>
            <w:hideMark/>
          </w:tcPr>
          <w:p w14:paraId="53BCEBBC" w14:textId="77777777" w:rsidR="00290A8A" w:rsidRPr="00734E71" w:rsidRDefault="004A7A82">
            <w:pPr>
              <w:rPr>
                <w:color w:val="000000"/>
                <w:highlight w:val="yellow"/>
              </w:rPr>
            </w:pPr>
            <w:r>
              <w:rPr>
                <w:color w:val="000000"/>
              </w:rPr>
              <w:t>Long term loans - local authorities</w:t>
            </w:r>
          </w:p>
        </w:tc>
        <w:tc>
          <w:tcPr>
            <w:tcW w:w="1276" w:type="dxa"/>
            <w:tcBorders>
              <w:top w:val="nil"/>
              <w:left w:val="nil"/>
              <w:bottom w:val="single" w:sz="8" w:space="0" w:color="auto"/>
              <w:right w:val="single" w:sz="8" w:space="0" w:color="auto"/>
            </w:tcBorders>
            <w:shd w:val="clear" w:color="auto" w:fill="auto"/>
            <w:noWrap/>
            <w:tcMar>
              <w:top w:w="0" w:type="dxa"/>
              <w:left w:w="0" w:type="dxa"/>
              <w:bottom w:w="0" w:type="dxa"/>
              <w:right w:w="0" w:type="dxa"/>
            </w:tcMar>
            <w:vAlign w:val="center"/>
            <w:hideMark/>
          </w:tcPr>
          <w:p w14:paraId="11AC619E" w14:textId="77777777" w:rsidR="00290A8A" w:rsidRPr="00734E71" w:rsidRDefault="004A7A82">
            <w:pPr>
              <w:ind w:right="279"/>
              <w:jc w:val="right"/>
              <w:rPr>
                <w:color w:val="000000"/>
                <w:highlight w:val="yellow"/>
              </w:rPr>
            </w:pPr>
            <w:r>
              <w:rPr>
                <w:color w:val="000000"/>
              </w:rPr>
              <w:t>5</w:t>
            </w:r>
          </w:p>
        </w:tc>
      </w:tr>
      <w:tr w:rsidR="00C92CD8" w14:paraId="311C6AEE" w14:textId="77777777">
        <w:trPr>
          <w:trHeight w:val="326"/>
        </w:trPr>
        <w:tc>
          <w:tcPr>
            <w:tcW w:w="6369" w:type="dxa"/>
            <w:tcBorders>
              <w:top w:val="nil"/>
              <w:left w:val="single" w:sz="8" w:space="0" w:color="auto"/>
              <w:bottom w:val="single" w:sz="8" w:space="0" w:color="auto"/>
              <w:right w:val="single" w:sz="8" w:space="0" w:color="auto"/>
            </w:tcBorders>
            <w:shd w:val="clear" w:color="auto" w:fill="auto"/>
            <w:noWrap/>
            <w:tcMar>
              <w:top w:w="0" w:type="dxa"/>
              <w:left w:w="0" w:type="dxa"/>
              <w:bottom w:w="0" w:type="dxa"/>
              <w:right w:w="0" w:type="dxa"/>
            </w:tcMar>
            <w:vAlign w:val="center"/>
            <w:hideMark/>
          </w:tcPr>
          <w:p w14:paraId="620A5B7E" w14:textId="77777777" w:rsidR="00290A8A" w:rsidRPr="00734E71" w:rsidRDefault="004A7A82">
            <w:pPr>
              <w:rPr>
                <w:color w:val="58B6C0" w:themeColor="accent2"/>
                <w:highlight w:val="yellow"/>
              </w:rPr>
            </w:pPr>
            <w:r>
              <w:rPr>
                <w:color w:val="000000"/>
              </w:rPr>
              <w:t xml:space="preserve">Long Term Bonds </w:t>
            </w:r>
          </w:p>
        </w:tc>
        <w:tc>
          <w:tcPr>
            <w:tcW w:w="1276" w:type="dxa"/>
            <w:tcBorders>
              <w:top w:val="nil"/>
              <w:left w:val="nil"/>
              <w:bottom w:val="single" w:sz="8" w:space="0" w:color="auto"/>
              <w:right w:val="single" w:sz="8" w:space="0" w:color="auto"/>
            </w:tcBorders>
            <w:shd w:val="clear" w:color="auto" w:fill="auto"/>
            <w:noWrap/>
            <w:tcMar>
              <w:top w:w="0" w:type="dxa"/>
              <w:left w:w="0" w:type="dxa"/>
              <w:bottom w:w="0" w:type="dxa"/>
              <w:right w:w="0" w:type="dxa"/>
            </w:tcMar>
            <w:vAlign w:val="center"/>
            <w:hideMark/>
          </w:tcPr>
          <w:p w14:paraId="4264D3C1" w14:textId="77777777" w:rsidR="00290A8A" w:rsidRPr="00734E71" w:rsidRDefault="004A7A82">
            <w:pPr>
              <w:ind w:right="279"/>
              <w:jc w:val="right"/>
              <w:rPr>
                <w:color w:val="000000"/>
                <w:highlight w:val="yellow"/>
              </w:rPr>
            </w:pPr>
            <w:r>
              <w:rPr>
                <w:color w:val="000000"/>
              </w:rPr>
              <w:t>600</w:t>
            </w:r>
          </w:p>
        </w:tc>
      </w:tr>
      <w:tr w:rsidR="00C92CD8" w14:paraId="64E986E4" w14:textId="77777777">
        <w:trPr>
          <w:trHeight w:val="326"/>
        </w:trPr>
        <w:tc>
          <w:tcPr>
            <w:tcW w:w="6369" w:type="dxa"/>
            <w:tcBorders>
              <w:top w:val="nil"/>
              <w:left w:val="single" w:sz="8" w:space="0" w:color="auto"/>
              <w:bottom w:val="single" w:sz="8" w:space="0" w:color="auto"/>
              <w:right w:val="single" w:sz="8" w:space="0" w:color="auto"/>
            </w:tcBorders>
            <w:shd w:val="clear" w:color="auto" w:fill="auto"/>
            <w:noWrap/>
            <w:tcMar>
              <w:top w:w="0" w:type="dxa"/>
              <w:left w:w="0" w:type="dxa"/>
              <w:bottom w:w="0" w:type="dxa"/>
              <w:right w:w="0" w:type="dxa"/>
            </w:tcMar>
            <w:vAlign w:val="center"/>
            <w:hideMark/>
          </w:tcPr>
          <w:p w14:paraId="2A3F01CE" w14:textId="77777777" w:rsidR="00290A8A" w:rsidRPr="00734E71" w:rsidRDefault="004A7A82">
            <w:pPr>
              <w:rPr>
                <w:color w:val="000000"/>
                <w:highlight w:val="yellow"/>
              </w:rPr>
            </w:pPr>
            <w:r>
              <w:rPr>
                <w:color w:val="000000"/>
              </w:rPr>
              <w:t xml:space="preserve">Long term loans - PWLB </w:t>
            </w:r>
          </w:p>
        </w:tc>
        <w:tc>
          <w:tcPr>
            <w:tcW w:w="1276" w:type="dxa"/>
            <w:tcBorders>
              <w:top w:val="nil"/>
              <w:left w:val="nil"/>
              <w:bottom w:val="single" w:sz="8" w:space="0" w:color="auto"/>
              <w:right w:val="single" w:sz="8" w:space="0" w:color="auto"/>
            </w:tcBorders>
            <w:shd w:val="clear" w:color="auto" w:fill="auto"/>
            <w:noWrap/>
            <w:tcMar>
              <w:top w:w="0" w:type="dxa"/>
              <w:left w:w="0" w:type="dxa"/>
              <w:bottom w:w="0" w:type="dxa"/>
              <w:right w:w="0" w:type="dxa"/>
            </w:tcMar>
            <w:vAlign w:val="center"/>
            <w:hideMark/>
          </w:tcPr>
          <w:p w14:paraId="4E351167" w14:textId="77777777" w:rsidR="00290A8A" w:rsidRPr="00734E71" w:rsidRDefault="004A7A82">
            <w:pPr>
              <w:ind w:right="279"/>
              <w:jc w:val="right"/>
              <w:rPr>
                <w:color w:val="000000"/>
                <w:highlight w:val="yellow"/>
              </w:rPr>
            </w:pPr>
            <w:r>
              <w:rPr>
                <w:color w:val="000000"/>
              </w:rPr>
              <w:t>280</w:t>
            </w:r>
          </w:p>
        </w:tc>
      </w:tr>
      <w:tr w:rsidR="00C92CD8" w14:paraId="1FB3A7FB" w14:textId="77777777">
        <w:trPr>
          <w:trHeight w:val="326"/>
        </w:trPr>
        <w:tc>
          <w:tcPr>
            <w:tcW w:w="6369" w:type="dxa"/>
            <w:tcBorders>
              <w:top w:val="nil"/>
              <w:left w:val="single" w:sz="8" w:space="0" w:color="auto"/>
              <w:bottom w:val="single" w:sz="8" w:space="0" w:color="auto"/>
              <w:right w:val="single" w:sz="8" w:space="0" w:color="auto"/>
            </w:tcBorders>
            <w:shd w:val="clear" w:color="000000" w:fill="DBE5F1"/>
            <w:noWrap/>
            <w:tcMar>
              <w:top w:w="0" w:type="dxa"/>
              <w:left w:w="0" w:type="dxa"/>
              <w:bottom w:w="0" w:type="dxa"/>
              <w:right w:w="0" w:type="dxa"/>
            </w:tcMar>
            <w:vAlign w:val="center"/>
            <w:hideMark/>
          </w:tcPr>
          <w:p w14:paraId="6DE8B6F0" w14:textId="77777777" w:rsidR="00290A8A" w:rsidRPr="00734E71" w:rsidRDefault="004A7A82">
            <w:pPr>
              <w:rPr>
                <w:b/>
                <w:bCs/>
                <w:color w:val="000000"/>
                <w:highlight w:val="yellow"/>
              </w:rPr>
            </w:pPr>
            <w:r>
              <w:rPr>
                <w:b/>
                <w:bCs/>
                <w:color w:val="000000"/>
              </w:rPr>
              <w:t>Total Borrowing</w:t>
            </w:r>
          </w:p>
        </w:tc>
        <w:tc>
          <w:tcPr>
            <w:tcW w:w="1276" w:type="dxa"/>
            <w:tcBorders>
              <w:top w:val="nil"/>
              <w:left w:val="nil"/>
              <w:bottom w:val="single" w:sz="8" w:space="0" w:color="auto"/>
              <w:right w:val="single" w:sz="8" w:space="0" w:color="auto"/>
            </w:tcBorders>
            <w:shd w:val="clear" w:color="000000" w:fill="DBE5F1"/>
            <w:noWrap/>
            <w:tcMar>
              <w:top w:w="0" w:type="dxa"/>
              <w:left w:w="0" w:type="dxa"/>
              <w:bottom w:w="0" w:type="dxa"/>
              <w:right w:w="0" w:type="dxa"/>
            </w:tcMar>
            <w:vAlign w:val="center"/>
            <w:hideMark/>
          </w:tcPr>
          <w:p w14:paraId="13BEF46D" w14:textId="77777777" w:rsidR="00290A8A" w:rsidRPr="00734E71" w:rsidRDefault="004A7A82">
            <w:pPr>
              <w:ind w:right="279"/>
              <w:jc w:val="right"/>
              <w:rPr>
                <w:b/>
                <w:bCs/>
                <w:color w:val="000000"/>
                <w:highlight w:val="yellow"/>
              </w:rPr>
            </w:pPr>
            <w:r>
              <w:rPr>
                <w:b/>
                <w:bCs/>
                <w:color w:val="000000"/>
              </w:rPr>
              <w:t>1,279</w:t>
            </w:r>
          </w:p>
        </w:tc>
      </w:tr>
      <w:tr w:rsidR="00C92CD8" w14:paraId="7E4A272E" w14:textId="77777777">
        <w:trPr>
          <w:trHeight w:val="326"/>
        </w:trPr>
        <w:tc>
          <w:tcPr>
            <w:tcW w:w="6369" w:type="dxa"/>
            <w:tcBorders>
              <w:top w:val="nil"/>
              <w:left w:val="single" w:sz="8" w:space="0" w:color="auto"/>
              <w:bottom w:val="single" w:sz="8" w:space="0" w:color="auto"/>
              <w:right w:val="single" w:sz="8" w:space="0" w:color="auto"/>
            </w:tcBorders>
            <w:shd w:val="clear" w:color="000000" w:fill="DBE5F1"/>
            <w:noWrap/>
            <w:tcMar>
              <w:top w:w="0" w:type="dxa"/>
              <w:left w:w="0" w:type="dxa"/>
              <w:bottom w:w="0" w:type="dxa"/>
              <w:right w:w="0" w:type="dxa"/>
            </w:tcMar>
            <w:vAlign w:val="center"/>
            <w:hideMark/>
          </w:tcPr>
          <w:p w14:paraId="4A400C5E" w14:textId="77777777" w:rsidR="00290A8A" w:rsidRPr="00734E71" w:rsidRDefault="004A7A82">
            <w:pPr>
              <w:rPr>
                <w:b/>
                <w:bCs/>
                <w:color w:val="000000"/>
                <w:highlight w:val="yellow"/>
              </w:rPr>
            </w:pPr>
            <w:r>
              <w:rPr>
                <w:b/>
                <w:bCs/>
                <w:color w:val="000000"/>
              </w:rPr>
              <w:t xml:space="preserve">Net Borrowing </w:t>
            </w:r>
          </w:p>
        </w:tc>
        <w:tc>
          <w:tcPr>
            <w:tcW w:w="1276" w:type="dxa"/>
            <w:tcBorders>
              <w:top w:val="nil"/>
              <w:left w:val="nil"/>
              <w:bottom w:val="single" w:sz="8" w:space="0" w:color="auto"/>
              <w:right w:val="single" w:sz="8" w:space="0" w:color="auto"/>
            </w:tcBorders>
            <w:shd w:val="clear" w:color="000000" w:fill="DBE5F1"/>
            <w:noWrap/>
            <w:tcMar>
              <w:top w:w="0" w:type="dxa"/>
              <w:left w:w="0" w:type="dxa"/>
              <w:bottom w:w="0" w:type="dxa"/>
              <w:right w:w="0" w:type="dxa"/>
            </w:tcMar>
            <w:vAlign w:val="center"/>
            <w:hideMark/>
          </w:tcPr>
          <w:p w14:paraId="1627573B" w14:textId="77777777" w:rsidR="00290A8A" w:rsidRPr="00734E71" w:rsidRDefault="004A7A82">
            <w:pPr>
              <w:ind w:right="279"/>
              <w:jc w:val="right"/>
              <w:rPr>
                <w:b/>
                <w:bCs/>
                <w:color w:val="000000"/>
                <w:highlight w:val="yellow"/>
              </w:rPr>
            </w:pPr>
            <w:r>
              <w:rPr>
                <w:b/>
                <w:bCs/>
                <w:color w:val="000000"/>
              </w:rPr>
              <w:t>462</w:t>
            </w:r>
          </w:p>
        </w:tc>
      </w:tr>
    </w:tbl>
    <w:p w14:paraId="7DCE0B1D" w14:textId="77777777" w:rsidR="00290A8A" w:rsidRPr="0002442F" w:rsidRDefault="00290A8A" w:rsidP="00290A8A">
      <w:pPr>
        <w:jc w:val="both"/>
        <w:rPr>
          <w:highlight w:val="yellow"/>
        </w:rPr>
      </w:pPr>
    </w:p>
    <w:p w14:paraId="648D5E08" w14:textId="77777777" w:rsidR="00290A8A" w:rsidRPr="00D618D1" w:rsidRDefault="004A7A82" w:rsidP="00290A8A">
      <w:pPr>
        <w:jc w:val="both"/>
        <w:rPr>
          <w:b/>
          <w:bCs/>
        </w:rPr>
      </w:pPr>
      <w:r w:rsidRPr="00D618D1">
        <w:rPr>
          <w:b/>
          <w:bCs/>
        </w:rPr>
        <w:t>Estimates of future borrowing and investment requirements</w:t>
      </w:r>
    </w:p>
    <w:p w14:paraId="1E5D348C" w14:textId="77777777" w:rsidR="00290A8A" w:rsidRPr="00D618D1" w:rsidRDefault="00290A8A" w:rsidP="00290A8A">
      <w:pPr>
        <w:jc w:val="both"/>
        <w:rPr>
          <w:bCs/>
        </w:rPr>
      </w:pPr>
    </w:p>
    <w:p w14:paraId="78B597F4" w14:textId="77777777" w:rsidR="00290A8A" w:rsidRPr="00734E71" w:rsidRDefault="004A7A82" w:rsidP="00290A8A">
      <w:pPr>
        <w:jc w:val="both"/>
        <w:rPr>
          <w:bCs/>
          <w:highlight w:val="yellow"/>
        </w:rPr>
      </w:pPr>
      <w:r w:rsidRPr="00D618D1">
        <w:rPr>
          <w:bCs/>
        </w:rPr>
        <w:t xml:space="preserve">In the medium term CIPFA's Prudential Code requires that the council's borrowing adjusted for transferred debt is for capital purposes only. The underlying need to borrow for capital purposes is measured by the capital financing requirement, while usable reserves and working capital are the underlying resources available for investment. The following table compares the estimated capital financing requirement to the borrowing </w:t>
      </w:r>
      <w:proofErr w:type="gramStart"/>
      <w:r w:rsidRPr="00D618D1">
        <w:rPr>
          <w:bCs/>
        </w:rPr>
        <w:t>at</w:t>
      </w:r>
      <w:proofErr w:type="gramEnd"/>
      <w:r w:rsidRPr="00D618D1">
        <w:rPr>
          <w:bCs/>
        </w:rPr>
        <w:t xml:space="preserve"> 30 November 202</w:t>
      </w:r>
      <w:r w:rsidRPr="00734E71">
        <w:rPr>
          <w:bCs/>
        </w:rPr>
        <w:t>3</w:t>
      </w:r>
      <w:r w:rsidRPr="00D618D1">
        <w:rPr>
          <w:bCs/>
        </w:rPr>
        <w:t xml:space="preserve">. This gives an indication of the borrowing required and the resources available for </w:t>
      </w:r>
      <w:r w:rsidRPr="00135BBE">
        <w:rPr>
          <w:bCs/>
        </w:rPr>
        <w:t xml:space="preserve">investment. </w:t>
      </w:r>
    </w:p>
    <w:p w14:paraId="69935536" w14:textId="77777777" w:rsidR="00290A8A" w:rsidRPr="0002442F" w:rsidRDefault="00290A8A" w:rsidP="00290A8A">
      <w:pPr>
        <w:jc w:val="both"/>
        <w:rPr>
          <w:bCs/>
          <w:highlight w:val="yellow"/>
        </w:rPr>
      </w:pPr>
    </w:p>
    <w:p w14:paraId="0B81335D" w14:textId="77777777" w:rsidR="00C40133" w:rsidRDefault="00C40133" w:rsidP="00290A8A">
      <w:pPr>
        <w:jc w:val="both"/>
        <w:rPr>
          <w:bCs/>
        </w:rPr>
      </w:pPr>
    </w:p>
    <w:p w14:paraId="613ED04D" w14:textId="77777777" w:rsidR="00C40133" w:rsidRDefault="00C40133" w:rsidP="00290A8A">
      <w:pPr>
        <w:jc w:val="both"/>
        <w:rPr>
          <w:bCs/>
        </w:rPr>
      </w:pPr>
    </w:p>
    <w:p w14:paraId="7F109C66" w14:textId="77777777" w:rsidR="00C40133" w:rsidRDefault="00C40133" w:rsidP="00290A8A">
      <w:pPr>
        <w:jc w:val="both"/>
        <w:rPr>
          <w:bCs/>
        </w:rPr>
      </w:pPr>
    </w:p>
    <w:p w14:paraId="11D9FD31" w14:textId="77777777" w:rsidR="00C40133" w:rsidRDefault="00C40133" w:rsidP="00290A8A">
      <w:pPr>
        <w:jc w:val="both"/>
        <w:rPr>
          <w:bCs/>
        </w:rPr>
      </w:pPr>
    </w:p>
    <w:p w14:paraId="250E55A5" w14:textId="77777777" w:rsidR="00C40133" w:rsidRDefault="00C40133" w:rsidP="00290A8A">
      <w:pPr>
        <w:jc w:val="both"/>
        <w:rPr>
          <w:bCs/>
        </w:rPr>
      </w:pPr>
    </w:p>
    <w:p w14:paraId="1F3E2107" w14:textId="77777777" w:rsidR="00C40133" w:rsidRDefault="00C40133" w:rsidP="00290A8A">
      <w:pPr>
        <w:jc w:val="both"/>
        <w:rPr>
          <w:bCs/>
        </w:rPr>
      </w:pPr>
    </w:p>
    <w:p w14:paraId="7F40F405" w14:textId="77777777" w:rsidR="00C40133" w:rsidRDefault="00C40133" w:rsidP="00290A8A">
      <w:pPr>
        <w:jc w:val="both"/>
        <w:rPr>
          <w:bCs/>
        </w:rPr>
      </w:pPr>
    </w:p>
    <w:p w14:paraId="617C7EE9" w14:textId="77777777" w:rsidR="00C40133" w:rsidRDefault="00C40133" w:rsidP="00290A8A">
      <w:pPr>
        <w:jc w:val="both"/>
        <w:rPr>
          <w:bCs/>
        </w:rPr>
      </w:pPr>
    </w:p>
    <w:p w14:paraId="09A3F9B8" w14:textId="77777777" w:rsidR="00C40133" w:rsidRDefault="00C40133" w:rsidP="00290A8A">
      <w:pPr>
        <w:jc w:val="both"/>
        <w:rPr>
          <w:bCs/>
        </w:rPr>
      </w:pPr>
    </w:p>
    <w:p w14:paraId="5DBA35EB" w14:textId="77777777" w:rsidR="00C40133" w:rsidRDefault="00C40133" w:rsidP="00290A8A">
      <w:pPr>
        <w:jc w:val="both"/>
        <w:rPr>
          <w:bCs/>
        </w:rPr>
      </w:pPr>
    </w:p>
    <w:p w14:paraId="3C11D483" w14:textId="77777777" w:rsidR="00C40133" w:rsidRDefault="00C40133" w:rsidP="00290A8A">
      <w:pPr>
        <w:jc w:val="both"/>
        <w:rPr>
          <w:bCs/>
        </w:rPr>
      </w:pPr>
    </w:p>
    <w:p w14:paraId="445C96EA" w14:textId="77777777" w:rsidR="00C40133" w:rsidRDefault="00C40133" w:rsidP="00290A8A">
      <w:pPr>
        <w:jc w:val="both"/>
        <w:rPr>
          <w:bCs/>
        </w:rPr>
      </w:pPr>
    </w:p>
    <w:p w14:paraId="0884ECBC" w14:textId="77777777" w:rsidR="00C40133" w:rsidRDefault="00C40133" w:rsidP="00290A8A">
      <w:pPr>
        <w:jc w:val="both"/>
        <w:rPr>
          <w:bCs/>
        </w:rPr>
      </w:pPr>
    </w:p>
    <w:p w14:paraId="6F975988" w14:textId="77777777" w:rsidR="00C40133" w:rsidRDefault="00C40133" w:rsidP="00290A8A">
      <w:pPr>
        <w:jc w:val="both"/>
        <w:rPr>
          <w:bCs/>
        </w:rPr>
      </w:pPr>
    </w:p>
    <w:p w14:paraId="2AAD6202" w14:textId="77777777" w:rsidR="00C40133" w:rsidRDefault="00C40133" w:rsidP="00290A8A">
      <w:pPr>
        <w:jc w:val="both"/>
        <w:rPr>
          <w:bCs/>
        </w:rPr>
      </w:pPr>
    </w:p>
    <w:p w14:paraId="02C47AF7" w14:textId="77777777" w:rsidR="00C40133" w:rsidRDefault="00C40133" w:rsidP="00290A8A">
      <w:pPr>
        <w:jc w:val="both"/>
        <w:rPr>
          <w:bCs/>
        </w:rPr>
      </w:pPr>
    </w:p>
    <w:p w14:paraId="5E6B141A" w14:textId="77777777" w:rsidR="00C40133" w:rsidRDefault="00C40133" w:rsidP="00290A8A">
      <w:pPr>
        <w:jc w:val="both"/>
        <w:rPr>
          <w:bCs/>
        </w:rPr>
      </w:pPr>
    </w:p>
    <w:p w14:paraId="5438F645" w14:textId="22E24B2F" w:rsidR="00290A8A" w:rsidRPr="0002442F" w:rsidRDefault="004A7A82" w:rsidP="00290A8A">
      <w:pPr>
        <w:jc w:val="both"/>
        <w:rPr>
          <w:bCs/>
        </w:rPr>
      </w:pPr>
      <w:r w:rsidRPr="0002442F">
        <w:rPr>
          <w:bCs/>
        </w:rPr>
        <w:lastRenderedPageBreak/>
        <w:t>The capital financing requirement forecast assumes a capital programme which includes borrowing of £</w:t>
      </w:r>
      <w:r w:rsidRPr="00734E71">
        <w:rPr>
          <w:bCs/>
        </w:rPr>
        <w:t>50</w:t>
      </w:r>
      <w:r w:rsidRPr="0002442F">
        <w:rPr>
          <w:bCs/>
        </w:rPr>
        <w:t>m in 202</w:t>
      </w:r>
      <w:r>
        <w:rPr>
          <w:bCs/>
        </w:rPr>
        <w:t>4/</w:t>
      </w:r>
      <w:r w:rsidRPr="00734E71">
        <w:rPr>
          <w:bCs/>
        </w:rPr>
        <w:t>2</w:t>
      </w:r>
      <w:r>
        <w:rPr>
          <w:bCs/>
        </w:rPr>
        <w:t>5</w:t>
      </w:r>
      <w:r w:rsidRPr="00734E71">
        <w:rPr>
          <w:bCs/>
        </w:rPr>
        <w:t xml:space="preserve"> </w:t>
      </w:r>
      <w:r w:rsidRPr="0002442F">
        <w:rPr>
          <w:bCs/>
        </w:rPr>
        <w:t>and then £50m in each of years 202</w:t>
      </w:r>
      <w:r>
        <w:rPr>
          <w:bCs/>
        </w:rPr>
        <w:t>5/26</w:t>
      </w:r>
      <w:r w:rsidRPr="0002442F">
        <w:rPr>
          <w:bCs/>
        </w:rPr>
        <w:t xml:space="preserve"> to 2027</w:t>
      </w:r>
      <w:r w:rsidRPr="00734E71">
        <w:rPr>
          <w:bCs/>
        </w:rPr>
        <w:t>/28</w:t>
      </w:r>
      <w:r w:rsidRPr="0002442F">
        <w:rPr>
          <w:bCs/>
        </w:rPr>
        <w:t>. Clearly, this will be subject to change as the capital programme develops.</w:t>
      </w:r>
    </w:p>
    <w:p w14:paraId="284CA65C" w14:textId="77777777" w:rsidR="00290A8A" w:rsidRPr="0002442F" w:rsidRDefault="00290A8A" w:rsidP="00290A8A">
      <w:pPr>
        <w:jc w:val="both"/>
        <w:rPr>
          <w:bCs/>
          <w:highlight w:val="yellow"/>
        </w:rPr>
      </w:pPr>
    </w:p>
    <w:tbl>
      <w:tblPr>
        <w:tblW w:w="8779" w:type="dxa"/>
        <w:tblCellMar>
          <w:left w:w="0" w:type="dxa"/>
          <w:right w:w="0" w:type="dxa"/>
        </w:tblCellMar>
        <w:tblLook w:val="04A0" w:firstRow="1" w:lastRow="0" w:firstColumn="1" w:lastColumn="0" w:noHBand="0" w:noVBand="1"/>
      </w:tblPr>
      <w:tblGrid>
        <w:gridCol w:w="3623"/>
        <w:gridCol w:w="1275"/>
        <w:gridCol w:w="1329"/>
        <w:gridCol w:w="1276"/>
        <w:gridCol w:w="1276"/>
      </w:tblGrid>
      <w:tr w:rsidR="00C92CD8" w14:paraId="5896D723" w14:textId="77777777">
        <w:trPr>
          <w:trHeight w:val="315"/>
        </w:trPr>
        <w:tc>
          <w:tcPr>
            <w:tcW w:w="36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96E37A" w14:textId="77777777" w:rsidR="00290A8A" w:rsidRPr="00F747E3" w:rsidRDefault="004A7A82">
            <w:pPr>
              <w:jc w:val="both"/>
              <w:rPr>
                <w:color w:val="000000"/>
              </w:rPr>
            </w:pPr>
            <w:r w:rsidRPr="00F747E3">
              <w:rPr>
                <w:color w:val="000000"/>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7AA180CE" w14:textId="77777777" w:rsidR="00290A8A" w:rsidRPr="00F747E3" w:rsidRDefault="004A7A82">
            <w:pPr>
              <w:jc w:val="center"/>
              <w:rPr>
                <w:color w:val="000000"/>
              </w:rPr>
            </w:pPr>
            <w:r w:rsidRPr="00F747E3">
              <w:rPr>
                <w:color w:val="000000"/>
              </w:rPr>
              <w:t>31/03/202</w:t>
            </w:r>
            <w:r w:rsidRPr="00734E71">
              <w:rPr>
                <w:color w:val="000000"/>
              </w:rPr>
              <w:t>4</w:t>
            </w:r>
          </w:p>
        </w:tc>
        <w:tc>
          <w:tcPr>
            <w:tcW w:w="1329" w:type="dxa"/>
            <w:tcBorders>
              <w:top w:val="single" w:sz="8" w:space="0" w:color="auto"/>
              <w:left w:val="nil"/>
              <w:bottom w:val="single" w:sz="8" w:space="0" w:color="auto"/>
              <w:right w:val="single" w:sz="8" w:space="0" w:color="auto"/>
            </w:tcBorders>
            <w:shd w:val="clear" w:color="auto" w:fill="auto"/>
            <w:vAlign w:val="center"/>
            <w:hideMark/>
          </w:tcPr>
          <w:p w14:paraId="20D75599" w14:textId="77777777" w:rsidR="00290A8A" w:rsidRPr="00F747E3" w:rsidRDefault="004A7A82">
            <w:pPr>
              <w:jc w:val="center"/>
              <w:rPr>
                <w:color w:val="000000"/>
              </w:rPr>
            </w:pPr>
            <w:r w:rsidRPr="00F747E3">
              <w:rPr>
                <w:color w:val="000000"/>
              </w:rPr>
              <w:t>31/03/202</w:t>
            </w:r>
            <w:r w:rsidRPr="00734E71">
              <w:rPr>
                <w:color w:val="000000"/>
              </w:rPr>
              <w:t>5</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FFBA4AC" w14:textId="77777777" w:rsidR="00290A8A" w:rsidRPr="00F747E3" w:rsidRDefault="004A7A82">
            <w:pPr>
              <w:jc w:val="center"/>
              <w:rPr>
                <w:color w:val="000000"/>
              </w:rPr>
            </w:pPr>
            <w:r w:rsidRPr="00F747E3">
              <w:rPr>
                <w:color w:val="000000"/>
              </w:rPr>
              <w:t>31/03/202</w:t>
            </w:r>
            <w:r w:rsidRPr="00734E71">
              <w:rPr>
                <w:color w:val="000000"/>
              </w:rPr>
              <w:t>6</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3E94F5F" w14:textId="77777777" w:rsidR="00290A8A" w:rsidRPr="00F747E3" w:rsidRDefault="004A7A82">
            <w:pPr>
              <w:jc w:val="center"/>
              <w:rPr>
                <w:color w:val="000000"/>
              </w:rPr>
            </w:pPr>
            <w:r w:rsidRPr="00F747E3">
              <w:rPr>
                <w:color w:val="000000"/>
              </w:rPr>
              <w:t>31/03/202</w:t>
            </w:r>
            <w:r w:rsidRPr="00734E71">
              <w:rPr>
                <w:color w:val="000000"/>
              </w:rPr>
              <w:t>7</w:t>
            </w:r>
          </w:p>
        </w:tc>
      </w:tr>
      <w:tr w:rsidR="00C92CD8" w14:paraId="577E9B40" w14:textId="77777777">
        <w:trPr>
          <w:trHeight w:val="315"/>
        </w:trPr>
        <w:tc>
          <w:tcPr>
            <w:tcW w:w="3623" w:type="dxa"/>
            <w:tcBorders>
              <w:top w:val="nil"/>
              <w:left w:val="single" w:sz="8" w:space="0" w:color="auto"/>
              <w:bottom w:val="single" w:sz="8" w:space="0" w:color="auto"/>
              <w:right w:val="single" w:sz="8" w:space="0" w:color="auto"/>
            </w:tcBorders>
            <w:shd w:val="clear" w:color="auto" w:fill="auto"/>
            <w:vAlign w:val="center"/>
            <w:hideMark/>
          </w:tcPr>
          <w:p w14:paraId="2DC83BA6" w14:textId="77777777" w:rsidR="00290A8A" w:rsidRPr="00F747E3" w:rsidRDefault="004A7A82">
            <w:pPr>
              <w:jc w:val="both"/>
              <w:rPr>
                <w:color w:val="000000"/>
              </w:rPr>
            </w:pPr>
            <w:r w:rsidRPr="00F747E3">
              <w:rPr>
                <w:color w:val="000000"/>
              </w:rPr>
              <w:t> </w:t>
            </w:r>
          </w:p>
        </w:tc>
        <w:tc>
          <w:tcPr>
            <w:tcW w:w="1275" w:type="dxa"/>
            <w:tcBorders>
              <w:top w:val="nil"/>
              <w:left w:val="nil"/>
              <w:bottom w:val="single" w:sz="8" w:space="0" w:color="auto"/>
              <w:right w:val="single" w:sz="8" w:space="0" w:color="auto"/>
            </w:tcBorders>
            <w:shd w:val="clear" w:color="auto" w:fill="auto"/>
            <w:vAlign w:val="center"/>
            <w:hideMark/>
          </w:tcPr>
          <w:p w14:paraId="75A5124A" w14:textId="77777777" w:rsidR="00290A8A" w:rsidRPr="00F747E3" w:rsidRDefault="004A7A82">
            <w:pPr>
              <w:jc w:val="center"/>
              <w:rPr>
                <w:color w:val="000000"/>
              </w:rPr>
            </w:pPr>
            <w:r w:rsidRPr="00F747E3">
              <w:rPr>
                <w:color w:val="000000"/>
              </w:rPr>
              <w:t>Estimate</w:t>
            </w:r>
          </w:p>
        </w:tc>
        <w:tc>
          <w:tcPr>
            <w:tcW w:w="1329" w:type="dxa"/>
            <w:tcBorders>
              <w:top w:val="nil"/>
              <w:left w:val="nil"/>
              <w:bottom w:val="single" w:sz="8" w:space="0" w:color="auto"/>
              <w:right w:val="single" w:sz="8" w:space="0" w:color="auto"/>
            </w:tcBorders>
            <w:shd w:val="clear" w:color="auto" w:fill="auto"/>
            <w:vAlign w:val="center"/>
            <w:hideMark/>
          </w:tcPr>
          <w:p w14:paraId="58BB898E" w14:textId="77777777" w:rsidR="00290A8A" w:rsidRPr="00F747E3" w:rsidRDefault="004A7A82">
            <w:pPr>
              <w:jc w:val="center"/>
              <w:rPr>
                <w:color w:val="000000"/>
              </w:rPr>
            </w:pPr>
            <w:r w:rsidRPr="00F747E3">
              <w:rPr>
                <w:color w:val="000000"/>
              </w:rPr>
              <w:t>Estimate</w:t>
            </w:r>
          </w:p>
        </w:tc>
        <w:tc>
          <w:tcPr>
            <w:tcW w:w="1276" w:type="dxa"/>
            <w:tcBorders>
              <w:top w:val="nil"/>
              <w:left w:val="nil"/>
              <w:bottom w:val="single" w:sz="8" w:space="0" w:color="auto"/>
              <w:right w:val="single" w:sz="8" w:space="0" w:color="auto"/>
            </w:tcBorders>
            <w:shd w:val="clear" w:color="auto" w:fill="auto"/>
            <w:vAlign w:val="center"/>
            <w:hideMark/>
          </w:tcPr>
          <w:p w14:paraId="2D990359" w14:textId="77777777" w:rsidR="00290A8A" w:rsidRPr="00F747E3" w:rsidRDefault="004A7A82">
            <w:pPr>
              <w:jc w:val="center"/>
              <w:rPr>
                <w:color w:val="000000"/>
              </w:rPr>
            </w:pPr>
            <w:r w:rsidRPr="00F747E3">
              <w:rPr>
                <w:color w:val="000000"/>
              </w:rPr>
              <w:t xml:space="preserve">Estimate </w:t>
            </w:r>
          </w:p>
        </w:tc>
        <w:tc>
          <w:tcPr>
            <w:tcW w:w="1276" w:type="dxa"/>
            <w:tcBorders>
              <w:top w:val="nil"/>
              <w:left w:val="nil"/>
              <w:bottom w:val="single" w:sz="8" w:space="0" w:color="auto"/>
              <w:right w:val="single" w:sz="8" w:space="0" w:color="auto"/>
            </w:tcBorders>
            <w:shd w:val="clear" w:color="auto" w:fill="auto"/>
            <w:vAlign w:val="center"/>
            <w:hideMark/>
          </w:tcPr>
          <w:p w14:paraId="62224359" w14:textId="77777777" w:rsidR="00290A8A" w:rsidRPr="00F747E3" w:rsidRDefault="004A7A82">
            <w:pPr>
              <w:jc w:val="center"/>
              <w:rPr>
                <w:color w:val="000000"/>
              </w:rPr>
            </w:pPr>
            <w:r w:rsidRPr="00F747E3">
              <w:rPr>
                <w:color w:val="000000"/>
              </w:rPr>
              <w:t xml:space="preserve">Estimate </w:t>
            </w:r>
          </w:p>
        </w:tc>
      </w:tr>
      <w:tr w:rsidR="00C92CD8" w14:paraId="289724F1" w14:textId="77777777">
        <w:trPr>
          <w:trHeight w:val="315"/>
        </w:trPr>
        <w:tc>
          <w:tcPr>
            <w:tcW w:w="3623" w:type="dxa"/>
            <w:tcBorders>
              <w:top w:val="nil"/>
              <w:left w:val="single" w:sz="8" w:space="0" w:color="auto"/>
              <w:bottom w:val="single" w:sz="8" w:space="0" w:color="auto"/>
              <w:right w:val="single" w:sz="8" w:space="0" w:color="auto"/>
            </w:tcBorders>
            <w:shd w:val="clear" w:color="auto" w:fill="auto"/>
            <w:vAlign w:val="center"/>
            <w:hideMark/>
          </w:tcPr>
          <w:p w14:paraId="2F16D200" w14:textId="77777777" w:rsidR="00290A8A" w:rsidRPr="00F747E3" w:rsidRDefault="004A7A82">
            <w:pPr>
              <w:jc w:val="both"/>
              <w:rPr>
                <w:color w:val="000000"/>
              </w:rPr>
            </w:pPr>
            <w:r w:rsidRPr="00F747E3">
              <w:rPr>
                <w:color w:val="000000"/>
              </w:rPr>
              <w:t> </w:t>
            </w:r>
          </w:p>
        </w:tc>
        <w:tc>
          <w:tcPr>
            <w:tcW w:w="1275" w:type="dxa"/>
            <w:tcBorders>
              <w:top w:val="nil"/>
              <w:left w:val="nil"/>
              <w:bottom w:val="single" w:sz="8" w:space="0" w:color="auto"/>
              <w:right w:val="single" w:sz="8" w:space="0" w:color="auto"/>
            </w:tcBorders>
            <w:shd w:val="clear" w:color="auto" w:fill="auto"/>
            <w:vAlign w:val="center"/>
            <w:hideMark/>
          </w:tcPr>
          <w:p w14:paraId="1983051F" w14:textId="77777777" w:rsidR="00290A8A" w:rsidRPr="00F747E3" w:rsidRDefault="004A7A82">
            <w:pPr>
              <w:jc w:val="center"/>
              <w:rPr>
                <w:color w:val="000000"/>
              </w:rPr>
            </w:pPr>
            <w:r w:rsidRPr="00F747E3">
              <w:rPr>
                <w:color w:val="000000"/>
              </w:rPr>
              <w:t>£m</w:t>
            </w:r>
          </w:p>
        </w:tc>
        <w:tc>
          <w:tcPr>
            <w:tcW w:w="1329" w:type="dxa"/>
            <w:tcBorders>
              <w:top w:val="nil"/>
              <w:left w:val="nil"/>
              <w:bottom w:val="single" w:sz="8" w:space="0" w:color="auto"/>
              <w:right w:val="single" w:sz="8" w:space="0" w:color="auto"/>
            </w:tcBorders>
            <w:shd w:val="clear" w:color="auto" w:fill="auto"/>
            <w:vAlign w:val="center"/>
            <w:hideMark/>
          </w:tcPr>
          <w:p w14:paraId="526835CD" w14:textId="77777777" w:rsidR="00290A8A" w:rsidRPr="00F747E3" w:rsidRDefault="004A7A82">
            <w:pPr>
              <w:jc w:val="center"/>
              <w:rPr>
                <w:color w:val="000000"/>
              </w:rPr>
            </w:pPr>
            <w:r w:rsidRPr="00F747E3">
              <w:rPr>
                <w:color w:val="000000"/>
              </w:rPr>
              <w:t>£m</w:t>
            </w:r>
          </w:p>
        </w:tc>
        <w:tc>
          <w:tcPr>
            <w:tcW w:w="1276" w:type="dxa"/>
            <w:tcBorders>
              <w:top w:val="nil"/>
              <w:left w:val="nil"/>
              <w:bottom w:val="single" w:sz="8" w:space="0" w:color="auto"/>
              <w:right w:val="single" w:sz="8" w:space="0" w:color="auto"/>
            </w:tcBorders>
            <w:shd w:val="clear" w:color="auto" w:fill="auto"/>
            <w:vAlign w:val="center"/>
            <w:hideMark/>
          </w:tcPr>
          <w:p w14:paraId="02E4D484" w14:textId="77777777" w:rsidR="00290A8A" w:rsidRPr="00F747E3" w:rsidRDefault="004A7A82">
            <w:pPr>
              <w:jc w:val="center"/>
              <w:rPr>
                <w:color w:val="000000"/>
              </w:rPr>
            </w:pPr>
            <w:r w:rsidRPr="00F747E3">
              <w:rPr>
                <w:color w:val="000000"/>
              </w:rPr>
              <w:t>£m</w:t>
            </w:r>
          </w:p>
        </w:tc>
        <w:tc>
          <w:tcPr>
            <w:tcW w:w="1276" w:type="dxa"/>
            <w:tcBorders>
              <w:top w:val="nil"/>
              <w:left w:val="nil"/>
              <w:bottom w:val="single" w:sz="8" w:space="0" w:color="auto"/>
              <w:right w:val="single" w:sz="8" w:space="0" w:color="auto"/>
            </w:tcBorders>
            <w:shd w:val="clear" w:color="auto" w:fill="auto"/>
            <w:vAlign w:val="center"/>
            <w:hideMark/>
          </w:tcPr>
          <w:p w14:paraId="1FB973AB" w14:textId="77777777" w:rsidR="00290A8A" w:rsidRPr="00F747E3" w:rsidRDefault="004A7A82">
            <w:pPr>
              <w:jc w:val="center"/>
              <w:rPr>
                <w:color w:val="000000"/>
              </w:rPr>
            </w:pPr>
            <w:r w:rsidRPr="00F747E3">
              <w:rPr>
                <w:color w:val="000000"/>
              </w:rPr>
              <w:t>£m</w:t>
            </w:r>
          </w:p>
        </w:tc>
      </w:tr>
      <w:tr w:rsidR="00C92CD8" w14:paraId="517FC2C7" w14:textId="77777777">
        <w:trPr>
          <w:trHeight w:val="315"/>
        </w:trPr>
        <w:tc>
          <w:tcPr>
            <w:tcW w:w="3623" w:type="dxa"/>
            <w:tcBorders>
              <w:top w:val="nil"/>
              <w:left w:val="single" w:sz="8" w:space="0" w:color="auto"/>
              <w:bottom w:val="single" w:sz="8" w:space="0" w:color="auto"/>
              <w:right w:val="single" w:sz="8" w:space="0" w:color="auto"/>
            </w:tcBorders>
            <w:shd w:val="clear" w:color="auto" w:fill="auto"/>
            <w:vAlign w:val="center"/>
            <w:hideMark/>
          </w:tcPr>
          <w:p w14:paraId="4970F669" w14:textId="77777777" w:rsidR="00290A8A" w:rsidRPr="00F747E3" w:rsidRDefault="004A7A82">
            <w:pPr>
              <w:rPr>
                <w:color w:val="000000"/>
              </w:rPr>
            </w:pPr>
            <w:r w:rsidRPr="00F747E3">
              <w:rPr>
                <w:color w:val="000000"/>
              </w:rPr>
              <w:t xml:space="preserve">Capital financing requirement </w:t>
            </w:r>
          </w:p>
        </w:tc>
        <w:tc>
          <w:tcPr>
            <w:tcW w:w="1275" w:type="dxa"/>
            <w:tcBorders>
              <w:top w:val="nil"/>
              <w:left w:val="nil"/>
              <w:bottom w:val="single" w:sz="8" w:space="0" w:color="auto"/>
              <w:right w:val="single" w:sz="8" w:space="0" w:color="auto"/>
            </w:tcBorders>
            <w:shd w:val="clear" w:color="auto" w:fill="auto"/>
            <w:vAlign w:val="center"/>
            <w:hideMark/>
          </w:tcPr>
          <w:p w14:paraId="0DA9F137" w14:textId="77777777" w:rsidR="00290A8A" w:rsidRPr="00F747E3" w:rsidRDefault="004A7A82">
            <w:pPr>
              <w:jc w:val="center"/>
              <w:rPr>
                <w:color w:val="000000"/>
              </w:rPr>
            </w:pPr>
            <w:r w:rsidRPr="00F747E3">
              <w:rPr>
                <w:color w:val="000000"/>
              </w:rPr>
              <w:t>1,</w:t>
            </w:r>
            <w:r w:rsidRPr="00734E71">
              <w:rPr>
                <w:color w:val="000000"/>
              </w:rPr>
              <w:t>165</w:t>
            </w:r>
          </w:p>
        </w:tc>
        <w:tc>
          <w:tcPr>
            <w:tcW w:w="1329" w:type="dxa"/>
            <w:tcBorders>
              <w:top w:val="nil"/>
              <w:left w:val="nil"/>
              <w:bottom w:val="single" w:sz="8" w:space="0" w:color="auto"/>
              <w:right w:val="single" w:sz="8" w:space="0" w:color="auto"/>
            </w:tcBorders>
            <w:shd w:val="clear" w:color="auto" w:fill="auto"/>
            <w:vAlign w:val="center"/>
            <w:hideMark/>
          </w:tcPr>
          <w:p w14:paraId="4B978101" w14:textId="77777777" w:rsidR="00290A8A" w:rsidRPr="00F747E3" w:rsidRDefault="004A7A82">
            <w:pPr>
              <w:jc w:val="center"/>
              <w:rPr>
                <w:color w:val="000000"/>
              </w:rPr>
            </w:pPr>
            <w:r w:rsidRPr="00F747E3">
              <w:rPr>
                <w:color w:val="000000"/>
              </w:rPr>
              <w:t>1,</w:t>
            </w:r>
            <w:r>
              <w:rPr>
                <w:color w:val="000000"/>
              </w:rPr>
              <w:t>172</w:t>
            </w:r>
          </w:p>
        </w:tc>
        <w:tc>
          <w:tcPr>
            <w:tcW w:w="1276" w:type="dxa"/>
            <w:tcBorders>
              <w:top w:val="nil"/>
              <w:left w:val="nil"/>
              <w:bottom w:val="single" w:sz="8" w:space="0" w:color="auto"/>
              <w:right w:val="single" w:sz="8" w:space="0" w:color="auto"/>
            </w:tcBorders>
            <w:shd w:val="clear" w:color="auto" w:fill="auto"/>
            <w:vAlign w:val="center"/>
            <w:hideMark/>
          </w:tcPr>
          <w:p w14:paraId="0E3CDBC8" w14:textId="77777777" w:rsidR="00290A8A" w:rsidRPr="00F747E3" w:rsidRDefault="004A7A82">
            <w:pPr>
              <w:jc w:val="center"/>
              <w:rPr>
                <w:color w:val="000000"/>
              </w:rPr>
            </w:pPr>
            <w:r w:rsidRPr="00F747E3">
              <w:rPr>
                <w:color w:val="000000"/>
              </w:rPr>
              <w:t>1,</w:t>
            </w:r>
            <w:r>
              <w:rPr>
                <w:color w:val="000000"/>
              </w:rPr>
              <w:t>178</w:t>
            </w:r>
          </w:p>
        </w:tc>
        <w:tc>
          <w:tcPr>
            <w:tcW w:w="1276" w:type="dxa"/>
            <w:tcBorders>
              <w:top w:val="nil"/>
              <w:left w:val="nil"/>
              <w:bottom w:val="single" w:sz="8" w:space="0" w:color="auto"/>
              <w:right w:val="single" w:sz="8" w:space="0" w:color="auto"/>
            </w:tcBorders>
            <w:shd w:val="clear" w:color="auto" w:fill="auto"/>
            <w:vAlign w:val="center"/>
            <w:hideMark/>
          </w:tcPr>
          <w:p w14:paraId="4FC84805" w14:textId="77777777" w:rsidR="00290A8A" w:rsidRPr="00F747E3" w:rsidRDefault="004A7A82">
            <w:pPr>
              <w:jc w:val="center"/>
              <w:rPr>
                <w:color w:val="000000"/>
              </w:rPr>
            </w:pPr>
            <w:r w:rsidRPr="00F747E3">
              <w:rPr>
                <w:color w:val="000000"/>
              </w:rPr>
              <w:t>1,</w:t>
            </w:r>
            <w:r>
              <w:rPr>
                <w:color w:val="000000"/>
              </w:rPr>
              <w:t>183</w:t>
            </w:r>
          </w:p>
        </w:tc>
      </w:tr>
      <w:tr w:rsidR="00C92CD8" w14:paraId="212A73B6" w14:textId="77777777">
        <w:trPr>
          <w:trHeight w:val="315"/>
        </w:trPr>
        <w:tc>
          <w:tcPr>
            <w:tcW w:w="3623" w:type="dxa"/>
            <w:tcBorders>
              <w:top w:val="nil"/>
              <w:left w:val="single" w:sz="8" w:space="0" w:color="auto"/>
              <w:bottom w:val="single" w:sz="8" w:space="0" w:color="auto"/>
              <w:right w:val="single" w:sz="8" w:space="0" w:color="auto"/>
            </w:tcBorders>
            <w:shd w:val="clear" w:color="auto" w:fill="auto"/>
            <w:vAlign w:val="center"/>
            <w:hideMark/>
          </w:tcPr>
          <w:p w14:paraId="2D6039C4" w14:textId="77777777" w:rsidR="00290A8A" w:rsidRPr="00F747E3" w:rsidRDefault="004A7A82">
            <w:pPr>
              <w:rPr>
                <w:color w:val="000000"/>
              </w:rPr>
            </w:pPr>
            <w:r w:rsidRPr="00F747E3">
              <w:rPr>
                <w:color w:val="000000"/>
              </w:rPr>
              <w:t xml:space="preserve">Other </w:t>
            </w:r>
            <w:proofErr w:type="gramStart"/>
            <w:r w:rsidRPr="00F747E3">
              <w:rPr>
                <w:color w:val="000000"/>
              </w:rPr>
              <w:t>long term</w:t>
            </w:r>
            <w:proofErr w:type="gramEnd"/>
            <w:r w:rsidRPr="00F747E3">
              <w:rPr>
                <w:color w:val="000000"/>
              </w:rPr>
              <w:t xml:space="preserve"> liabilities</w:t>
            </w:r>
          </w:p>
        </w:tc>
        <w:tc>
          <w:tcPr>
            <w:tcW w:w="1275" w:type="dxa"/>
            <w:tcBorders>
              <w:top w:val="nil"/>
              <w:left w:val="nil"/>
              <w:bottom w:val="single" w:sz="8" w:space="0" w:color="auto"/>
              <w:right w:val="single" w:sz="8" w:space="0" w:color="auto"/>
            </w:tcBorders>
            <w:shd w:val="clear" w:color="auto" w:fill="auto"/>
            <w:vAlign w:val="center"/>
            <w:hideMark/>
          </w:tcPr>
          <w:p w14:paraId="5F94D623" w14:textId="77777777" w:rsidR="00290A8A" w:rsidRPr="00F747E3" w:rsidRDefault="004A7A82">
            <w:pPr>
              <w:jc w:val="center"/>
              <w:rPr>
                <w:color w:val="000000"/>
              </w:rPr>
            </w:pPr>
            <w:r w:rsidRPr="00734E71">
              <w:rPr>
                <w:color w:val="000000"/>
              </w:rPr>
              <w:t>-119</w:t>
            </w:r>
          </w:p>
        </w:tc>
        <w:tc>
          <w:tcPr>
            <w:tcW w:w="1329" w:type="dxa"/>
            <w:tcBorders>
              <w:top w:val="nil"/>
              <w:left w:val="nil"/>
              <w:bottom w:val="single" w:sz="8" w:space="0" w:color="auto"/>
              <w:right w:val="single" w:sz="8" w:space="0" w:color="auto"/>
            </w:tcBorders>
            <w:shd w:val="clear" w:color="auto" w:fill="auto"/>
            <w:vAlign w:val="center"/>
            <w:hideMark/>
          </w:tcPr>
          <w:p w14:paraId="6BE7F6EC" w14:textId="77777777" w:rsidR="00290A8A" w:rsidRPr="00F747E3" w:rsidRDefault="004A7A82">
            <w:pPr>
              <w:jc w:val="center"/>
              <w:rPr>
                <w:color w:val="000000"/>
              </w:rPr>
            </w:pPr>
            <w:r w:rsidRPr="00734E71">
              <w:rPr>
                <w:color w:val="000000"/>
              </w:rPr>
              <w:t>-110</w:t>
            </w:r>
          </w:p>
        </w:tc>
        <w:tc>
          <w:tcPr>
            <w:tcW w:w="1276" w:type="dxa"/>
            <w:tcBorders>
              <w:top w:val="nil"/>
              <w:left w:val="nil"/>
              <w:bottom w:val="single" w:sz="8" w:space="0" w:color="auto"/>
              <w:right w:val="single" w:sz="8" w:space="0" w:color="auto"/>
            </w:tcBorders>
            <w:shd w:val="clear" w:color="auto" w:fill="auto"/>
            <w:vAlign w:val="center"/>
            <w:hideMark/>
          </w:tcPr>
          <w:p w14:paraId="3CF89F64" w14:textId="77777777" w:rsidR="00290A8A" w:rsidRPr="00F747E3" w:rsidRDefault="004A7A82">
            <w:pPr>
              <w:jc w:val="center"/>
              <w:rPr>
                <w:color w:val="000000"/>
              </w:rPr>
            </w:pPr>
            <w:r w:rsidRPr="00734E71">
              <w:rPr>
                <w:color w:val="000000"/>
              </w:rPr>
              <w:t>-102</w:t>
            </w:r>
          </w:p>
        </w:tc>
        <w:tc>
          <w:tcPr>
            <w:tcW w:w="1276" w:type="dxa"/>
            <w:tcBorders>
              <w:top w:val="nil"/>
              <w:left w:val="nil"/>
              <w:bottom w:val="single" w:sz="8" w:space="0" w:color="auto"/>
              <w:right w:val="single" w:sz="8" w:space="0" w:color="auto"/>
            </w:tcBorders>
            <w:shd w:val="clear" w:color="auto" w:fill="auto"/>
            <w:vAlign w:val="center"/>
            <w:hideMark/>
          </w:tcPr>
          <w:p w14:paraId="29078949" w14:textId="77777777" w:rsidR="00290A8A" w:rsidRPr="00F747E3" w:rsidRDefault="004A7A82">
            <w:pPr>
              <w:jc w:val="center"/>
              <w:rPr>
                <w:color w:val="000000"/>
              </w:rPr>
            </w:pPr>
            <w:r w:rsidRPr="00F747E3">
              <w:rPr>
                <w:color w:val="000000"/>
              </w:rPr>
              <w:t>-</w:t>
            </w:r>
            <w:r w:rsidRPr="00734E71">
              <w:rPr>
                <w:color w:val="000000"/>
              </w:rPr>
              <w:t>90</w:t>
            </w:r>
          </w:p>
        </w:tc>
      </w:tr>
      <w:tr w:rsidR="00C92CD8" w14:paraId="5F5E8F0D" w14:textId="77777777">
        <w:trPr>
          <w:trHeight w:val="315"/>
        </w:trPr>
        <w:tc>
          <w:tcPr>
            <w:tcW w:w="3623" w:type="dxa"/>
            <w:tcBorders>
              <w:top w:val="nil"/>
              <w:left w:val="single" w:sz="8" w:space="0" w:color="auto"/>
              <w:bottom w:val="single" w:sz="8" w:space="0" w:color="auto"/>
              <w:right w:val="single" w:sz="8" w:space="0" w:color="auto"/>
            </w:tcBorders>
            <w:shd w:val="clear" w:color="000000" w:fill="DBE5F1"/>
            <w:vAlign w:val="center"/>
            <w:hideMark/>
          </w:tcPr>
          <w:p w14:paraId="74A5DDD0" w14:textId="77777777" w:rsidR="00290A8A" w:rsidRPr="00F747E3" w:rsidRDefault="004A7A82">
            <w:pPr>
              <w:rPr>
                <w:color w:val="000000"/>
              </w:rPr>
            </w:pPr>
            <w:r w:rsidRPr="00F747E3">
              <w:rPr>
                <w:color w:val="000000"/>
              </w:rPr>
              <w:t>Borrowing capital financing requirement</w:t>
            </w:r>
          </w:p>
        </w:tc>
        <w:tc>
          <w:tcPr>
            <w:tcW w:w="1275" w:type="dxa"/>
            <w:tcBorders>
              <w:top w:val="nil"/>
              <w:left w:val="nil"/>
              <w:bottom w:val="single" w:sz="8" w:space="0" w:color="auto"/>
              <w:right w:val="single" w:sz="8" w:space="0" w:color="auto"/>
            </w:tcBorders>
            <w:shd w:val="clear" w:color="000000" w:fill="DBE5F1"/>
            <w:vAlign w:val="center"/>
            <w:hideMark/>
          </w:tcPr>
          <w:p w14:paraId="1A3B6675" w14:textId="77777777" w:rsidR="00290A8A" w:rsidRPr="00F747E3" w:rsidRDefault="004A7A82">
            <w:pPr>
              <w:jc w:val="center"/>
              <w:rPr>
                <w:color w:val="000000"/>
              </w:rPr>
            </w:pPr>
            <w:r w:rsidRPr="00F747E3">
              <w:rPr>
                <w:color w:val="000000"/>
              </w:rPr>
              <w:t>1,0</w:t>
            </w:r>
            <w:r w:rsidRPr="00734E71">
              <w:rPr>
                <w:color w:val="000000"/>
              </w:rPr>
              <w:t>46</w:t>
            </w:r>
          </w:p>
        </w:tc>
        <w:tc>
          <w:tcPr>
            <w:tcW w:w="1329" w:type="dxa"/>
            <w:tcBorders>
              <w:top w:val="nil"/>
              <w:left w:val="nil"/>
              <w:bottom w:val="single" w:sz="8" w:space="0" w:color="auto"/>
              <w:right w:val="single" w:sz="8" w:space="0" w:color="auto"/>
            </w:tcBorders>
            <w:shd w:val="clear" w:color="000000" w:fill="DBE5F1"/>
            <w:vAlign w:val="center"/>
            <w:hideMark/>
          </w:tcPr>
          <w:p w14:paraId="73D64D93" w14:textId="77777777" w:rsidR="00290A8A" w:rsidRPr="00F747E3" w:rsidRDefault="004A7A82">
            <w:pPr>
              <w:jc w:val="center"/>
              <w:rPr>
                <w:color w:val="000000"/>
              </w:rPr>
            </w:pPr>
            <w:r w:rsidRPr="00F747E3">
              <w:rPr>
                <w:color w:val="000000"/>
              </w:rPr>
              <w:t>1,</w:t>
            </w:r>
            <w:r>
              <w:rPr>
                <w:color w:val="000000"/>
              </w:rPr>
              <w:t>062</w:t>
            </w:r>
          </w:p>
        </w:tc>
        <w:tc>
          <w:tcPr>
            <w:tcW w:w="1276" w:type="dxa"/>
            <w:tcBorders>
              <w:top w:val="nil"/>
              <w:left w:val="nil"/>
              <w:bottom w:val="single" w:sz="8" w:space="0" w:color="auto"/>
              <w:right w:val="single" w:sz="8" w:space="0" w:color="auto"/>
            </w:tcBorders>
            <w:shd w:val="clear" w:color="000000" w:fill="DBE5F1"/>
            <w:vAlign w:val="center"/>
            <w:hideMark/>
          </w:tcPr>
          <w:p w14:paraId="7F6AEDA5" w14:textId="77777777" w:rsidR="00290A8A" w:rsidRPr="00F747E3" w:rsidRDefault="004A7A82">
            <w:pPr>
              <w:jc w:val="center"/>
              <w:rPr>
                <w:color w:val="000000"/>
              </w:rPr>
            </w:pPr>
            <w:r w:rsidRPr="00F747E3">
              <w:rPr>
                <w:color w:val="000000"/>
              </w:rPr>
              <w:t>1,</w:t>
            </w:r>
            <w:r>
              <w:rPr>
                <w:color w:val="000000"/>
              </w:rPr>
              <w:t>076</w:t>
            </w:r>
          </w:p>
        </w:tc>
        <w:tc>
          <w:tcPr>
            <w:tcW w:w="1276" w:type="dxa"/>
            <w:tcBorders>
              <w:top w:val="nil"/>
              <w:left w:val="nil"/>
              <w:bottom w:val="single" w:sz="8" w:space="0" w:color="auto"/>
              <w:right w:val="single" w:sz="8" w:space="0" w:color="auto"/>
            </w:tcBorders>
            <w:shd w:val="clear" w:color="000000" w:fill="DBE5F1"/>
            <w:vAlign w:val="center"/>
            <w:hideMark/>
          </w:tcPr>
          <w:p w14:paraId="442BCCDA" w14:textId="77777777" w:rsidR="00290A8A" w:rsidRPr="00F747E3" w:rsidRDefault="004A7A82">
            <w:pPr>
              <w:jc w:val="center"/>
              <w:rPr>
                <w:color w:val="000000"/>
              </w:rPr>
            </w:pPr>
            <w:r w:rsidRPr="00F747E3">
              <w:rPr>
                <w:color w:val="000000"/>
              </w:rPr>
              <w:t>1,</w:t>
            </w:r>
            <w:r>
              <w:rPr>
                <w:color w:val="000000"/>
              </w:rPr>
              <w:t>093</w:t>
            </w:r>
          </w:p>
        </w:tc>
      </w:tr>
      <w:tr w:rsidR="00C92CD8" w14:paraId="5120ED0E" w14:textId="77777777">
        <w:trPr>
          <w:trHeight w:val="315"/>
        </w:trPr>
        <w:tc>
          <w:tcPr>
            <w:tcW w:w="3623" w:type="dxa"/>
            <w:tcBorders>
              <w:top w:val="nil"/>
              <w:left w:val="single" w:sz="8" w:space="0" w:color="auto"/>
              <w:bottom w:val="single" w:sz="8" w:space="0" w:color="auto"/>
              <w:right w:val="single" w:sz="8" w:space="0" w:color="auto"/>
            </w:tcBorders>
            <w:shd w:val="clear" w:color="auto" w:fill="auto"/>
            <w:vAlign w:val="center"/>
            <w:hideMark/>
          </w:tcPr>
          <w:p w14:paraId="49A2C6FB" w14:textId="77777777" w:rsidR="00290A8A" w:rsidRPr="00F747E3" w:rsidRDefault="004A7A82">
            <w:pPr>
              <w:rPr>
                <w:i/>
                <w:iCs/>
                <w:color w:val="000000"/>
              </w:rPr>
            </w:pPr>
            <w:r w:rsidRPr="00F747E3">
              <w:rPr>
                <w:i/>
                <w:iCs/>
                <w:color w:val="000000"/>
              </w:rPr>
              <w:t> </w:t>
            </w:r>
          </w:p>
        </w:tc>
        <w:tc>
          <w:tcPr>
            <w:tcW w:w="1275" w:type="dxa"/>
            <w:tcBorders>
              <w:top w:val="nil"/>
              <w:left w:val="nil"/>
              <w:bottom w:val="single" w:sz="8" w:space="0" w:color="auto"/>
              <w:right w:val="single" w:sz="8" w:space="0" w:color="auto"/>
            </w:tcBorders>
            <w:shd w:val="clear" w:color="auto" w:fill="auto"/>
            <w:vAlign w:val="center"/>
            <w:hideMark/>
          </w:tcPr>
          <w:p w14:paraId="04B85C2F" w14:textId="77777777" w:rsidR="00290A8A" w:rsidRPr="00F747E3" w:rsidRDefault="004A7A82">
            <w:pPr>
              <w:jc w:val="center"/>
              <w:rPr>
                <w:color w:val="000000"/>
              </w:rPr>
            </w:pPr>
            <w:r w:rsidRPr="00F747E3">
              <w:rPr>
                <w:color w:val="000000"/>
              </w:rPr>
              <w:t> </w:t>
            </w:r>
          </w:p>
        </w:tc>
        <w:tc>
          <w:tcPr>
            <w:tcW w:w="1329" w:type="dxa"/>
            <w:tcBorders>
              <w:top w:val="nil"/>
              <w:left w:val="nil"/>
              <w:bottom w:val="single" w:sz="8" w:space="0" w:color="auto"/>
              <w:right w:val="single" w:sz="8" w:space="0" w:color="auto"/>
            </w:tcBorders>
            <w:shd w:val="clear" w:color="auto" w:fill="auto"/>
            <w:vAlign w:val="center"/>
            <w:hideMark/>
          </w:tcPr>
          <w:p w14:paraId="2FB5381D" w14:textId="77777777" w:rsidR="00290A8A" w:rsidRPr="00F747E3" w:rsidRDefault="004A7A82">
            <w:pPr>
              <w:jc w:val="center"/>
              <w:rPr>
                <w:color w:val="000000"/>
              </w:rPr>
            </w:pPr>
            <w:r w:rsidRPr="00F747E3">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14:paraId="56367D7C" w14:textId="77777777" w:rsidR="00290A8A" w:rsidRPr="00F747E3" w:rsidRDefault="004A7A82">
            <w:pPr>
              <w:jc w:val="center"/>
              <w:rPr>
                <w:color w:val="000000"/>
              </w:rPr>
            </w:pPr>
            <w:r w:rsidRPr="00F747E3">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14:paraId="0378ECCB" w14:textId="77777777" w:rsidR="00290A8A" w:rsidRPr="00F747E3" w:rsidRDefault="004A7A82">
            <w:pPr>
              <w:jc w:val="center"/>
              <w:rPr>
                <w:color w:val="000000"/>
              </w:rPr>
            </w:pPr>
            <w:r w:rsidRPr="00F747E3">
              <w:rPr>
                <w:color w:val="000000"/>
              </w:rPr>
              <w:t> </w:t>
            </w:r>
          </w:p>
        </w:tc>
      </w:tr>
      <w:tr w:rsidR="00C92CD8" w14:paraId="79A11FAA" w14:textId="77777777">
        <w:trPr>
          <w:trHeight w:val="315"/>
        </w:trPr>
        <w:tc>
          <w:tcPr>
            <w:tcW w:w="3623" w:type="dxa"/>
            <w:tcBorders>
              <w:top w:val="nil"/>
              <w:left w:val="single" w:sz="8" w:space="0" w:color="auto"/>
              <w:bottom w:val="single" w:sz="8" w:space="0" w:color="auto"/>
              <w:right w:val="single" w:sz="8" w:space="0" w:color="auto"/>
            </w:tcBorders>
            <w:shd w:val="clear" w:color="auto" w:fill="auto"/>
            <w:vAlign w:val="center"/>
            <w:hideMark/>
          </w:tcPr>
          <w:p w14:paraId="77330C99" w14:textId="77777777" w:rsidR="00290A8A" w:rsidRPr="00F747E3" w:rsidRDefault="004A7A82">
            <w:pPr>
              <w:rPr>
                <w:color w:val="000000"/>
              </w:rPr>
            </w:pPr>
            <w:r w:rsidRPr="00F747E3">
              <w:rPr>
                <w:color w:val="000000"/>
              </w:rPr>
              <w:t>External borrowing</w:t>
            </w:r>
          </w:p>
        </w:tc>
        <w:tc>
          <w:tcPr>
            <w:tcW w:w="1275" w:type="dxa"/>
            <w:tcBorders>
              <w:top w:val="nil"/>
              <w:left w:val="nil"/>
              <w:bottom w:val="single" w:sz="8" w:space="0" w:color="auto"/>
              <w:right w:val="single" w:sz="8" w:space="0" w:color="auto"/>
            </w:tcBorders>
            <w:shd w:val="clear" w:color="auto" w:fill="auto"/>
            <w:vAlign w:val="center"/>
            <w:hideMark/>
          </w:tcPr>
          <w:p w14:paraId="7C77339A" w14:textId="77777777" w:rsidR="00290A8A" w:rsidRPr="00F747E3" w:rsidRDefault="004A7A82">
            <w:pPr>
              <w:jc w:val="center"/>
              <w:rPr>
                <w:color w:val="000000"/>
              </w:rPr>
            </w:pPr>
            <w:r w:rsidRPr="00F747E3">
              <w:rPr>
                <w:color w:val="000000"/>
              </w:rPr>
              <w:t>-1,10</w:t>
            </w:r>
            <w:r w:rsidRPr="00734E71">
              <w:rPr>
                <w:color w:val="000000"/>
              </w:rPr>
              <w:t>2</w:t>
            </w:r>
          </w:p>
        </w:tc>
        <w:tc>
          <w:tcPr>
            <w:tcW w:w="1329" w:type="dxa"/>
            <w:tcBorders>
              <w:top w:val="nil"/>
              <w:left w:val="nil"/>
              <w:bottom w:val="single" w:sz="8" w:space="0" w:color="auto"/>
              <w:right w:val="single" w:sz="8" w:space="0" w:color="auto"/>
            </w:tcBorders>
            <w:shd w:val="clear" w:color="auto" w:fill="auto"/>
            <w:vAlign w:val="center"/>
            <w:hideMark/>
          </w:tcPr>
          <w:p w14:paraId="04039C0D" w14:textId="77777777" w:rsidR="00290A8A" w:rsidRPr="00F747E3" w:rsidRDefault="004A7A82">
            <w:pPr>
              <w:jc w:val="center"/>
              <w:rPr>
                <w:color w:val="000000"/>
              </w:rPr>
            </w:pPr>
            <w:r>
              <w:rPr>
                <w:color w:val="000000"/>
              </w:rPr>
              <w:t>-560</w:t>
            </w:r>
          </w:p>
        </w:tc>
        <w:tc>
          <w:tcPr>
            <w:tcW w:w="1276" w:type="dxa"/>
            <w:tcBorders>
              <w:top w:val="nil"/>
              <w:left w:val="nil"/>
              <w:bottom w:val="single" w:sz="8" w:space="0" w:color="auto"/>
              <w:right w:val="single" w:sz="8" w:space="0" w:color="auto"/>
            </w:tcBorders>
            <w:shd w:val="clear" w:color="auto" w:fill="auto"/>
            <w:vAlign w:val="center"/>
            <w:hideMark/>
          </w:tcPr>
          <w:p w14:paraId="19865101" w14:textId="77777777" w:rsidR="00290A8A" w:rsidRPr="00F747E3" w:rsidRDefault="004A7A82">
            <w:pPr>
              <w:jc w:val="center"/>
              <w:rPr>
                <w:color w:val="000000"/>
              </w:rPr>
            </w:pPr>
            <w:r w:rsidRPr="00F747E3">
              <w:rPr>
                <w:color w:val="000000"/>
              </w:rPr>
              <w:t>-5</w:t>
            </w:r>
            <w:r>
              <w:rPr>
                <w:color w:val="000000"/>
              </w:rPr>
              <w:t>05</w:t>
            </w:r>
          </w:p>
        </w:tc>
        <w:tc>
          <w:tcPr>
            <w:tcW w:w="1276" w:type="dxa"/>
            <w:tcBorders>
              <w:top w:val="nil"/>
              <w:left w:val="nil"/>
              <w:bottom w:val="single" w:sz="8" w:space="0" w:color="auto"/>
              <w:right w:val="single" w:sz="8" w:space="0" w:color="auto"/>
            </w:tcBorders>
            <w:shd w:val="clear" w:color="auto" w:fill="auto"/>
            <w:vAlign w:val="center"/>
            <w:hideMark/>
          </w:tcPr>
          <w:p w14:paraId="50DE4245" w14:textId="77777777" w:rsidR="00290A8A" w:rsidRPr="00F747E3" w:rsidRDefault="004A7A82">
            <w:pPr>
              <w:jc w:val="center"/>
              <w:rPr>
                <w:color w:val="000000"/>
              </w:rPr>
            </w:pPr>
            <w:r w:rsidRPr="00F747E3">
              <w:rPr>
                <w:color w:val="000000"/>
              </w:rPr>
              <w:t>-</w:t>
            </w:r>
            <w:r>
              <w:rPr>
                <w:color w:val="000000"/>
              </w:rPr>
              <w:t>495</w:t>
            </w:r>
          </w:p>
        </w:tc>
      </w:tr>
      <w:tr w:rsidR="00C92CD8" w14:paraId="0BCF01AF" w14:textId="77777777">
        <w:trPr>
          <w:trHeight w:val="315"/>
        </w:trPr>
        <w:tc>
          <w:tcPr>
            <w:tcW w:w="3623" w:type="dxa"/>
            <w:tcBorders>
              <w:top w:val="nil"/>
              <w:left w:val="single" w:sz="8" w:space="0" w:color="auto"/>
              <w:bottom w:val="single" w:sz="8" w:space="0" w:color="auto"/>
              <w:right w:val="single" w:sz="8" w:space="0" w:color="auto"/>
            </w:tcBorders>
            <w:shd w:val="clear" w:color="000000" w:fill="DBE5F1"/>
            <w:vAlign w:val="center"/>
            <w:hideMark/>
          </w:tcPr>
          <w:p w14:paraId="3548AB5A" w14:textId="77777777" w:rsidR="00290A8A" w:rsidRPr="00F747E3" w:rsidRDefault="004A7A82">
            <w:pPr>
              <w:rPr>
                <w:color w:val="000000"/>
              </w:rPr>
            </w:pPr>
            <w:r w:rsidRPr="00F747E3">
              <w:rPr>
                <w:color w:val="000000"/>
              </w:rPr>
              <w:t>Borrowing requirement for capital</w:t>
            </w:r>
          </w:p>
        </w:tc>
        <w:tc>
          <w:tcPr>
            <w:tcW w:w="1275" w:type="dxa"/>
            <w:tcBorders>
              <w:top w:val="nil"/>
              <w:left w:val="nil"/>
              <w:bottom w:val="single" w:sz="8" w:space="0" w:color="auto"/>
              <w:right w:val="single" w:sz="8" w:space="0" w:color="auto"/>
            </w:tcBorders>
            <w:shd w:val="clear" w:color="000000" w:fill="DBE5F1"/>
            <w:vAlign w:val="center"/>
            <w:hideMark/>
          </w:tcPr>
          <w:p w14:paraId="3FE2796E" w14:textId="77777777" w:rsidR="00290A8A" w:rsidRPr="00F747E3" w:rsidRDefault="004A7A82">
            <w:pPr>
              <w:jc w:val="center"/>
              <w:rPr>
                <w:color w:val="000000"/>
              </w:rPr>
            </w:pPr>
            <w:r w:rsidRPr="00F747E3">
              <w:rPr>
                <w:color w:val="000000"/>
              </w:rPr>
              <w:t>-</w:t>
            </w:r>
            <w:r w:rsidRPr="00734E71">
              <w:rPr>
                <w:color w:val="000000"/>
              </w:rPr>
              <w:t>56</w:t>
            </w:r>
          </w:p>
        </w:tc>
        <w:tc>
          <w:tcPr>
            <w:tcW w:w="1329" w:type="dxa"/>
            <w:tcBorders>
              <w:top w:val="nil"/>
              <w:left w:val="nil"/>
              <w:bottom w:val="single" w:sz="8" w:space="0" w:color="auto"/>
              <w:right w:val="single" w:sz="8" w:space="0" w:color="auto"/>
            </w:tcBorders>
            <w:shd w:val="clear" w:color="000000" w:fill="DBE5F1"/>
            <w:vAlign w:val="center"/>
            <w:hideMark/>
          </w:tcPr>
          <w:p w14:paraId="6E5953B7" w14:textId="77777777" w:rsidR="00290A8A" w:rsidRPr="00F747E3" w:rsidRDefault="004A7A82">
            <w:pPr>
              <w:jc w:val="center"/>
              <w:rPr>
                <w:color w:val="000000"/>
              </w:rPr>
            </w:pPr>
            <w:r>
              <w:rPr>
                <w:color w:val="000000"/>
              </w:rPr>
              <w:t>502</w:t>
            </w:r>
          </w:p>
        </w:tc>
        <w:tc>
          <w:tcPr>
            <w:tcW w:w="1276" w:type="dxa"/>
            <w:tcBorders>
              <w:top w:val="nil"/>
              <w:left w:val="nil"/>
              <w:bottom w:val="single" w:sz="8" w:space="0" w:color="auto"/>
              <w:right w:val="single" w:sz="8" w:space="0" w:color="auto"/>
            </w:tcBorders>
            <w:shd w:val="clear" w:color="000000" w:fill="DBE5F1"/>
            <w:vAlign w:val="center"/>
            <w:hideMark/>
          </w:tcPr>
          <w:p w14:paraId="73ED7CC0" w14:textId="77777777" w:rsidR="00290A8A" w:rsidRPr="00F747E3" w:rsidRDefault="004A7A82">
            <w:pPr>
              <w:jc w:val="center"/>
              <w:rPr>
                <w:color w:val="000000"/>
              </w:rPr>
            </w:pPr>
            <w:r>
              <w:rPr>
                <w:color w:val="000000"/>
              </w:rPr>
              <w:t>572</w:t>
            </w:r>
          </w:p>
        </w:tc>
        <w:tc>
          <w:tcPr>
            <w:tcW w:w="1276" w:type="dxa"/>
            <w:tcBorders>
              <w:top w:val="nil"/>
              <w:left w:val="nil"/>
              <w:bottom w:val="single" w:sz="8" w:space="0" w:color="auto"/>
              <w:right w:val="single" w:sz="8" w:space="0" w:color="auto"/>
            </w:tcBorders>
            <w:shd w:val="clear" w:color="000000" w:fill="DBE5F1"/>
            <w:vAlign w:val="center"/>
            <w:hideMark/>
          </w:tcPr>
          <w:p w14:paraId="78D7D9E4" w14:textId="77777777" w:rsidR="00290A8A" w:rsidRPr="00F747E3" w:rsidRDefault="004A7A82">
            <w:pPr>
              <w:jc w:val="center"/>
              <w:rPr>
                <w:color w:val="000000"/>
              </w:rPr>
            </w:pPr>
            <w:r>
              <w:rPr>
                <w:color w:val="000000"/>
              </w:rPr>
              <w:t>598</w:t>
            </w:r>
          </w:p>
        </w:tc>
      </w:tr>
      <w:tr w:rsidR="00C92CD8" w14:paraId="43674F55" w14:textId="77777777">
        <w:trPr>
          <w:trHeight w:val="315"/>
        </w:trPr>
        <w:tc>
          <w:tcPr>
            <w:tcW w:w="3623" w:type="dxa"/>
            <w:tcBorders>
              <w:top w:val="nil"/>
              <w:left w:val="single" w:sz="8" w:space="0" w:color="auto"/>
              <w:bottom w:val="single" w:sz="8" w:space="0" w:color="auto"/>
              <w:right w:val="single" w:sz="8" w:space="0" w:color="auto"/>
            </w:tcBorders>
            <w:shd w:val="clear" w:color="auto" w:fill="auto"/>
            <w:vAlign w:val="center"/>
            <w:hideMark/>
          </w:tcPr>
          <w:p w14:paraId="1F8041CF" w14:textId="77777777" w:rsidR="00290A8A" w:rsidRPr="00F747E3" w:rsidRDefault="004A7A82">
            <w:pPr>
              <w:rPr>
                <w:color w:val="000000"/>
              </w:rPr>
            </w:pPr>
            <w:r w:rsidRPr="00F747E3">
              <w:rPr>
                <w:color w:val="000000"/>
              </w:rPr>
              <w:t>Other borrowing requirements*</w:t>
            </w:r>
          </w:p>
        </w:tc>
        <w:tc>
          <w:tcPr>
            <w:tcW w:w="1275" w:type="dxa"/>
            <w:tcBorders>
              <w:top w:val="nil"/>
              <w:left w:val="nil"/>
              <w:bottom w:val="single" w:sz="8" w:space="0" w:color="auto"/>
              <w:right w:val="single" w:sz="8" w:space="0" w:color="auto"/>
            </w:tcBorders>
            <w:shd w:val="clear" w:color="auto" w:fill="auto"/>
            <w:vAlign w:val="center"/>
            <w:hideMark/>
          </w:tcPr>
          <w:p w14:paraId="166974A0" w14:textId="77777777" w:rsidR="00290A8A" w:rsidRPr="00F747E3" w:rsidRDefault="004A7A82">
            <w:pPr>
              <w:jc w:val="center"/>
              <w:rPr>
                <w:color w:val="000000"/>
              </w:rPr>
            </w:pPr>
            <w:r w:rsidRPr="00734E71">
              <w:rPr>
                <w:color w:val="000000"/>
              </w:rPr>
              <w:t>73</w:t>
            </w:r>
          </w:p>
        </w:tc>
        <w:tc>
          <w:tcPr>
            <w:tcW w:w="1329" w:type="dxa"/>
            <w:tcBorders>
              <w:top w:val="nil"/>
              <w:left w:val="nil"/>
              <w:bottom w:val="single" w:sz="8" w:space="0" w:color="auto"/>
              <w:right w:val="single" w:sz="8" w:space="0" w:color="auto"/>
            </w:tcBorders>
            <w:shd w:val="clear" w:color="auto" w:fill="auto"/>
            <w:vAlign w:val="center"/>
            <w:hideMark/>
          </w:tcPr>
          <w:p w14:paraId="66ABCA1B" w14:textId="77777777" w:rsidR="00290A8A" w:rsidRPr="00F747E3" w:rsidRDefault="004A7A82">
            <w:pPr>
              <w:jc w:val="center"/>
              <w:rPr>
                <w:color w:val="000000"/>
              </w:rPr>
            </w:pPr>
            <w:r w:rsidRPr="00734E71">
              <w:rPr>
                <w:color w:val="000000"/>
              </w:rPr>
              <w:t>69</w:t>
            </w:r>
          </w:p>
        </w:tc>
        <w:tc>
          <w:tcPr>
            <w:tcW w:w="1276" w:type="dxa"/>
            <w:tcBorders>
              <w:top w:val="nil"/>
              <w:left w:val="nil"/>
              <w:bottom w:val="single" w:sz="8" w:space="0" w:color="auto"/>
              <w:right w:val="single" w:sz="8" w:space="0" w:color="auto"/>
            </w:tcBorders>
            <w:shd w:val="clear" w:color="auto" w:fill="auto"/>
            <w:vAlign w:val="center"/>
            <w:hideMark/>
          </w:tcPr>
          <w:p w14:paraId="67755F8C" w14:textId="77777777" w:rsidR="00290A8A" w:rsidRPr="00F747E3" w:rsidRDefault="004A7A82">
            <w:pPr>
              <w:jc w:val="center"/>
              <w:rPr>
                <w:color w:val="000000"/>
              </w:rPr>
            </w:pPr>
            <w:r w:rsidRPr="00734E71">
              <w:rPr>
                <w:color w:val="000000"/>
              </w:rPr>
              <w:t>65</w:t>
            </w:r>
          </w:p>
        </w:tc>
        <w:tc>
          <w:tcPr>
            <w:tcW w:w="1276" w:type="dxa"/>
            <w:tcBorders>
              <w:top w:val="nil"/>
              <w:left w:val="nil"/>
              <w:bottom w:val="single" w:sz="8" w:space="0" w:color="auto"/>
              <w:right w:val="single" w:sz="8" w:space="0" w:color="auto"/>
            </w:tcBorders>
            <w:shd w:val="clear" w:color="auto" w:fill="auto"/>
            <w:vAlign w:val="center"/>
            <w:hideMark/>
          </w:tcPr>
          <w:p w14:paraId="1CDF73B9" w14:textId="77777777" w:rsidR="00290A8A" w:rsidRPr="00F747E3" w:rsidRDefault="004A7A82">
            <w:pPr>
              <w:jc w:val="center"/>
              <w:rPr>
                <w:color w:val="000000"/>
              </w:rPr>
            </w:pPr>
            <w:r w:rsidRPr="00F747E3">
              <w:rPr>
                <w:color w:val="000000"/>
              </w:rPr>
              <w:t>6</w:t>
            </w:r>
            <w:r>
              <w:rPr>
                <w:color w:val="000000"/>
              </w:rPr>
              <w:t>0</w:t>
            </w:r>
          </w:p>
        </w:tc>
      </w:tr>
      <w:tr w:rsidR="00C92CD8" w14:paraId="5851DDCF" w14:textId="77777777">
        <w:trPr>
          <w:trHeight w:val="315"/>
        </w:trPr>
        <w:tc>
          <w:tcPr>
            <w:tcW w:w="3623" w:type="dxa"/>
            <w:tcBorders>
              <w:top w:val="nil"/>
              <w:left w:val="single" w:sz="8" w:space="0" w:color="auto"/>
              <w:bottom w:val="single" w:sz="8" w:space="0" w:color="auto"/>
              <w:right w:val="single" w:sz="8" w:space="0" w:color="auto"/>
            </w:tcBorders>
            <w:shd w:val="clear" w:color="auto" w:fill="auto"/>
            <w:vAlign w:val="center"/>
            <w:hideMark/>
          </w:tcPr>
          <w:p w14:paraId="6D5B4286" w14:textId="77777777" w:rsidR="00290A8A" w:rsidRPr="00F747E3" w:rsidRDefault="004A7A82">
            <w:pPr>
              <w:rPr>
                <w:color w:val="000000"/>
              </w:rPr>
            </w:pPr>
            <w:r w:rsidRPr="00F747E3">
              <w:rPr>
                <w:color w:val="000000"/>
              </w:rPr>
              <w:t>Reserves and working capital</w:t>
            </w:r>
          </w:p>
        </w:tc>
        <w:tc>
          <w:tcPr>
            <w:tcW w:w="1275" w:type="dxa"/>
            <w:tcBorders>
              <w:top w:val="nil"/>
              <w:left w:val="nil"/>
              <w:bottom w:val="single" w:sz="8" w:space="0" w:color="auto"/>
              <w:right w:val="single" w:sz="8" w:space="0" w:color="auto"/>
            </w:tcBorders>
            <w:shd w:val="clear" w:color="auto" w:fill="auto"/>
            <w:vAlign w:val="center"/>
            <w:hideMark/>
          </w:tcPr>
          <w:p w14:paraId="6113F5EE" w14:textId="77777777" w:rsidR="00290A8A" w:rsidRPr="00F747E3" w:rsidRDefault="004A7A82">
            <w:pPr>
              <w:jc w:val="center"/>
              <w:rPr>
                <w:color w:val="000000"/>
              </w:rPr>
            </w:pPr>
            <w:r w:rsidRPr="00F747E3">
              <w:rPr>
                <w:color w:val="000000"/>
              </w:rPr>
              <w:t>-550</w:t>
            </w:r>
          </w:p>
        </w:tc>
        <w:tc>
          <w:tcPr>
            <w:tcW w:w="1329" w:type="dxa"/>
            <w:tcBorders>
              <w:top w:val="nil"/>
              <w:left w:val="nil"/>
              <w:bottom w:val="single" w:sz="8" w:space="0" w:color="auto"/>
              <w:right w:val="single" w:sz="8" w:space="0" w:color="auto"/>
            </w:tcBorders>
            <w:shd w:val="clear" w:color="auto" w:fill="auto"/>
            <w:vAlign w:val="center"/>
            <w:hideMark/>
          </w:tcPr>
          <w:p w14:paraId="55CE90FD" w14:textId="77777777" w:rsidR="00290A8A" w:rsidRPr="00F747E3" w:rsidRDefault="004A7A82">
            <w:pPr>
              <w:jc w:val="center"/>
              <w:rPr>
                <w:color w:val="000000"/>
              </w:rPr>
            </w:pPr>
            <w:r w:rsidRPr="00F747E3">
              <w:rPr>
                <w:color w:val="000000"/>
              </w:rPr>
              <w:t>-550</w:t>
            </w:r>
          </w:p>
        </w:tc>
        <w:tc>
          <w:tcPr>
            <w:tcW w:w="1276" w:type="dxa"/>
            <w:tcBorders>
              <w:top w:val="nil"/>
              <w:left w:val="nil"/>
              <w:bottom w:val="single" w:sz="8" w:space="0" w:color="auto"/>
              <w:right w:val="single" w:sz="8" w:space="0" w:color="auto"/>
            </w:tcBorders>
            <w:shd w:val="clear" w:color="auto" w:fill="auto"/>
            <w:vAlign w:val="center"/>
            <w:hideMark/>
          </w:tcPr>
          <w:p w14:paraId="709D1878" w14:textId="77777777" w:rsidR="00290A8A" w:rsidRPr="00F747E3" w:rsidRDefault="004A7A82">
            <w:pPr>
              <w:jc w:val="center"/>
              <w:rPr>
                <w:color w:val="000000"/>
              </w:rPr>
            </w:pPr>
            <w:r w:rsidRPr="00F747E3">
              <w:rPr>
                <w:color w:val="000000"/>
              </w:rPr>
              <w:t>-550</w:t>
            </w:r>
          </w:p>
        </w:tc>
        <w:tc>
          <w:tcPr>
            <w:tcW w:w="1276" w:type="dxa"/>
            <w:tcBorders>
              <w:top w:val="nil"/>
              <w:left w:val="nil"/>
              <w:bottom w:val="single" w:sz="8" w:space="0" w:color="auto"/>
              <w:right w:val="single" w:sz="8" w:space="0" w:color="auto"/>
            </w:tcBorders>
            <w:shd w:val="clear" w:color="auto" w:fill="auto"/>
            <w:vAlign w:val="center"/>
            <w:hideMark/>
          </w:tcPr>
          <w:p w14:paraId="55C09646" w14:textId="77777777" w:rsidR="00290A8A" w:rsidRPr="00F747E3" w:rsidRDefault="004A7A82">
            <w:pPr>
              <w:jc w:val="center"/>
              <w:rPr>
                <w:color w:val="000000"/>
              </w:rPr>
            </w:pPr>
            <w:r w:rsidRPr="00F747E3">
              <w:rPr>
                <w:color w:val="000000"/>
              </w:rPr>
              <w:t>-550</w:t>
            </w:r>
          </w:p>
        </w:tc>
      </w:tr>
      <w:tr w:rsidR="00C92CD8" w14:paraId="61325D76" w14:textId="77777777">
        <w:trPr>
          <w:trHeight w:val="315"/>
        </w:trPr>
        <w:tc>
          <w:tcPr>
            <w:tcW w:w="3623" w:type="dxa"/>
            <w:tcBorders>
              <w:top w:val="nil"/>
              <w:left w:val="single" w:sz="8" w:space="0" w:color="auto"/>
              <w:bottom w:val="single" w:sz="8" w:space="0" w:color="auto"/>
              <w:right w:val="single" w:sz="8" w:space="0" w:color="auto"/>
            </w:tcBorders>
            <w:shd w:val="clear" w:color="000000" w:fill="DBE5F1"/>
            <w:vAlign w:val="center"/>
            <w:hideMark/>
          </w:tcPr>
          <w:p w14:paraId="57B73AFE" w14:textId="77777777" w:rsidR="00290A8A" w:rsidRPr="00F747E3" w:rsidRDefault="004A7A82">
            <w:pPr>
              <w:rPr>
                <w:color w:val="000000"/>
              </w:rPr>
            </w:pPr>
            <w:r w:rsidRPr="00F747E3">
              <w:rPr>
                <w:color w:val="000000"/>
              </w:rPr>
              <w:t xml:space="preserve">Borrowing/ - Investment need </w:t>
            </w:r>
          </w:p>
        </w:tc>
        <w:tc>
          <w:tcPr>
            <w:tcW w:w="1275" w:type="dxa"/>
            <w:tcBorders>
              <w:top w:val="nil"/>
              <w:left w:val="nil"/>
              <w:bottom w:val="single" w:sz="8" w:space="0" w:color="auto"/>
              <w:right w:val="single" w:sz="8" w:space="0" w:color="auto"/>
            </w:tcBorders>
            <w:shd w:val="clear" w:color="000000" w:fill="DBE5F1"/>
            <w:vAlign w:val="center"/>
            <w:hideMark/>
          </w:tcPr>
          <w:p w14:paraId="2B5F1896" w14:textId="77777777" w:rsidR="00290A8A" w:rsidRPr="00F747E3" w:rsidRDefault="004A7A82">
            <w:pPr>
              <w:jc w:val="center"/>
              <w:rPr>
                <w:color w:val="000000"/>
              </w:rPr>
            </w:pPr>
            <w:r w:rsidRPr="00F747E3">
              <w:rPr>
                <w:color w:val="000000"/>
              </w:rPr>
              <w:t>-5</w:t>
            </w:r>
            <w:r w:rsidRPr="00734E71">
              <w:rPr>
                <w:color w:val="000000"/>
              </w:rPr>
              <w:t>33</w:t>
            </w:r>
          </w:p>
        </w:tc>
        <w:tc>
          <w:tcPr>
            <w:tcW w:w="1329" w:type="dxa"/>
            <w:tcBorders>
              <w:top w:val="nil"/>
              <w:left w:val="nil"/>
              <w:bottom w:val="single" w:sz="8" w:space="0" w:color="auto"/>
              <w:right w:val="single" w:sz="8" w:space="0" w:color="auto"/>
            </w:tcBorders>
            <w:shd w:val="clear" w:color="000000" w:fill="DBE5F1"/>
            <w:vAlign w:val="center"/>
            <w:hideMark/>
          </w:tcPr>
          <w:p w14:paraId="7A3F050F" w14:textId="77777777" w:rsidR="00290A8A" w:rsidRPr="00F747E3" w:rsidRDefault="004A7A82">
            <w:pPr>
              <w:jc w:val="center"/>
              <w:rPr>
                <w:color w:val="000000"/>
              </w:rPr>
            </w:pPr>
            <w:r w:rsidRPr="00734E71">
              <w:rPr>
                <w:color w:val="000000"/>
              </w:rPr>
              <w:t>21</w:t>
            </w:r>
          </w:p>
        </w:tc>
        <w:tc>
          <w:tcPr>
            <w:tcW w:w="1276" w:type="dxa"/>
            <w:tcBorders>
              <w:top w:val="nil"/>
              <w:left w:val="nil"/>
              <w:bottom w:val="single" w:sz="8" w:space="0" w:color="auto"/>
              <w:right w:val="single" w:sz="8" w:space="0" w:color="auto"/>
            </w:tcBorders>
            <w:shd w:val="clear" w:color="000000" w:fill="DBE5F1"/>
            <w:vAlign w:val="center"/>
            <w:hideMark/>
          </w:tcPr>
          <w:p w14:paraId="5EB21718" w14:textId="77777777" w:rsidR="00290A8A" w:rsidRPr="00F747E3" w:rsidRDefault="004A7A82">
            <w:pPr>
              <w:jc w:val="center"/>
              <w:rPr>
                <w:color w:val="000000"/>
              </w:rPr>
            </w:pPr>
            <w:r w:rsidRPr="00734E71">
              <w:rPr>
                <w:color w:val="000000"/>
              </w:rPr>
              <w:t>87</w:t>
            </w:r>
          </w:p>
        </w:tc>
        <w:tc>
          <w:tcPr>
            <w:tcW w:w="1276" w:type="dxa"/>
            <w:tcBorders>
              <w:top w:val="nil"/>
              <w:left w:val="nil"/>
              <w:bottom w:val="single" w:sz="8" w:space="0" w:color="auto"/>
              <w:right w:val="single" w:sz="8" w:space="0" w:color="auto"/>
            </w:tcBorders>
            <w:shd w:val="clear" w:color="000000" w:fill="DBE5F1"/>
            <w:vAlign w:val="center"/>
            <w:hideMark/>
          </w:tcPr>
          <w:p w14:paraId="712CDD4A" w14:textId="77777777" w:rsidR="00290A8A" w:rsidRPr="00F747E3" w:rsidRDefault="004A7A82">
            <w:pPr>
              <w:jc w:val="center"/>
              <w:rPr>
                <w:color w:val="000000"/>
              </w:rPr>
            </w:pPr>
            <w:r w:rsidRPr="00734E71">
              <w:rPr>
                <w:color w:val="000000"/>
              </w:rPr>
              <w:t>108</w:t>
            </w:r>
          </w:p>
        </w:tc>
      </w:tr>
    </w:tbl>
    <w:p w14:paraId="64386230" w14:textId="77777777" w:rsidR="00290A8A" w:rsidRPr="00F747E3" w:rsidRDefault="004A7A82" w:rsidP="00290A8A">
      <w:pPr>
        <w:jc w:val="both"/>
        <w:rPr>
          <w:bCs/>
          <w:sz w:val="20"/>
          <w:szCs w:val="20"/>
        </w:rPr>
      </w:pPr>
      <w:r w:rsidRPr="00F747E3">
        <w:rPr>
          <w:bCs/>
          <w:sz w:val="20"/>
          <w:szCs w:val="20"/>
        </w:rPr>
        <w:t xml:space="preserve">* </w:t>
      </w:r>
      <w:proofErr w:type="gramStart"/>
      <w:r w:rsidRPr="00F747E3">
        <w:rPr>
          <w:bCs/>
          <w:sz w:val="20"/>
          <w:szCs w:val="20"/>
        </w:rPr>
        <w:t>debt</w:t>
      </w:r>
      <w:proofErr w:type="gramEnd"/>
      <w:r w:rsidRPr="00F747E3">
        <w:rPr>
          <w:bCs/>
          <w:sz w:val="20"/>
          <w:szCs w:val="20"/>
        </w:rPr>
        <w:t xml:space="preserve"> held on behalf other local authorities and premiums</w:t>
      </w:r>
    </w:p>
    <w:p w14:paraId="621BC1F9" w14:textId="77777777" w:rsidR="00290A8A" w:rsidRPr="00734E71" w:rsidRDefault="00290A8A" w:rsidP="00290A8A">
      <w:pPr>
        <w:jc w:val="both"/>
        <w:rPr>
          <w:bCs/>
          <w:sz w:val="20"/>
          <w:szCs w:val="20"/>
        </w:rPr>
      </w:pPr>
    </w:p>
    <w:p w14:paraId="5DED54EE" w14:textId="77777777" w:rsidR="00290A8A" w:rsidRPr="00843844" w:rsidRDefault="004A7A82" w:rsidP="00290A8A">
      <w:pPr>
        <w:jc w:val="both"/>
        <w:rPr>
          <w:bCs/>
        </w:rPr>
      </w:pPr>
      <w:r w:rsidRPr="00843844">
        <w:rPr>
          <w:bCs/>
        </w:rPr>
        <w:t>The table above shows that there is an identified need for borrowing from 2024/25 if all reserves are cash backed which is the general policy adopted by the county council. However, an alternative would be to use internal reserves which is demonstrated by the liability benchmark which is a proposed indicator in the Prudential Code.</w:t>
      </w:r>
    </w:p>
    <w:p w14:paraId="74E028BE" w14:textId="77777777" w:rsidR="00290A8A" w:rsidRPr="0002442F" w:rsidRDefault="00290A8A" w:rsidP="00290A8A">
      <w:pPr>
        <w:jc w:val="both"/>
        <w:rPr>
          <w:bCs/>
          <w:highlight w:val="yellow"/>
        </w:rPr>
      </w:pPr>
    </w:p>
    <w:p w14:paraId="5687EBA5" w14:textId="77777777" w:rsidR="00290A8A" w:rsidRPr="00D618D1" w:rsidRDefault="004A7A82" w:rsidP="00290A8A">
      <w:pPr>
        <w:jc w:val="both"/>
        <w:rPr>
          <w:b/>
        </w:rPr>
      </w:pPr>
      <w:r w:rsidRPr="00D618D1">
        <w:rPr>
          <w:b/>
        </w:rPr>
        <w:t>Liability benchmark</w:t>
      </w:r>
    </w:p>
    <w:p w14:paraId="37680510" w14:textId="77777777" w:rsidR="00290A8A" w:rsidRPr="00D618D1" w:rsidRDefault="00290A8A" w:rsidP="00290A8A">
      <w:pPr>
        <w:jc w:val="both"/>
        <w:rPr>
          <w:b/>
        </w:rPr>
      </w:pPr>
    </w:p>
    <w:p w14:paraId="2C9714C6" w14:textId="77777777" w:rsidR="00290A8A" w:rsidRPr="00D618D1" w:rsidRDefault="004A7A82" w:rsidP="00290A8A">
      <w:pPr>
        <w:jc w:val="both"/>
        <w:rPr>
          <w:rFonts w:ascii="Trebuchet MS" w:hAnsi="Trebuchet MS"/>
          <w:sz w:val="20"/>
          <w:szCs w:val="20"/>
        </w:rPr>
      </w:pPr>
      <w:r w:rsidRPr="00D618D1">
        <w:t>To compare the Council’s actual borrowing against an alternative strategy, a liability benchmark has been calculated showing the lowest risk level of borrowing. This assumes the same forecasts as the table above, but that cash and investment balances are kept to a minimum level of £50m at each year-end to maintain sufficient liquidity. The liability benchmark is shown in the graph below:</w:t>
      </w:r>
    </w:p>
    <w:p w14:paraId="3B04C13A" w14:textId="77777777" w:rsidR="00290A8A" w:rsidRDefault="00290A8A" w:rsidP="00290A8A">
      <w:pPr>
        <w:jc w:val="both"/>
        <w:rPr>
          <w:highlight w:val="yellow"/>
        </w:rPr>
      </w:pPr>
    </w:p>
    <w:p w14:paraId="4075AAFB" w14:textId="77777777" w:rsidR="00290A8A" w:rsidRPr="0002442F" w:rsidRDefault="004A7A82" w:rsidP="00290A8A">
      <w:pPr>
        <w:jc w:val="both"/>
        <w:rPr>
          <w:highlight w:val="yellow"/>
        </w:rPr>
      </w:pPr>
      <w:r>
        <w:rPr>
          <w:noProof/>
        </w:rPr>
        <w:lastRenderedPageBreak/>
        <w:drawing>
          <wp:inline distT="0" distB="0" distL="0" distR="0">
            <wp:extent cx="6288258" cy="3052689"/>
            <wp:effectExtent l="0" t="0" r="17780" b="14605"/>
            <wp:docPr id="7" name="Chart 7">
              <a:extLst xmlns:a="http://schemas.openxmlformats.org/drawingml/2006/main">
                <a:ext uri="{FF2B5EF4-FFF2-40B4-BE49-F238E27FC236}">
                  <a16:creationId xmlns:a16="http://schemas.microsoft.com/office/drawing/2014/main" id="{E76F2DE5-BE20-42CA-8C6B-5A9E93756F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D2D4203" w14:textId="77777777" w:rsidR="00290A8A" w:rsidRPr="0002442F" w:rsidRDefault="00290A8A" w:rsidP="00290A8A">
      <w:pPr>
        <w:jc w:val="both"/>
        <w:rPr>
          <w:highlight w:val="yellow"/>
        </w:rPr>
      </w:pPr>
    </w:p>
    <w:p w14:paraId="4C4A5D55" w14:textId="77777777" w:rsidR="00290A8A" w:rsidRPr="00734E71" w:rsidRDefault="004A7A82" w:rsidP="00290A8A">
      <w:pPr>
        <w:jc w:val="both"/>
        <w:rPr>
          <w:color w:val="58B6C0" w:themeColor="accent2"/>
          <w:highlight w:val="yellow"/>
        </w:rPr>
      </w:pPr>
      <w:r w:rsidRPr="00F747E3">
        <w:t xml:space="preserve">The liability benchmark graph above shows that although the existing debt falls below the CFR it would be above the liability benchmark until </w:t>
      </w:r>
      <w:r>
        <w:t>March 20</w:t>
      </w:r>
      <w:r w:rsidRPr="00F747E3">
        <w:t xml:space="preserve">25. This suggests that that there is </w:t>
      </w:r>
      <w:proofErr w:type="gramStart"/>
      <w:r w:rsidRPr="00F747E3">
        <w:t xml:space="preserve">actually </w:t>
      </w:r>
      <w:r>
        <w:t>only</w:t>
      </w:r>
      <w:proofErr w:type="gramEnd"/>
      <w:r>
        <w:t xml:space="preserve"> a small amount of</w:t>
      </w:r>
      <w:r w:rsidRPr="00F747E3">
        <w:t xml:space="preserve"> borrowing</w:t>
      </w:r>
      <w:r>
        <w:t>s (£21m) required</w:t>
      </w:r>
      <w:r w:rsidRPr="00F747E3">
        <w:t xml:space="preserve"> in 202</w:t>
      </w:r>
      <w:r>
        <w:t>4/25</w:t>
      </w:r>
      <w:r w:rsidRPr="00734E71">
        <w:t xml:space="preserve"> </w:t>
      </w:r>
      <w:r>
        <w:t xml:space="preserve">if </w:t>
      </w:r>
      <w:r w:rsidRPr="00F747E3">
        <w:t xml:space="preserve">investments </w:t>
      </w:r>
      <w:r>
        <w:t xml:space="preserve">were </w:t>
      </w:r>
      <w:r w:rsidRPr="00F747E3">
        <w:t>reduced to meet the cash flow requirements. It is also worth noting that even when the debt falls below the benchmark it is for a relatively short period (up to 10 years) and that in the longer-term current debt is already above the benchmark which implies that any new borrowing in</w:t>
      </w:r>
      <w:r>
        <w:t>-</w:t>
      </w:r>
      <w:r w:rsidRPr="00F747E3">
        <w:t xml:space="preserve">line with the liability benchmark should be of a </w:t>
      </w:r>
      <w:proofErr w:type="gramStart"/>
      <w:r w:rsidRPr="00F747E3">
        <w:t>fairly short</w:t>
      </w:r>
      <w:proofErr w:type="gramEnd"/>
      <w:r w:rsidRPr="00F747E3">
        <w:t xml:space="preserve"> duration. </w:t>
      </w:r>
      <w:r>
        <w:t>To be clear, this analysis includes</w:t>
      </w:r>
      <w:r w:rsidRPr="00F747E3">
        <w:t xml:space="preserve"> no future Capital Programme borrowing beyond the next three years</w:t>
      </w:r>
      <w:r>
        <w:t>.</w:t>
      </w:r>
      <w:r w:rsidRPr="00F747E3">
        <w:t xml:space="preserve"> </w:t>
      </w:r>
    </w:p>
    <w:p w14:paraId="5BEB639D" w14:textId="77777777" w:rsidR="00290A8A" w:rsidRPr="00734E71" w:rsidRDefault="00290A8A" w:rsidP="00290A8A">
      <w:pPr>
        <w:rPr>
          <w:b/>
          <w:sz w:val="28"/>
          <w:szCs w:val="28"/>
          <w:highlight w:val="yellow"/>
        </w:rPr>
      </w:pPr>
    </w:p>
    <w:p w14:paraId="4AAF1AFA" w14:textId="77777777" w:rsidR="00290A8A" w:rsidRPr="00665042" w:rsidRDefault="004A7A82" w:rsidP="00290A8A">
      <w:pPr>
        <w:rPr>
          <w:b/>
        </w:rPr>
      </w:pPr>
      <w:r w:rsidRPr="00665042">
        <w:rPr>
          <w:b/>
        </w:rPr>
        <w:t>Borrowing Strategy</w:t>
      </w:r>
    </w:p>
    <w:p w14:paraId="3AAAB360" w14:textId="77777777" w:rsidR="00290A8A" w:rsidRPr="00734E71" w:rsidRDefault="00290A8A" w:rsidP="00290A8A">
      <w:pPr>
        <w:rPr>
          <w:b/>
          <w:sz w:val="28"/>
          <w:szCs w:val="28"/>
        </w:rPr>
      </w:pPr>
    </w:p>
    <w:p w14:paraId="41B03973" w14:textId="77777777" w:rsidR="00290A8A" w:rsidRPr="00734E71" w:rsidRDefault="004A7A82" w:rsidP="00290A8A">
      <w:pPr>
        <w:jc w:val="both"/>
        <w:rPr>
          <w:bCs/>
        </w:rPr>
      </w:pPr>
      <w:r w:rsidRPr="00C9492E">
        <w:rPr>
          <w:bCs/>
        </w:rPr>
        <w:t xml:space="preserve">As indicated earlier in the report there is a current borrowing holding of £1,279m. It has been noted that under the liability benchmark model there is probably </w:t>
      </w:r>
      <w:r>
        <w:rPr>
          <w:bCs/>
        </w:rPr>
        <w:t xml:space="preserve">limited </w:t>
      </w:r>
      <w:r w:rsidRPr="00C9492E">
        <w:rPr>
          <w:bCs/>
        </w:rPr>
        <w:t xml:space="preserve">need to </w:t>
      </w:r>
      <w:r w:rsidRPr="00734E71">
        <w:rPr>
          <w:bCs/>
        </w:rPr>
        <w:t xml:space="preserve">further </w:t>
      </w:r>
      <w:r w:rsidRPr="00C9492E">
        <w:rPr>
          <w:bCs/>
        </w:rPr>
        <w:t>borrow in 202</w:t>
      </w:r>
      <w:r>
        <w:rPr>
          <w:bCs/>
        </w:rPr>
        <w:t>4</w:t>
      </w:r>
      <w:r w:rsidRPr="00734E71">
        <w:rPr>
          <w:bCs/>
        </w:rPr>
        <w:t>/2</w:t>
      </w:r>
      <w:r>
        <w:rPr>
          <w:bCs/>
        </w:rPr>
        <w:t>5</w:t>
      </w:r>
      <w:r w:rsidRPr="00734E71">
        <w:rPr>
          <w:bCs/>
        </w:rPr>
        <w:t xml:space="preserve"> </w:t>
      </w:r>
      <w:r w:rsidRPr="00C9492E">
        <w:rPr>
          <w:bCs/>
        </w:rPr>
        <w:t>to meet the capital needs in the year. However, this is only one model for treasury management. Alternatively, the council can maintain a level of investments and look to borrow to cover its capital needs. With the impact of new capital schemes in the programme and the need to replace maturing debt there is an estimated borrowing requirement of approximately £</w:t>
      </w:r>
      <w:r w:rsidRPr="00734E71">
        <w:rPr>
          <w:bCs/>
        </w:rPr>
        <w:t>571</w:t>
      </w:r>
      <w:r w:rsidRPr="00C9492E">
        <w:rPr>
          <w:bCs/>
        </w:rPr>
        <w:t>m in 2024/25.</w:t>
      </w:r>
    </w:p>
    <w:p w14:paraId="2098C6DF" w14:textId="77777777" w:rsidR="00290A8A" w:rsidRPr="00734E71" w:rsidRDefault="00290A8A" w:rsidP="00290A8A">
      <w:pPr>
        <w:rPr>
          <w:bCs/>
        </w:rPr>
      </w:pPr>
    </w:p>
    <w:p w14:paraId="2012278A" w14:textId="77777777" w:rsidR="00290A8A" w:rsidRPr="00C9492E" w:rsidRDefault="004A7A82" w:rsidP="00290A8A">
      <w:pPr>
        <w:jc w:val="both"/>
      </w:pPr>
      <w:r w:rsidRPr="00C9492E">
        <w:t>The borrowing strategy will be determined by the impact of the economic climate on the prevailing cost and availability of borrowing and the level at which it is considered appropriate to maintain investments. The council will continue to ensure the borrowing needs are met while balancing the aims to keep net costs as low as possible in the short term and providing certainty of cost over the long term.</w:t>
      </w:r>
    </w:p>
    <w:p w14:paraId="73839A64" w14:textId="77777777" w:rsidR="00290A8A" w:rsidRPr="00734E71" w:rsidRDefault="00290A8A" w:rsidP="00290A8A">
      <w:pPr>
        <w:jc w:val="both"/>
        <w:rPr>
          <w:highlight w:val="yellow"/>
        </w:rPr>
      </w:pPr>
    </w:p>
    <w:p w14:paraId="1AC6F68D" w14:textId="77777777" w:rsidR="00290A8A" w:rsidRPr="00BD218E" w:rsidRDefault="004A7A82" w:rsidP="00290A8A">
      <w:pPr>
        <w:jc w:val="both"/>
      </w:pPr>
      <w:r>
        <w:t>I</w:t>
      </w:r>
      <w:r w:rsidRPr="00BD218E">
        <w:t xml:space="preserve">n the last couple of </w:t>
      </w:r>
      <w:proofErr w:type="gramStart"/>
      <w:r w:rsidRPr="00BD218E">
        <w:t>years</w:t>
      </w:r>
      <w:proofErr w:type="gramEnd"/>
      <w:r w:rsidRPr="00BD218E">
        <w:t xml:space="preserve"> the council has moved to secure greater certainty of costs and reduce the re-financing risk in its debt portfolio by taking some long-term debt including the issuance of a 40-year bond. This has resulted in the long-term debt exceeding the estimated CFR. It is anticipated that there will be new borrowing to fund capital programmes beyond that currently approved which will increase the overall </w:t>
      </w:r>
      <w:r w:rsidRPr="00BD218E">
        <w:lastRenderedPageBreak/>
        <w:t>need and therefore the apparent borrowing above need is not considered to be a problem. However, it does mean that any longer-term debt taken is likely to be for maturity in 10-20 years.</w:t>
      </w:r>
    </w:p>
    <w:p w14:paraId="5DED3B63" w14:textId="77777777" w:rsidR="00290A8A" w:rsidRPr="00BD218E" w:rsidRDefault="00290A8A" w:rsidP="00290A8A">
      <w:pPr>
        <w:pStyle w:val="ListParagraph"/>
        <w:jc w:val="both"/>
      </w:pPr>
    </w:p>
    <w:p w14:paraId="710C3FB2" w14:textId="77777777" w:rsidR="00290A8A" w:rsidRPr="00BD218E" w:rsidRDefault="004A7A82" w:rsidP="00290A8A">
      <w:pPr>
        <w:jc w:val="both"/>
      </w:pPr>
      <w:r w:rsidRPr="00BD218E">
        <w:t xml:space="preserve">There are a range of options available for borrowing in 2024/25: </w:t>
      </w:r>
    </w:p>
    <w:p w14:paraId="7DF47DBB" w14:textId="77777777" w:rsidR="00290A8A" w:rsidRPr="00BD218E" w:rsidRDefault="004A7A82" w:rsidP="005838A0">
      <w:pPr>
        <w:pStyle w:val="ListParagraph"/>
        <w:numPr>
          <w:ilvl w:val="0"/>
          <w:numId w:val="38"/>
        </w:numPr>
        <w:spacing w:after="240"/>
        <w:jc w:val="both"/>
      </w:pPr>
      <w:r w:rsidRPr="00BD218E">
        <w:t xml:space="preserve">Variable rate borrowing </w:t>
      </w:r>
      <w:r>
        <w:t xml:space="preserve">may </w:t>
      </w:r>
      <w:r w:rsidRPr="00BD218E">
        <w:t xml:space="preserve">be cheaper than fixed rate long-term borrowing and will be attractive during the financial year, particularly as variable rates are closely linked to Bank Rate. </w:t>
      </w:r>
    </w:p>
    <w:p w14:paraId="278868B2" w14:textId="77777777" w:rsidR="00290A8A" w:rsidRPr="00BD218E" w:rsidRDefault="004A7A82" w:rsidP="005838A0">
      <w:pPr>
        <w:pStyle w:val="ListParagraph"/>
        <w:numPr>
          <w:ilvl w:val="0"/>
          <w:numId w:val="38"/>
        </w:numPr>
        <w:spacing w:after="240"/>
        <w:jc w:val="both"/>
      </w:pPr>
      <w:r w:rsidRPr="00BD218E">
        <w:t xml:space="preserve">Under 10 years loan duration rates are expected to be lower than long term rates, so this </w:t>
      </w:r>
      <w:proofErr w:type="gramStart"/>
      <w:r w:rsidRPr="00BD218E">
        <w:t>opens up</w:t>
      </w:r>
      <w:proofErr w:type="gramEnd"/>
      <w:r w:rsidRPr="00BD218E">
        <w:t xml:space="preserve"> a range of choices that may allow the council to spread maturities.</w:t>
      </w:r>
    </w:p>
    <w:p w14:paraId="37252E96" w14:textId="7E1F03CE" w:rsidR="00290A8A" w:rsidRPr="00BD218E" w:rsidRDefault="004A7A82" w:rsidP="005838A0">
      <w:pPr>
        <w:pStyle w:val="ListParagraph"/>
        <w:numPr>
          <w:ilvl w:val="0"/>
          <w:numId w:val="38"/>
        </w:numPr>
        <w:spacing w:after="240"/>
        <w:jc w:val="both"/>
      </w:pPr>
      <w:r>
        <w:t>t</w:t>
      </w:r>
      <w:r w:rsidRPr="00BD218E">
        <w:t>he issuance of a 'commercial paper (an unsecured, short-term debt instrument issued by a corporation) - euro medium term note. This is a flexible debt instrument that facilitates direct issuance into the public or private markets in a range of formats, with fixed or floating payments across a range of maturities from 1-50yrs. The UK Municipal Bonds Agency euro medium term note documentation allows for "</w:t>
      </w:r>
      <w:proofErr w:type="gramStart"/>
      <w:r w:rsidRPr="00BD218E">
        <w:t>Non-Guaranteed</w:t>
      </w:r>
      <w:proofErr w:type="gramEnd"/>
      <w:r w:rsidRPr="00BD218E">
        <w:t xml:space="preserve">" single council bond issuance under UK Municipal Bonds Agency documentation provided the council has its own long term credit rating. This will represent a cheaper route to market than a stand-alone bond issue and it is this method that the council has used to issue two bonds and if a third bond was considered beneficial then it is the likely route to be chosen by the </w:t>
      </w:r>
      <w:proofErr w:type="gramStart"/>
      <w:r w:rsidRPr="00BD218E">
        <w:t>council</w:t>
      </w:r>
      <w:proofErr w:type="gramEnd"/>
      <w:r w:rsidRPr="00BD218E">
        <w:t xml:space="preserve"> </w:t>
      </w:r>
    </w:p>
    <w:p w14:paraId="2878F3A1" w14:textId="77777777" w:rsidR="00290A8A" w:rsidRPr="00BD218E" w:rsidRDefault="004A7A82" w:rsidP="005838A0">
      <w:pPr>
        <w:pStyle w:val="ListParagraph"/>
        <w:numPr>
          <w:ilvl w:val="0"/>
          <w:numId w:val="38"/>
        </w:numPr>
        <w:spacing w:after="240"/>
        <w:jc w:val="both"/>
      </w:pPr>
      <w:r w:rsidRPr="00BD218E">
        <w:t xml:space="preserve">The UK Municipal Bonds Agency is proposing a product which does not include a joint and several guarantee. Instead, a council’s liability will be proportional to its share of the outstanding borrowing. Consideration as to </w:t>
      </w:r>
      <w:proofErr w:type="gramStart"/>
      <w:r w:rsidRPr="00BD218E">
        <w:t>whether or not</w:t>
      </w:r>
      <w:proofErr w:type="gramEnd"/>
      <w:r w:rsidRPr="00BD218E">
        <w:t xml:space="preserve"> this would be an appropriate form of borrowing will be given when the full details are available. </w:t>
      </w:r>
    </w:p>
    <w:p w14:paraId="432737BD" w14:textId="24B1AB6B" w:rsidR="00290A8A" w:rsidRPr="00BD218E" w:rsidRDefault="004A7A82" w:rsidP="005838A0">
      <w:pPr>
        <w:pStyle w:val="ListParagraph"/>
        <w:numPr>
          <w:ilvl w:val="0"/>
          <w:numId w:val="38"/>
        </w:numPr>
        <w:jc w:val="both"/>
      </w:pPr>
      <w:r w:rsidRPr="00BD218E">
        <w:t xml:space="preserve">There is a developing new market in debt finance for 'ESG bonds'. The term ESG stands for Environmental, Social and Governance and in bond markets the label is being used where the issuer has identified specific ESG or green criteria for the use of the bond proceeds. Local Government activities are naturally aligned with ESG criteria and as the concept and practice of socially responsible investing becomes more widespread there may be the opportunity for issuers to access lower interest rates </w:t>
      </w:r>
      <w:proofErr w:type="gramStart"/>
      <w:r w:rsidRPr="00BD218E">
        <w:t>as a result of</w:t>
      </w:r>
      <w:proofErr w:type="gramEnd"/>
      <w:r w:rsidRPr="00BD218E">
        <w:t xml:space="preserve"> increased demand. There are currently no available vehicles for </w:t>
      </w:r>
      <w:r w:rsidR="007B1798">
        <w:t>the county council</w:t>
      </w:r>
      <w:r w:rsidRPr="00BD218E">
        <w:t xml:space="preserve"> to access ESG </w:t>
      </w:r>
      <w:proofErr w:type="gramStart"/>
      <w:r w:rsidRPr="00BD218E">
        <w:t>funding</w:t>
      </w:r>
      <w:proofErr w:type="gramEnd"/>
      <w:r w:rsidRPr="00BD218E">
        <w:t xml:space="preserve"> but market developments will be closely monitored for possible future access. </w:t>
      </w:r>
    </w:p>
    <w:p w14:paraId="529215BE" w14:textId="77777777" w:rsidR="00290A8A" w:rsidRPr="00BD218E" w:rsidRDefault="004A7A82" w:rsidP="005838A0">
      <w:pPr>
        <w:pStyle w:val="ListParagraph"/>
        <w:numPr>
          <w:ilvl w:val="0"/>
          <w:numId w:val="38"/>
        </w:numPr>
        <w:jc w:val="both"/>
      </w:pPr>
      <w:r w:rsidRPr="00BD218E">
        <w:t>The possibility of using Fixed/Floating rate swap will be examined to see if it is a beneficial method of borrowing.</w:t>
      </w:r>
    </w:p>
    <w:p w14:paraId="4958E9D2" w14:textId="77777777" w:rsidR="00290A8A" w:rsidRPr="00734E71" w:rsidRDefault="00290A8A" w:rsidP="00290A8A">
      <w:pPr>
        <w:rPr>
          <w:color w:val="58B6C0" w:themeColor="accent2"/>
          <w:highlight w:val="yellow"/>
        </w:rPr>
      </w:pPr>
    </w:p>
    <w:p w14:paraId="730F0849" w14:textId="77777777" w:rsidR="00290A8A" w:rsidRPr="00BD218E" w:rsidRDefault="004A7A82" w:rsidP="00290A8A">
      <w:pPr>
        <w:jc w:val="both"/>
      </w:pPr>
      <w:r w:rsidRPr="00BD218E">
        <w:t>Against this background, the Director of Finance will, in conjunction with the council's advisers, monitor the interest rate situation closely and will adopt a pragmatic approach to delivering the objectives of this strategy within changing economic circumstances. All decisions on whether to undertake new or replacement borrowing to support previous or future capital investment will be subject to evaluation against the following criteria:</w:t>
      </w:r>
    </w:p>
    <w:p w14:paraId="22BDC10C" w14:textId="77777777" w:rsidR="00290A8A" w:rsidRPr="00BD218E" w:rsidRDefault="00290A8A" w:rsidP="00290A8A">
      <w:pPr>
        <w:jc w:val="both"/>
      </w:pPr>
    </w:p>
    <w:p w14:paraId="64A3ABD2" w14:textId="7B06628A" w:rsidR="00290A8A" w:rsidRPr="00BD218E" w:rsidRDefault="004A7A82" w:rsidP="005838A0">
      <w:pPr>
        <w:pStyle w:val="ListParagraph"/>
        <w:numPr>
          <w:ilvl w:val="0"/>
          <w:numId w:val="34"/>
        </w:numPr>
        <w:spacing w:after="240"/>
        <w:jc w:val="both"/>
      </w:pPr>
      <w:r w:rsidRPr="00BD218E">
        <w:t>Overall need, namely whether a borrowing requirement to fund the capital programme or previous capital investment exist</w:t>
      </w:r>
      <w:r w:rsidR="00732C73">
        <w:t>.</w:t>
      </w:r>
    </w:p>
    <w:p w14:paraId="7603758C" w14:textId="3EFF34EE" w:rsidR="00290A8A" w:rsidRPr="00BD218E" w:rsidRDefault="004A7A82" w:rsidP="005838A0">
      <w:pPr>
        <w:pStyle w:val="ListParagraph"/>
        <w:numPr>
          <w:ilvl w:val="0"/>
          <w:numId w:val="34"/>
        </w:numPr>
        <w:spacing w:after="240"/>
        <w:jc w:val="both"/>
      </w:pPr>
      <w:r w:rsidRPr="00BD218E">
        <w:t>Timing, when such a borrowing requirement might exist given the overall strategy for financing capital investment, and previous capital spending performance</w:t>
      </w:r>
      <w:r w:rsidR="00732C73">
        <w:t>.</w:t>
      </w:r>
    </w:p>
    <w:p w14:paraId="7DC16907" w14:textId="5998B4B7" w:rsidR="00290A8A" w:rsidRPr="00BD218E" w:rsidRDefault="004A7A82" w:rsidP="005838A0">
      <w:pPr>
        <w:pStyle w:val="ListParagraph"/>
        <w:numPr>
          <w:ilvl w:val="0"/>
          <w:numId w:val="34"/>
        </w:numPr>
        <w:spacing w:after="240"/>
        <w:jc w:val="both"/>
      </w:pPr>
      <w:r w:rsidRPr="00BD218E">
        <w:t>Market conditions, to ensure borrowing that does need to be undertaken is achieved at minimum cost</w:t>
      </w:r>
      <w:r w:rsidR="00732C73">
        <w:t>.</w:t>
      </w:r>
    </w:p>
    <w:p w14:paraId="7FE72468" w14:textId="77777777" w:rsidR="00290A8A" w:rsidRPr="00BD218E" w:rsidRDefault="004A7A82" w:rsidP="005838A0">
      <w:pPr>
        <w:pStyle w:val="ListParagraph"/>
        <w:numPr>
          <w:ilvl w:val="0"/>
          <w:numId w:val="34"/>
        </w:numPr>
        <w:spacing w:after="240"/>
        <w:jc w:val="both"/>
      </w:pPr>
      <w:r w:rsidRPr="00BD218E">
        <w:lastRenderedPageBreak/>
        <w:t>Scale, to ensure borrowing is undertaken on a scale commensurate with the agreed financing route.</w:t>
      </w:r>
    </w:p>
    <w:p w14:paraId="616C9527" w14:textId="5259B0C3" w:rsidR="00290A8A" w:rsidRPr="00BD218E" w:rsidRDefault="004A7A82" w:rsidP="005838A0">
      <w:pPr>
        <w:pStyle w:val="ListParagraph"/>
        <w:numPr>
          <w:ilvl w:val="0"/>
          <w:numId w:val="34"/>
        </w:numPr>
        <w:spacing w:after="240"/>
        <w:jc w:val="both"/>
      </w:pPr>
      <w:r w:rsidRPr="00BD218E">
        <w:t>To consider whether to use cash balances as a form of internal borrowing, but this will reduce the level of investments that can be made</w:t>
      </w:r>
      <w:r w:rsidR="00732C73">
        <w:t>.</w:t>
      </w:r>
    </w:p>
    <w:p w14:paraId="1DA2DE40" w14:textId="77777777" w:rsidR="00290A8A" w:rsidRPr="00BD218E" w:rsidRDefault="004A7A82" w:rsidP="00290A8A">
      <w:pPr>
        <w:spacing w:after="240"/>
        <w:jc w:val="both"/>
      </w:pPr>
      <w:r w:rsidRPr="00BD218E">
        <w:t>All long-term decisions will be documented reflecting the assessment of these criteria.</w:t>
      </w:r>
    </w:p>
    <w:p w14:paraId="0C34F201" w14:textId="77777777" w:rsidR="00290A8A" w:rsidRPr="00B62DDC" w:rsidRDefault="004A7A82" w:rsidP="00290A8A">
      <w:pPr>
        <w:jc w:val="both"/>
        <w:rPr>
          <w:b/>
          <w:iCs/>
        </w:rPr>
      </w:pPr>
      <w:r w:rsidRPr="00B62DDC">
        <w:rPr>
          <w:b/>
          <w:iCs/>
        </w:rPr>
        <w:t xml:space="preserve">Sources of borrowing </w:t>
      </w:r>
    </w:p>
    <w:p w14:paraId="6634BF0B" w14:textId="77777777" w:rsidR="00290A8A" w:rsidRPr="00BD218E" w:rsidRDefault="00290A8A" w:rsidP="00290A8A">
      <w:pPr>
        <w:jc w:val="both"/>
        <w:rPr>
          <w:b/>
          <w:i/>
        </w:rPr>
      </w:pPr>
    </w:p>
    <w:p w14:paraId="1091E90F" w14:textId="7E9B226C" w:rsidR="00290A8A" w:rsidRPr="00BD218E" w:rsidRDefault="004A7A82" w:rsidP="00290A8A">
      <w:pPr>
        <w:jc w:val="both"/>
      </w:pPr>
      <w:r w:rsidRPr="00BD218E">
        <w:t>Traditionally the Public Works Loan Board has been the main source of long-term borrowing for local authorities. The interest rate charged on Public Works Loan Board</w:t>
      </w:r>
      <w:r w:rsidR="00C83E9F">
        <w:t xml:space="preserve"> (PWLB)</w:t>
      </w:r>
      <w:r w:rsidRPr="00BD218E">
        <w:t xml:space="preserve"> loans is linked to the gilt yield. Currently the council can obtain a Public Works Loan Board loan at 0.8% higher than the gilts yield (this rate is referred to as the margin). Recently the council has used the issuance of bonds to meet its requirements at rates lower than those available from the PWLB.</w:t>
      </w:r>
    </w:p>
    <w:p w14:paraId="48A692AE" w14:textId="77777777" w:rsidR="00290A8A" w:rsidRPr="00BD218E" w:rsidRDefault="00290A8A" w:rsidP="00290A8A">
      <w:pPr>
        <w:jc w:val="both"/>
      </w:pPr>
    </w:p>
    <w:p w14:paraId="3955F9D3" w14:textId="77777777" w:rsidR="00290A8A" w:rsidRPr="00BD218E" w:rsidRDefault="004A7A82" w:rsidP="00290A8A">
      <w:pPr>
        <w:jc w:val="both"/>
      </w:pPr>
      <w:r w:rsidRPr="00BD218E">
        <w:t>The approved sources of long-term and short-term borrowing will be:</w:t>
      </w:r>
    </w:p>
    <w:p w14:paraId="325DDA9C" w14:textId="77777777" w:rsidR="00290A8A" w:rsidRPr="00BD218E" w:rsidRDefault="004A7A82" w:rsidP="005838A0">
      <w:pPr>
        <w:widowControl w:val="0"/>
        <w:numPr>
          <w:ilvl w:val="0"/>
          <w:numId w:val="41"/>
        </w:numPr>
        <w:jc w:val="both"/>
      </w:pPr>
      <w:r w:rsidRPr="00BD218E">
        <w:t>Public Works Loan Board</w:t>
      </w:r>
    </w:p>
    <w:p w14:paraId="55986D09" w14:textId="77777777" w:rsidR="00290A8A" w:rsidRPr="00BD218E" w:rsidRDefault="004A7A82" w:rsidP="005838A0">
      <w:pPr>
        <w:pStyle w:val="NoSpacing"/>
        <w:numPr>
          <w:ilvl w:val="0"/>
          <w:numId w:val="41"/>
        </w:numPr>
        <w:autoSpaceDE/>
        <w:autoSpaceDN/>
        <w:adjustRightInd/>
      </w:pPr>
      <w:r w:rsidRPr="00BD218E">
        <w:t>UK Local Authorities</w:t>
      </w:r>
    </w:p>
    <w:p w14:paraId="539BCE5B" w14:textId="77777777" w:rsidR="00290A8A" w:rsidRPr="00BD218E" w:rsidRDefault="004A7A82" w:rsidP="005838A0">
      <w:pPr>
        <w:pStyle w:val="NoSpacing"/>
        <w:numPr>
          <w:ilvl w:val="0"/>
          <w:numId w:val="41"/>
        </w:numPr>
        <w:autoSpaceDE/>
        <w:autoSpaceDN/>
        <w:adjustRightInd/>
      </w:pPr>
      <w:r w:rsidRPr="00BD218E">
        <w:t>Any institution approved for investments including high quality supranational banks such as the European Central Bank</w:t>
      </w:r>
    </w:p>
    <w:p w14:paraId="1B485BF7" w14:textId="77777777" w:rsidR="00290A8A" w:rsidRPr="00BD218E" w:rsidRDefault="004A7A82" w:rsidP="005838A0">
      <w:pPr>
        <w:pStyle w:val="NoSpacing"/>
        <w:numPr>
          <w:ilvl w:val="0"/>
          <w:numId w:val="41"/>
        </w:numPr>
        <w:autoSpaceDE/>
        <w:autoSpaceDN/>
        <w:adjustRightInd/>
      </w:pPr>
      <w:r w:rsidRPr="00BD218E">
        <w:t>UK public and private sector pension funds</w:t>
      </w:r>
    </w:p>
    <w:p w14:paraId="41FCE394" w14:textId="77777777" w:rsidR="00290A8A" w:rsidRPr="00BD218E" w:rsidRDefault="004A7A82" w:rsidP="005838A0">
      <w:pPr>
        <w:pStyle w:val="NoSpacing"/>
        <w:numPr>
          <w:ilvl w:val="0"/>
          <w:numId w:val="41"/>
        </w:numPr>
        <w:autoSpaceDE/>
        <w:autoSpaceDN/>
        <w:adjustRightInd/>
      </w:pPr>
      <w:r w:rsidRPr="00BD218E">
        <w:t>Any other financial institution approved by the Prudential Regulation Authority, (this is part of the Bank of England and is responsible for the regulation and supervision of around 1,700 banks, building societies, credit unions, insurers and major investment firms)</w:t>
      </w:r>
    </w:p>
    <w:p w14:paraId="1DB37E3C" w14:textId="77777777" w:rsidR="00290A8A" w:rsidRPr="00BD218E" w:rsidRDefault="004A7A82" w:rsidP="005838A0">
      <w:pPr>
        <w:pStyle w:val="NoSpacing"/>
        <w:numPr>
          <w:ilvl w:val="0"/>
          <w:numId w:val="41"/>
        </w:numPr>
        <w:autoSpaceDE/>
        <w:autoSpaceDN/>
        <w:adjustRightInd/>
      </w:pPr>
      <w:r w:rsidRPr="00BD218E">
        <w:t>Municipal Bond Agency</w:t>
      </w:r>
    </w:p>
    <w:p w14:paraId="09FE72A1" w14:textId="0C92ACEE" w:rsidR="00290A8A" w:rsidRDefault="004A7A82" w:rsidP="005838A0">
      <w:pPr>
        <w:pStyle w:val="NoSpacing"/>
        <w:numPr>
          <w:ilvl w:val="0"/>
          <w:numId w:val="41"/>
        </w:numPr>
        <w:autoSpaceDE/>
        <w:autoSpaceDN/>
        <w:adjustRightInd/>
      </w:pPr>
      <w:r w:rsidRPr="00BD218E">
        <w:t>Capital market bond investors either over the counter or through electronic trading platforms</w:t>
      </w:r>
      <w:r w:rsidR="002B21D4">
        <w:t>.</w:t>
      </w:r>
    </w:p>
    <w:p w14:paraId="2659767D" w14:textId="77777777" w:rsidR="002B21D4" w:rsidRPr="00BD218E" w:rsidRDefault="002B21D4" w:rsidP="002B21D4">
      <w:pPr>
        <w:pStyle w:val="NoSpacing"/>
        <w:autoSpaceDE/>
        <w:autoSpaceDN/>
        <w:adjustRightInd/>
        <w:ind w:left="360"/>
      </w:pPr>
    </w:p>
    <w:p w14:paraId="01805220" w14:textId="77777777" w:rsidR="00290A8A" w:rsidRPr="00B62DDC" w:rsidRDefault="004A7A82" w:rsidP="00290A8A">
      <w:pPr>
        <w:rPr>
          <w:b/>
          <w:iCs/>
        </w:rPr>
      </w:pPr>
      <w:r w:rsidRPr="00B62DDC">
        <w:rPr>
          <w:b/>
          <w:iCs/>
        </w:rPr>
        <w:t>Borrowing instruments</w:t>
      </w:r>
    </w:p>
    <w:p w14:paraId="32DB3B9D" w14:textId="77777777" w:rsidR="00290A8A" w:rsidRPr="00BD218E" w:rsidRDefault="00290A8A" w:rsidP="00290A8A">
      <w:pPr>
        <w:rPr>
          <w:b/>
          <w:i/>
        </w:rPr>
      </w:pPr>
    </w:p>
    <w:p w14:paraId="1F8AD366" w14:textId="77777777" w:rsidR="00290A8A" w:rsidRDefault="004A7A82" w:rsidP="00290A8A">
      <w:pPr>
        <w:jc w:val="both"/>
      </w:pPr>
      <w:r w:rsidRPr="00BD218E">
        <w:t>The council may only borrow money by use of the following instruments:</w:t>
      </w:r>
    </w:p>
    <w:p w14:paraId="4A245E90" w14:textId="77777777" w:rsidR="004663BC" w:rsidRPr="00BD218E" w:rsidRDefault="004663BC" w:rsidP="00290A8A">
      <w:pPr>
        <w:jc w:val="both"/>
      </w:pPr>
    </w:p>
    <w:p w14:paraId="2BDCBB79" w14:textId="77777777" w:rsidR="00290A8A" w:rsidRPr="00BD218E" w:rsidRDefault="004A7A82" w:rsidP="005838A0">
      <w:pPr>
        <w:pStyle w:val="ListParagraph"/>
        <w:numPr>
          <w:ilvl w:val="0"/>
          <w:numId w:val="43"/>
        </w:numPr>
        <w:tabs>
          <w:tab w:val="left" w:pos="567"/>
        </w:tabs>
        <w:jc w:val="both"/>
      </w:pPr>
      <w:r w:rsidRPr="00BD218E">
        <w:t>Bank overdrafts</w:t>
      </w:r>
    </w:p>
    <w:p w14:paraId="4E10D0C2" w14:textId="77777777" w:rsidR="00290A8A" w:rsidRPr="00BD218E" w:rsidRDefault="004A7A82" w:rsidP="005838A0">
      <w:pPr>
        <w:pStyle w:val="ListParagraph"/>
        <w:numPr>
          <w:ilvl w:val="0"/>
          <w:numId w:val="43"/>
        </w:numPr>
        <w:tabs>
          <w:tab w:val="left" w:pos="567"/>
        </w:tabs>
        <w:jc w:val="both"/>
      </w:pPr>
      <w:r w:rsidRPr="00BD218E">
        <w:t>Fixed term loans</w:t>
      </w:r>
    </w:p>
    <w:p w14:paraId="762582B8" w14:textId="77777777" w:rsidR="00290A8A" w:rsidRPr="00BD218E" w:rsidRDefault="004A7A82" w:rsidP="005838A0">
      <w:pPr>
        <w:pStyle w:val="ListParagraph"/>
        <w:numPr>
          <w:ilvl w:val="0"/>
          <w:numId w:val="43"/>
        </w:numPr>
        <w:tabs>
          <w:tab w:val="left" w:pos="567"/>
        </w:tabs>
        <w:jc w:val="both"/>
      </w:pPr>
      <w:r w:rsidRPr="00BD218E">
        <w:t>Callable loans or revolving credit facilities where the council may repay at any time (with or without notice)</w:t>
      </w:r>
    </w:p>
    <w:p w14:paraId="1814C615" w14:textId="77777777" w:rsidR="00290A8A" w:rsidRPr="00BD218E" w:rsidRDefault="004A7A82" w:rsidP="005838A0">
      <w:pPr>
        <w:pStyle w:val="ListParagraph"/>
        <w:numPr>
          <w:ilvl w:val="0"/>
          <w:numId w:val="43"/>
        </w:numPr>
        <w:tabs>
          <w:tab w:val="left" w:pos="567"/>
        </w:tabs>
        <w:jc w:val="both"/>
      </w:pPr>
      <w:r w:rsidRPr="00BD218E">
        <w:t xml:space="preserve">Callable loans where the lender may repay at any time, but subject to a maximum of £150m in </w:t>
      </w:r>
      <w:proofErr w:type="gramStart"/>
      <w:r w:rsidRPr="00BD218E">
        <w:t>total</w:t>
      </w:r>
      <w:proofErr w:type="gramEnd"/>
    </w:p>
    <w:p w14:paraId="6FFFC335" w14:textId="77777777" w:rsidR="00290A8A" w:rsidRPr="00BD218E" w:rsidRDefault="004A7A82" w:rsidP="005838A0">
      <w:pPr>
        <w:pStyle w:val="ListParagraph"/>
        <w:numPr>
          <w:ilvl w:val="0"/>
          <w:numId w:val="43"/>
        </w:numPr>
        <w:tabs>
          <w:tab w:val="left" w:pos="567"/>
        </w:tabs>
        <w:jc w:val="both"/>
      </w:pPr>
      <w:r w:rsidRPr="00BD218E">
        <w:t>Bonds, notes, bills, commercial paper and other marketable instruments</w:t>
      </w:r>
    </w:p>
    <w:p w14:paraId="41F0AF35" w14:textId="77777777" w:rsidR="00290A8A" w:rsidRPr="00BD218E" w:rsidRDefault="004A7A82" w:rsidP="005838A0">
      <w:pPr>
        <w:pStyle w:val="ListParagraph"/>
        <w:numPr>
          <w:ilvl w:val="0"/>
          <w:numId w:val="43"/>
        </w:numPr>
        <w:tabs>
          <w:tab w:val="left" w:pos="567"/>
        </w:tabs>
        <w:jc w:val="both"/>
      </w:pPr>
      <w:r w:rsidRPr="00BD218E">
        <w:t xml:space="preserve">Sale and repurchase (repo) </w:t>
      </w:r>
      <w:proofErr w:type="gramStart"/>
      <w:r w:rsidRPr="00BD218E">
        <w:t>agreements</w:t>
      </w:r>
      <w:proofErr w:type="gramEnd"/>
    </w:p>
    <w:p w14:paraId="497E4DE8" w14:textId="77777777" w:rsidR="00290A8A" w:rsidRPr="00BD218E" w:rsidRDefault="00290A8A" w:rsidP="00290A8A"/>
    <w:p w14:paraId="0D7FAC54" w14:textId="77777777" w:rsidR="00290A8A" w:rsidRPr="00BD218E" w:rsidRDefault="004A7A82" w:rsidP="00290A8A">
      <w:pPr>
        <w:jc w:val="both"/>
      </w:pPr>
      <w:r w:rsidRPr="00BD218E">
        <w:t>Loans may be borrowed at either a fixed rate of interest, or at a variable rate linked to a market benchmark interest rate, such as the Sterling Overnight Index Average (often referred to as SONIA) which is administered by the Bank of England. The balance between fixed and variable rates will be subject to the limits on interest rate risk approved in this treasury management strategy.</w:t>
      </w:r>
    </w:p>
    <w:p w14:paraId="7602CD55" w14:textId="77777777" w:rsidR="00290A8A" w:rsidRDefault="00290A8A" w:rsidP="00290A8A">
      <w:pPr>
        <w:rPr>
          <w:bCs/>
          <w:i/>
        </w:rPr>
      </w:pPr>
    </w:p>
    <w:p w14:paraId="3F0D71D8" w14:textId="77777777" w:rsidR="00B41DDB" w:rsidRDefault="00B41DDB" w:rsidP="00290A8A">
      <w:pPr>
        <w:rPr>
          <w:b/>
          <w:bCs/>
          <w:iCs/>
        </w:rPr>
      </w:pPr>
    </w:p>
    <w:p w14:paraId="648C2645" w14:textId="2B5A376F" w:rsidR="00290A8A" w:rsidRPr="00B62DDC" w:rsidRDefault="004A7A82" w:rsidP="00290A8A">
      <w:pPr>
        <w:rPr>
          <w:b/>
          <w:bCs/>
          <w:iCs/>
        </w:rPr>
      </w:pPr>
      <w:r w:rsidRPr="00B62DDC">
        <w:rPr>
          <w:b/>
          <w:bCs/>
          <w:iCs/>
        </w:rPr>
        <w:lastRenderedPageBreak/>
        <w:t>Debt restructuring</w:t>
      </w:r>
    </w:p>
    <w:p w14:paraId="6FA51096" w14:textId="77777777" w:rsidR="00290A8A" w:rsidRPr="00BD218E" w:rsidRDefault="00290A8A" w:rsidP="00290A8A">
      <w:pPr>
        <w:rPr>
          <w:b/>
          <w:bCs/>
          <w:i/>
        </w:rPr>
      </w:pPr>
    </w:p>
    <w:p w14:paraId="2A7A3D6F" w14:textId="18E8D9CB" w:rsidR="00290A8A" w:rsidRPr="00BD218E" w:rsidRDefault="004A7A82" w:rsidP="00290A8A">
      <w:pPr>
        <w:jc w:val="both"/>
      </w:pPr>
      <w:r w:rsidRPr="00BD218E">
        <w:t xml:space="preserve">The </w:t>
      </w:r>
      <w:r w:rsidR="00B41DDB">
        <w:t>C</w:t>
      </w:r>
      <w:r w:rsidRPr="00BD218E">
        <w:t xml:space="preserve">ouncil regularly monitors both its debt portfolio and market conditions to evaluate potential savings from debt restructuring. </w:t>
      </w:r>
    </w:p>
    <w:p w14:paraId="2E939761" w14:textId="77777777" w:rsidR="00290A8A" w:rsidRPr="00BD218E" w:rsidRDefault="00290A8A" w:rsidP="00290A8A">
      <w:pPr>
        <w:jc w:val="both"/>
      </w:pPr>
    </w:p>
    <w:p w14:paraId="6F2325B9" w14:textId="77777777" w:rsidR="00290A8A" w:rsidRPr="00B62DDC" w:rsidRDefault="004A7A82" w:rsidP="00290A8A">
      <w:pPr>
        <w:jc w:val="both"/>
        <w:rPr>
          <w:b/>
          <w:iCs/>
        </w:rPr>
      </w:pPr>
      <w:r w:rsidRPr="00B62DDC">
        <w:rPr>
          <w:b/>
          <w:iCs/>
        </w:rPr>
        <w:t>Other borrowing</w:t>
      </w:r>
    </w:p>
    <w:p w14:paraId="326B20F8" w14:textId="77777777" w:rsidR="00290A8A" w:rsidRPr="00BD218E" w:rsidRDefault="00290A8A" w:rsidP="00290A8A">
      <w:pPr>
        <w:jc w:val="both"/>
        <w:rPr>
          <w:b/>
          <w:i/>
        </w:rPr>
      </w:pPr>
    </w:p>
    <w:p w14:paraId="52DCA02F" w14:textId="77777777" w:rsidR="00290A8A" w:rsidRPr="00BD218E" w:rsidRDefault="004A7A82" w:rsidP="00290A8A">
      <w:pPr>
        <w:jc w:val="both"/>
        <w:rPr>
          <w:color w:val="58B6C0" w:themeColor="accent2"/>
        </w:rPr>
      </w:pPr>
      <w:r w:rsidRPr="00BD218E">
        <w:t>The council may borrow for short periods of time to cover unexpected cash flow shortages and to take deposits on the shared investment scheme. Also, to provide cash flow support for the Preston, South Ribble and Lancashire City Deal project. This is to cover the gap between the cost of construction of infrastructure and the payment of contributions from other organisations including the government and developers. This borrowing is temporary but will be reflected within the prudential limits</w:t>
      </w:r>
      <w:r>
        <w:t>.</w:t>
      </w:r>
      <w:r w:rsidRPr="00BD218E">
        <w:t xml:space="preserve"> </w:t>
      </w:r>
    </w:p>
    <w:p w14:paraId="3AA907FE" w14:textId="77777777" w:rsidR="00290A8A" w:rsidRPr="00734E71" w:rsidRDefault="00290A8A" w:rsidP="00290A8A">
      <w:pPr>
        <w:jc w:val="both"/>
        <w:rPr>
          <w:highlight w:val="yellow"/>
        </w:rPr>
      </w:pPr>
    </w:p>
    <w:p w14:paraId="01A47D35" w14:textId="77777777" w:rsidR="00290A8A" w:rsidRPr="004C67B3" w:rsidRDefault="004A7A82" w:rsidP="00290A8A">
      <w:pPr>
        <w:rPr>
          <w:b/>
          <w:bCs/>
          <w:sz w:val="28"/>
          <w:szCs w:val="28"/>
        </w:rPr>
      </w:pPr>
      <w:r w:rsidRPr="004C67B3">
        <w:rPr>
          <w:b/>
          <w:bCs/>
          <w:sz w:val="28"/>
          <w:szCs w:val="28"/>
        </w:rPr>
        <w:t>Policy on Borrowing in Advance of Need</w:t>
      </w:r>
    </w:p>
    <w:p w14:paraId="1E641D3E" w14:textId="77777777" w:rsidR="00290A8A" w:rsidRPr="004C67B3" w:rsidRDefault="00290A8A" w:rsidP="00290A8A">
      <w:pPr>
        <w:rPr>
          <w:b/>
          <w:bCs/>
        </w:rPr>
      </w:pPr>
    </w:p>
    <w:p w14:paraId="01C295D7" w14:textId="77777777" w:rsidR="00290A8A" w:rsidRPr="004C67B3" w:rsidRDefault="004A7A82" w:rsidP="00290A8A">
      <w:pPr>
        <w:jc w:val="both"/>
      </w:pPr>
      <w:r w:rsidRPr="004C67B3">
        <w:t>The council will not borrow more than, or in advance of need, with the objective of profiting from the investment of the additional sums borrowed. However, borrowing in advance of need is permitted to pre-fund future years’ capital requirements, providing this does not exceed the authorised limit for borrowing. Therefore, the Council may look to borrow in advance if the need to finance the future capital investment will materialise in two years or less; and</w:t>
      </w:r>
    </w:p>
    <w:p w14:paraId="20FB0E92" w14:textId="77777777" w:rsidR="00290A8A" w:rsidRPr="004C67B3" w:rsidRDefault="00290A8A" w:rsidP="00290A8A">
      <w:pPr>
        <w:jc w:val="both"/>
      </w:pPr>
    </w:p>
    <w:p w14:paraId="5A6AAE60" w14:textId="77777777" w:rsidR="00290A8A" w:rsidRPr="004C67B3" w:rsidRDefault="004A7A82" w:rsidP="005838A0">
      <w:pPr>
        <w:pStyle w:val="ListParagraph"/>
        <w:numPr>
          <w:ilvl w:val="0"/>
          <w:numId w:val="36"/>
        </w:numPr>
        <w:jc w:val="both"/>
      </w:pPr>
      <w:r w:rsidRPr="004C67B3">
        <w:t>Where the most advantageous method of raising capital finance requires the council to raise funds in a quantity greater than would be required in any one year, or</w:t>
      </w:r>
    </w:p>
    <w:p w14:paraId="49B07BF8" w14:textId="77777777" w:rsidR="00290A8A" w:rsidRPr="004C67B3" w:rsidRDefault="004A7A82" w:rsidP="005838A0">
      <w:pPr>
        <w:pStyle w:val="ListParagraph"/>
        <w:numPr>
          <w:ilvl w:val="0"/>
          <w:numId w:val="36"/>
        </w:numPr>
        <w:jc w:val="both"/>
      </w:pPr>
      <w:r w:rsidRPr="004C67B3">
        <w:t xml:space="preserve">Where in the view of the section 151 officer, based on external </w:t>
      </w:r>
      <w:proofErr w:type="spellStart"/>
      <w:r w:rsidRPr="004C67B3">
        <w:t>advicethe</w:t>
      </w:r>
      <w:proofErr w:type="spellEnd"/>
      <w:r w:rsidRPr="004C67B3">
        <w:t xml:space="preserve"> achievement of value for money would be prejudiced by delaying borrowing.</w:t>
      </w:r>
    </w:p>
    <w:p w14:paraId="1290A839" w14:textId="77777777" w:rsidR="00290A8A" w:rsidRPr="004C67B3" w:rsidRDefault="00290A8A" w:rsidP="00290A8A">
      <w:pPr>
        <w:pStyle w:val="ListParagraph"/>
        <w:ind w:left="360"/>
        <w:jc w:val="both"/>
      </w:pPr>
    </w:p>
    <w:p w14:paraId="52923EFD" w14:textId="77777777" w:rsidR="00290A8A" w:rsidRPr="004C67B3" w:rsidRDefault="004A7A82" w:rsidP="00290A8A">
      <w:pPr>
        <w:spacing w:after="240"/>
        <w:jc w:val="both"/>
      </w:pPr>
      <w:r w:rsidRPr="004C67B3">
        <w:t>Having satisfied the criteria above, any proposal to borrow in advance of need would be reviewed against the following factors:</w:t>
      </w:r>
    </w:p>
    <w:p w14:paraId="4F875729" w14:textId="77777777" w:rsidR="00290A8A" w:rsidRPr="004C67B3" w:rsidRDefault="004A7A82" w:rsidP="005838A0">
      <w:pPr>
        <w:numPr>
          <w:ilvl w:val="0"/>
          <w:numId w:val="37"/>
        </w:numPr>
        <w:jc w:val="both"/>
      </w:pPr>
      <w:r w:rsidRPr="004C67B3">
        <w:t xml:space="preserve">Whether the ongoing revenue liabilities created, and the implications for the </w:t>
      </w:r>
      <w:proofErr w:type="gramStart"/>
      <w:r w:rsidRPr="004C67B3">
        <w:t>future plans</w:t>
      </w:r>
      <w:proofErr w:type="gramEnd"/>
      <w:r w:rsidRPr="004C67B3">
        <w:t xml:space="preserve"> and budgets have been considered and reflected in those plans and budgets, with the value for money of the proposal fully evaluated.</w:t>
      </w:r>
    </w:p>
    <w:p w14:paraId="1627A546" w14:textId="77777777" w:rsidR="00290A8A" w:rsidRPr="004C67B3" w:rsidRDefault="004A7A82" w:rsidP="005838A0">
      <w:pPr>
        <w:numPr>
          <w:ilvl w:val="0"/>
          <w:numId w:val="37"/>
        </w:numPr>
      </w:pPr>
      <w:r w:rsidRPr="004C67B3">
        <w:t>The merits and demerits of alternative forms of funding.</w:t>
      </w:r>
    </w:p>
    <w:p w14:paraId="09FC3F0E" w14:textId="77777777" w:rsidR="00290A8A" w:rsidRPr="004C67B3" w:rsidRDefault="004A7A82" w:rsidP="005838A0">
      <w:pPr>
        <w:numPr>
          <w:ilvl w:val="0"/>
          <w:numId w:val="37"/>
        </w:numPr>
        <w:tabs>
          <w:tab w:val="left" w:pos="1418"/>
        </w:tabs>
        <w:jc w:val="both"/>
        <w:rPr>
          <w:b/>
          <w:bCs/>
        </w:rPr>
      </w:pPr>
      <w:r w:rsidRPr="004C67B3">
        <w:t>The alternative interest rate bases available, the most appropriate periods over which to fund and repayment profiles to use.</w:t>
      </w:r>
    </w:p>
    <w:p w14:paraId="2D0BC0A6" w14:textId="77777777" w:rsidR="00290A8A" w:rsidRPr="004C67B3" w:rsidRDefault="00290A8A" w:rsidP="00290A8A">
      <w:pPr>
        <w:tabs>
          <w:tab w:val="left" w:pos="1418"/>
        </w:tabs>
        <w:ind w:left="720"/>
        <w:rPr>
          <w:b/>
          <w:bCs/>
        </w:rPr>
      </w:pPr>
    </w:p>
    <w:p w14:paraId="36EA5B80" w14:textId="77777777" w:rsidR="00290A8A" w:rsidRPr="004C67B3" w:rsidRDefault="004A7A82" w:rsidP="00290A8A">
      <w:pPr>
        <w:jc w:val="both"/>
      </w:pPr>
      <w:r w:rsidRPr="004C67B3">
        <w:t>All decisions will be documented reflecting the assessment of these circumstances and criteria.</w:t>
      </w:r>
    </w:p>
    <w:p w14:paraId="57C50402" w14:textId="77777777" w:rsidR="00290A8A" w:rsidRPr="004C67B3" w:rsidRDefault="00290A8A" w:rsidP="00290A8A">
      <w:pPr>
        <w:jc w:val="both"/>
        <w:rPr>
          <w:b/>
          <w:bCs/>
          <w:sz w:val="28"/>
          <w:szCs w:val="28"/>
        </w:rPr>
      </w:pPr>
    </w:p>
    <w:p w14:paraId="3C3797A5" w14:textId="77777777" w:rsidR="00290A8A" w:rsidRPr="004C67B3" w:rsidRDefault="004A7A82" w:rsidP="00290A8A">
      <w:pPr>
        <w:jc w:val="both"/>
        <w:rPr>
          <w:b/>
          <w:bCs/>
          <w:sz w:val="28"/>
          <w:szCs w:val="28"/>
        </w:rPr>
      </w:pPr>
      <w:r w:rsidRPr="004C67B3">
        <w:rPr>
          <w:b/>
          <w:bCs/>
          <w:sz w:val="28"/>
          <w:szCs w:val="28"/>
        </w:rPr>
        <w:t xml:space="preserve">Treasury Management Investments Strategy </w:t>
      </w:r>
    </w:p>
    <w:p w14:paraId="3BC16364" w14:textId="77777777" w:rsidR="00290A8A" w:rsidRPr="004C67B3" w:rsidRDefault="00290A8A" w:rsidP="00290A8A">
      <w:pPr>
        <w:jc w:val="both"/>
        <w:rPr>
          <w:b/>
          <w:bCs/>
        </w:rPr>
      </w:pPr>
    </w:p>
    <w:p w14:paraId="050ED3FD" w14:textId="77777777" w:rsidR="00290A8A" w:rsidRPr="004C67B3" w:rsidRDefault="004A7A82" w:rsidP="00290A8A">
      <w:pPr>
        <w:jc w:val="both"/>
      </w:pPr>
      <w:r w:rsidRPr="004C67B3">
        <w:t xml:space="preserve">The council holds reserves and other cash items on its balance sheet which if not used to reduce borrowing requirements are invested. In investing these cash </w:t>
      </w:r>
      <w:proofErr w:type="gramStart"/>
      <w:r w:rsidRPr="004C67B3">
        <w:t>balances</w:t>
      </w:r>
      <w:proofErr w:type="gramEnd"/>
      <w:r w:rsidRPr="004C67B3">
        <w:t xml:space="preserve"> the council follows guidance issued by CIPFA and the government department.</w:t>
      </w:r>
    </w:p>
    <w:p w14:paraId="24E75087" w14:textId="77777777" w:rsidR="00290A8A" w:rsidRPr="004C67B3" w:rsidRDefault="004A7A82" w:rsidP="00290A8A">
      <w:pPr>
        <w:jc w:val="both"/>
      </w:pPr>
      <w:r w:rsidRPr="004C67B3">
        <w:t xml:space="preserve"> </w:t>
      </w:r>
    </w:p>
    <w:p w14:paraId="590906AF" w14:textId="77777777" w:rsidR="00290A8A" w:rsidRPr="004C67B3" w:rsidRDefault="004A7A82" w:rsidP="00290A8A">
      <w:pPr>
        <w:jc w:val="both"/>
      </w:pPr>
      <w:r w:rsidRPr="004C67B3">
        <w:t xml:space="preserve">The guidance requires treasury management investments to prioritise security, liquidity and yield in that order of importance. The council will not make any investments with </w:t>
      </w:r>
      <w:r w:rsidRPr="004C67B3">
        <w:lastRenderedPageBreak/>
        <w:t>low credit quality bodies, nor any that are defined as capital expenditure by legislation, such as company shares.</w:t>
      </w:r>
    </w:p>
    <w:p w14:paraId="4A5257E4" w14:textId="77777777" w:rsidR="00290A8A" w:rsidRPr="004C67B3" w:rsidRDefault="00290A8A" w:rsidP="00290A8A">
      <w:pPr>
        <w:jc w:val="both"/>
      </w:pPr>
    </w:p>
    <w:p w14:paraId="5402AA62" w14:textId="77777777" w:rsidR="00290A8A" w:rsidRPr="004C67B3" w:rsidRDefault="004A7A82" w:rsidP="00290A8A">
      <w:pPr>
        <w:jc w:val="both"/>
        <w:rPr>
          <w:bCs/>
        </w:rPr>
      </w:pPr>
      <w:r w:rsidRPr="004C67B3">
        <w:rPr>
          <w:bCs/>
        </w:rPr>
        <w:t>The council has in recent years pursued a policy to hold as investments a sum as close as possible to the cash value of its reserves and balances. This policy will continue but it will be regularly reviewed to ensure value for money is achieved especially with the low interest rates.</w:t>
      </w:r>
    </w:p>
    <w:p w14:paraId="054F424E" w14:textId="77777777" w:rsidR="00290A8A" w:rsidRPr="00734E71" w:rsidRDefault="00290A8A" w:rsidP="00290A8A">
      <w:pPr>
        <w:jc w:val="both"/>
        <w:rPr>
          <w:highlight w:val="yellow"/>
        </w:rPr>
      </w:pPr>
    </w:p>
    <w:p w14:paraId="4CAF4F80" w14:textId="77777777" w:rsidR="00290A8A" w:rsidRPr="00B62DDC" w:rsidRDefault="004A7A82" w:rsidP="00290A8A">
      <w:pPr>
        <w:jc w:val="both"/>
        <w:rPr>
          <w:b/>
          <w:iCs/>
        </w:rPr>
      </w:pPr>
      <w:r w:rsidRPr="00B62DDC">
        <w:rPr>
          <w:b/>
          <w:iCs/>
        </w:rPr>
        <w:t xml:space="preserve">Business model for holding </w:t>
      </w:r>
      <w:proofErr w:type="gramStart"/>
      <w:r w:rsidRPr="00B62DDC">
        <w:rPr>
          <w:b/>
          <w:iCs/>
        </w:rPr>
        <w:t>investments</w:t>
      </w:r>
      <w:proofErr w:type="gramEnd"/>
    </w:p>
    <w:p w14:paraId="7C89BEEF" w14:textId="77777777" w:rsidR="00290A8A" w:rsidRPr="00993484" w:rsidRDefault="00290A8A" w:rsidP="00290A8A">
      <w:pPr>
        <w:jc w:val="both"/>
        <w:rPr>
          <w:b/>
          <w:i/>
        </w:rPr>
      </w:pPr>
    </w:p>
    <w:p w14:paraId="4B6EC412" w14:textId="77777777" w:rsidR="00290A8A" w:rsidRPr="00993484" w:rsidRDefault="004A7A82" w:rsidP="00290A8A">
      <w:pPr>
        <w:spacing w:after="240"/>
        <w:jc w:val="both"/>
      </w:pPr>
      <w:r w:rsidRPr="00993484">
        <w:t>Under the IFRS 9 (International Financial Reporting Standard), the accounting for certain investments depends on the council’s “business model” for managing them. In general, the authority holds investments to either collect the contractual cash-flows or a mixture of holding for the contractual cash-flows and sale proceeds. Neither of these would result in changes in market value having to be a charge against council tax at year end. However, if investment assets are held for the purpose of trading any changes in the asset value is charged to the accounts. The business model for the main treasury management investments are as follows:</w:t>
      </w:r>
    </w:p>
    <w:p w14:paraId="7364BA15" w14:textId="77777777" w:rsidR="00290A8A" w:rsidRPr="00993484" w:rsidRDefault="004A7A82" w:rsidP="00290A8A">
      <w:pPr>
        <w:jc w:val="both"/>
      </w:pPr>
      <w:r w:rsidRPr="00993484">
        <w:rPr>
          <w:u w:val="single"/>
        </w:rPr>
        <w:t>Local authority investments</w:t>
      </w:r>
      <w:r w:rsidRPr="00993484">
        <w:t xml:space="preserve"> - these are principally investments for a fixed term which are held to maturity. In addition, the authority holds some long-term bonds issued by local authorities which are also held to maturity. In both cases interest is received on agreed dates and are held for the contractual cash-flows therefore they will be valued at amortised cost.   </w:t>
      </w:r>
    </w:p>
    <w:p w14:paraId="7A43A5C5" w14:textId="77777777" w:rsidR="00290A8A" w:rsidRPr="00993484" w:rsidRDefault="00290A8A" w:rsidP="00290A8A">
      <w:pPr>
        <w:jc w:val="both"/>
        <w:rPr>
          <w:sz w:val="12"/>
          <w:szCs w:val="12"/>
        </w:rPr>
      </w:pPr>
    </w:p>
    <w:p w14:paraId="103B775F" w14:textId="77777777" w:rsidR="00290A8A" w:rsidRPr="00993484" w:rsidRDefault="004A7A82" w:rsidP="00290A8A">
      <w:pPr>
        <w:spacing w:after="240"/>
        <w:jc w:val="both"/>
      </w:pPr>
      <w:r w:rsidRPr="00993484">
        <w:rPr>
          <w:u w:val="single"/>
        </w:rPr>
        <w:t>Gilts</w:t>
      </w:r>
      <w:r w:rsidRPr="00993484">
        <w:t xml:space="preserve"> - the holding of gilts represent a key part of the strategy for holding investments to back up the reserves and balances while maintaining a low credit risk portfolio. They are also a liquid asset and periodic sales will be incurred in reaction to market movements to enhance the overall yield of the </w:t>
      </w:r>
      <w:proofErr w:type="gramStart"/>
      <w:r w:rsidRPr="00993484">
        <w:t>holdings</w:t>
      </w:r>
      <w:proofErr w:type="gramEnd"/>
      <w:r w:rsidRPr="00993484">
        <w:t xml:space="preserve"> but this is not the primary aim of the holding and therefore gilts will be held at fair value through 'other comprehensive income' which means that market value changes will not be charged against council tax.    </w:t>
      </w:r>
    </w:p>
    <w:p w14:paraId="545F3447" w14:textId="77777777" w:rsidR="00290A8A" w:rsidRPr="00993484" w:rsidRDefault="004A7A82" w:rsidP="00290A8A">
      <w:pPr>
        <w:spacing w:after="240"/>
        <w:jc w:val="both"/>
      </w:pPr>
      <w:r w:rsidRPr="00993484">
        <w:rPr>
          <w:u w:val="single"/>
        </w:rPr>
        <w:t>Other bonds</w:t>
      </w:r>
      <w:r w:rsidRPr="00993484">
        <w:t xml:space="preserve"> - the council also holds other high credit quality corporate bonds. These are held primarily for the purposes of liquidity providing a low credit risk holding. These are bought and sold in relation to cash needs and therefore the valuation will be such that the market value changes will not be charged against council tax.    </w:t>
      </w:r>
    </w:p>
    <w:p w14:paraId="63656D8B" w14:textId="77777777" w:rsidR="00290A8A" w:rsidRPr="00B62DDC" w:rsidRDefault="004A7A82" w:rsidP="00290A8A">
      <w:pPr>
        <w:jc w:val="both"/>
        <w:rPr>
          <w:b/>
          <w:iCs/>
        </w:rPr>
      </w:pPr>
      <w:r w:rsidRPr="00B62DDC">
        <w:rPr>
          <w:b/>
          <w:iCs/>
        </w:rPr>
        <w:t xml:space="preserve">Approved counterparties </w:t>
      </w:r>
    </w:p>
    <w:p w14:paraId="452860F6" w14:textId="77777777" w:rsidR="00290A8A" w:rsidRPr="00BD218E" w:rsidRDefault="00290A8A" w:rsidP="00290A8A">
      <w:pPr>
        <w:jc w:val="both"/>
        <w:rPr>
          <w:i/>
        </w:rPr>
      </w:pPr>
    </w:p>
    <w:p w14:paraId="391C93AF" w14:textId="77777777" w:rsidR="00290A8A" w:rsidRPr="00BD218E" w:rsidRDefault="004A7A82" w:rsidP="00290A8A">
      <w:pPr>
        <w:jc w:val="both"/>
      </w:pPr>
      <w:r w:rsidRPr="00BD218E">
        <w:t xml:space="preserve">The counterparty credit matrix is at the heart of the council's treasury management strategy and has always been conservatively constructed to protect the council against credit risk whilst allowing for efficient and prudent investment activity. </w:t>
      </w:r>
    </w:p>
    <w:p w14:paraId="185A8402" w14:textId="77777777" w:rsidR="00290A8A" w:rsidRPr="00BD218E" w:rsidRDefault="00290A8A" w:rsidP="00290A8A">
      <w:pPr>
        <w:jc w:val="both"/>
      </w:pPr>
    </w:p>
    <w:p w14:paraId="6386F5A0" w14:textId="77777777" w:rsidR="00290A8A" w:rsidRPr="00BD218E" w:rsidRDefault="004A7A82" w:rsidP="00290A8A">
      <w:pPr>
        <w:jc w:val="both"/>
        <w:rPr>
          <w:b/>
        </w:rPr>
      </w:pPr>
      <w:r w:rsidRPr="00BD218E">
        <w:t>However, the council does not rely solely on credit ratings in assessing counterparties. Other market information is also monitored such as information from the credit default swap market and any press releases in general. In this way ensuring the council transacts with only the highest quality counterparties</w:t>
      </w:r>
      <w:r w:rsidRPr="00BD218E">
        <w:rPr>
          <w:b/>
        </w:rPr>
        <w:t xml:space="preserve">.  </w:t>
      </w:r>
    </w:p>
    <w:p w14:paraId="4B89DE1B" w14:textId="77777777" w:rsidR="00290A8A" w:rsidRPr="00734E71" w:rsidRDefault="00290A8A" w:rsidP="00290A8A">
      <w:pPr>
        <w:jc w:val="both"/>
        <w:rPr>
          <w:b/>
          <w:highlight w:val="green"/>
        </w:rPr>
      </w:pPr>
    </w:p>
    <w:p w14:paraId="031A89A1" w14:textId="77777777" w:rsidR="00290A8A" w:rsidRPr="00BA3A52" w:rsidRDefault="004A7A82" w:rsidP="00290A8A">
      <w:pPr>
        <w:jc w:val="both"/>
        <w:rPr>
          <w:color w:val="58B6C0" w:themeColor="accent2"/>
        </w:rPr>
      </w:pPr>
      <w:r w:rsidRPr="00BA3A52">
        <w:t xml:space="preserve">The council requires very high credit ratings for an organisation to be considered a suitable counterparty for investment purposes. </w:t>
      </w:r>
      <w:r>
        <w:t>T</w:t>
      </w:r>
      <w:r w:rsidRPr="00BA3A52">
        <w:t xml:space="preserve">he 2024/25 policy continues to be </w:t>
      </w:r>
      <w:r w:rsidRPr="00BA3A52">
        <w:lastRenderedPageBreak/>
        <w:t xml:space="preserve">based on the UK credit quality, as measured by Moody's long-term ratings, of Aa3. </w:t>
      </w:r>
      <w:proofErr w:type="gramStart"/>
      <w:r>
        <w:t>However</w:t>
      </w:r>
      <w:proofErr w:type="gramEnd"/>
      <w:r w:rsidRPr="00BA3A52">
        <w:t xml:space="preserve"> this rating is subject to change. The credit ratings are as follows: </w:t>
      </w:r>
    </w:p>
    <w:p w14:paraId="2C1E9478" w14:textId="77777777" w:rsidR="00290A8A" w:rsidRPr="00BA3A52" w:rsidRDefault="00290A8A" w:rsidP="00290A8A">
      <w:pPr>
        <w:jc w:val="both"/>
      </w:pPr>
    </w:p>
    <w:p w14:paraId="2C32952A" w14:textId="77777777" w:rsidR="00290A8A" w:rsidRPr="00BA3A52" w:rsidRDefault="004A7A82" w:rsidP="00290A8A">
      <w:pPr>
        <w:jc w:val="both"/>
      </w:pPr>
      <w:r w:rsidRPr="00BA3A52">
        <w:t>For short term lending of up to one year, the short-term ratings from the ratings agencies will be used and that a counterparty must have a minimum of the following:</w:t>
      </w:r>
    </w:p>
    <w:p w14:paraId="2B91475F" w14:textId="77777777" w:rsidR="00290A8A" w:rsidRPr="00BA3A52" w:rsidRDefault="00290A8A" w:rsidP="00290A8A">
      <w:pPr>
        <w:jc w:val="both"/>
      </w:pPr>
    </w:p>
    <w:p w14:paraId="7F6BDC8D" w14:textId="77777777" w:rsidR="00290A8A" w:rsidRPr="00BA3A52" w:rsidRDefault="004A7A82" w:rsidP="00290A8A">
      <w:pPr>
        <w:ind w:firstLine="720"/>
        <w:jc w:val="both"/>
      </w:pPr>
      <w:r w:rsidRPr="00BA3A52">
        <w:t>Moody's</w:t>
      </w:r>
      <w:r w:rsidRPr="00BA3A52">
        <w:tab/>
        <w:t>P1</w:t>
      </w:r>
    </w:p>
    <w:p w14:paraId="67F913A4" w14:textId="77777777" w:rsidR="00290A8A" w:rsidRPr="00BA3A52" w:rsidRDefault="004A7A82" w:rsidP="00290A8A">
      <w:pPr>
        <w:ind w:firstLine="720"/>
        <w:jc w:val="both"/>
      </w:pPr>
      <w:r w:rsidRPr="00BA3A52">
        <w:t>S&amp;P</w:t>
      </w:r>
      <w:r w:rsidRPr="00BA3A52">
        <w:tab/>
      </w:r>
      <w:r w:rsidRPr="00BA3A52">
        <w:tab/>
        <w:t>A1</w:t>
      </w:r>
    </w:p>
    <w:p w14:paraId="597375AF" w14:textId="77777777" w:rsidR="00290A8A" w:rsidRPr="00BA3A52" w:rsidRDefault="004A7A82" w:rsidP="00290A8A">
      <w:pPr>
        <w:ind w:firstLine="720"/>
        <w:jc w:val="both"/>
      </w:pPr>
      <w:r w:rsidRPr="00BA3A52">
        <w:t>Fitch</w:t>
      </w:r>
      <w:r w:rsidRPr="00BA3A52">
        <w:tab/>
      </w:r>
      <w:r w:rsidRPr="00BA3A52">
        <w:tab/>
        <w:t>F1</w:t>
      </w:r>
    </w:p>
    <w:p w14:paraId="3D76A51F" w14:textId="77777777" w:rsidR="00290A8A" w:rsidRPr="00BA3A52" w:rsidRDefault="00290A8A" w:rsidP="00290A8A">
      <w:pPr>
        <w:ind w:firstLine="720"/>
        <w:jc w:val="both"/>
      </w:pPr>
    </w:p>
    <w:p w14:paraId="0BA97B58" w14:textId="77777777" w:rsidR="00290A8A" w:rsidRPr="00BA3A52" w:rsidRDefault="004A7A82" w:rsidP="00290A8A">
      <w:pPr>
        <w:jc w:val="both"/>
        <w:rPr>
          <w:b/>
          <w:u w:val="single"/>
        </w:rPr>
      </w:pPr>
      <w:r w:rsidRPr="00BA3A52">
        <w:t>Short term ratings were specifically created by the agencies for money market investors as they reflect specifically the liquidity positions of the institutions concerned.</w:t>
      </w:r>
    </w:p>
    <w:p w14:paraId="7FED93B7" w14:textId="77777777" w:rsidR="00290A8A" w:rsidRPr="00BA3A52" w:rsidRDefault="00290A8A" w:rsidP="00290A8A">
      <w:pPr>
        <w:jc w:val="both"/>
      </w:pPr>
    </w:p>
    <w:p w14:paraId="5848CEE3" w14:textId="77777777" w:rsidR="00290A8A" w:rsidRPr="00BA3A52" w:rsidRDefault="004A7A82" w:rsidP="00290A8A">
      <w:pPr>
        <w:jc w:val="both"/>
      </w:pPr>
      <w:r w:rsidRPr="00BA3A52">
        <w:t>For medium term investments in the form of tradeable bonds or certificates of deposit (1 to 5 years, where immediate liquidation can be demonstrated), a blended average of the ratings will be taken (averaging across all available ratings), with a minimum of:</w:t>
      </w:r>
    </w:p>
    <w:p w14:paraId="7C35BA98" w14:textId="77777777" w:rsidR="00290A8A" w:rsidRPr="00BA3A52" w:rsidRDefault="004A7A82" w:rsidP="00290A8A">
      <w:pPr>
        <w:ind w:left="720"/>
        <w:jc w:val="both"/>
      </w:pPr>
      <w:r w:rsidRPr="00BA3A52">
        <w:t xml:space="preserve">Long term </w:t>
      </w:r>
      <w:r w:rsidRPr="00BA3A52">
        <w:tab/>
        <w:t xml:space="preserve">A2/A </w:t>
      </w:r>
    </w:p>
    <w:p w14:paraId="34445B25" w14:textId="77777777" w:rsidR="00290A8A" w:rsidRPr="00BA3A52" w:rsidRDefault="004A7A82" w:rsidP="00290A8A">
      <w:pPr>
        <w:ind w:firstLine="720"/>
        <w:jc w:val="both"/>
      </w:pPr>
      <w:r w:rsidRPr="00BA3A52">
        <w:t xml:space="preserve">Short term </w:t>
      </w:r>
      <w:r w:rsidRPr="00BA3A52">
        <w:tab/>
        <w:t xml:space="preserve">P1/F1+/A1+ </w:t>
      </w:r>
    </w:p>
    <w:p w14:paraId="3D697315" w14:textId="77777777" w:rsidR="00290A8A" w:rsidRPr="00BA3A52" w:rsidRDefault="00290A8A" w:rsidP="00290A8A">
      <w:pPr>
        <w:jc w:val="both"/>
      </w:pPr>
    </w:p>
    <w:p w14:paraId="1170C1E7" w14:textId="77777777" w:rsidR="00290A8A" w:rsidRPr="00BA3A52" w:rsidRDefault="004A7A82" w:rsidP="00290A8A">
      <w:pPr>
        <w:jc w:val="both"/>
      </w:pPr>
      <w:r w:rsidRPr="00BA3A52">
        <w:t>For longer term investments (five years and above) in the form of tradeable bonds where immediate liquidation can be demonstrated, a blended average of the ratings will be taken, with a minimum of:</w:t>
      </w:r>
    </w:p>
    <w:p w14:paraId="2DCB6328" w14:textId="77777777" w:rsidR="00290A8A" w:rsidRPr="00BA3A52" w:rsidRDefault="004A7A82" w:rsidP="00290A8A">
      <w:pPr>
        <w:ind w:left="1418" w:hanging="698"/>
        <w:jc w:val="both"/>
      </w:pPr>
      <w:r w:rsidRPr="00BA3A52">
        <w:t xml:space="preserve">Long term </w:t>
      </w:r>
      <w:r w:rsidRPr="00BA3A52">
        <w:tab/>
        <w:t>A1/A+</w:t>
      </w:r>
    </w:p>
    <w:p w14:paraId="6EA7BDC2" w14:textId="77777777" w:rsidR="00290A8A" w:rsidRPr="00BA3A52" w:rsidRDefault="004A7A82" w:rsidP="00290A8A">
      <w:pPr>
        <w:ind w:left="1418" w:hanging="698"/>
        <w:jc w:val="both"/>
      </w:pPr>
      <w:r w:rsidRPr="00BA3A52">
        <w:t xml:space="preserve">Short term </w:t>
      </w:r>
      <w:r w:rsidRPr="00BA3A52">
        <w:tab/>
        <w:t>P1/A1+/F1+</w:t>
      </w:r>
    </w:p>
    <w:p w14:paraId="3427BF94" w14:textId="77777777" w:rsidR="00290A8A" w:rsidRPr="00BA3A52" w:rsidRDefault="00290A8A" w:rsidP="00290A8A">
      <w:pPr>
        <w:ind w:left="1418" w:hanging="1418"/>
        <w:jc w:val="both"/>
      </w:pPr>
    </w:p>
    <w:p w14:paraId="73ED4D3B" w14:textId="77777777" w:rsidR="00290A8A" w:rsidRPr="00BA3A52" w:rsidRDefault="004A7A82" w:rsidP="00290A8A">
      <w:pPr>
        <w:jc w:val="both"/>
      </w:pPr>
      <w:r w:rsidRPr="00BA3A52">
        <w:t>The detailed calculation methodology of the blended average will be agreed with the council's advisers and set out in the treasury management practices document.</w:t>
      </w:r>
    </w:p>
    <w:p w14:paraId="71B8C0AC" w14:textId="77777777" w:rsidR="00290A8A" w:rsidRPr="00BA3A52" w:rsidRDefault="00290A8A" w:rsidP="00290A8A">
      <w:pPr>
        <w:jc w:val="both"/>
      </w:pPr>
    </w:p>
    <w:p w14:paraId="57C48A95" w14:textId="77777777" w:rsidR="00290A8A" w:rsidRPr="00BA3A52" w:rsidRDefault="004A7A82" w:rsidP="00290A8A">
      <w:pPr>
        <w:spacing w:after="240"/>
        <w:jc w:val="both"/>
      </w:pPr>
      <w:r w:rsidRPr="00BA3A52">
        <w:t xml:space="preserve">If the counterparty of an existing investment falls outside the policy due to a change in credit rating, full consideration will be made, </w:t>
      </w:r>
      <w:proofErr w:type="gramStart"/>
      <w:r w:rsidRPr="00BA3A52">
        <w:t>taking into account</w:t>
      </w:r>
      <w:proofErr w:type="gramEnd"/>
      <w:r w:rsidRPr="00BA3A52">
        <w:t xml:space="preserve"> all relevant information, as to whether a premature settlement of the investment should be negotiated.</w:t>
      </w:r>
    </w:p>
    <w:p w14:paraId="2A0558F6" w14:textId="77777777" w:rsidR="00290A8A" w:rsidRPr="00BA3A52" w:rsidRDefault="004A7A82" w:rsidP="00290A8A">
      <w:pPr>
        <w:spacing w:after="240"/>
        <w:jc w:val="both"/>
      </w:pPr>
      <w:r w:rsidRPr="00BA3A52">
        <w:t>The minimum sovereign rating for investment as issued by Moody's is A1 which is one notch below the UK and the same as Lancashire County Council. The UK's latest rating issued by Moody's is a long-term rating of Aa3 which is the fourth highest grade.</w:t>
      </w:r>
    </w:p>
    <w:p w14:paraId="2A329F40" w14:textId="77777777" w:rsidR="00290A8A" w:rsidRPr="00BA3A52" w:rsidRDefault="004A7A82" w:rsidP="00290A8A">
      <w:pPr>
        <w:jc w:val="both"/>
      </w:pPr>
      <w:r w:rsidRPr="00BA3A52">
        <w:t xml:space="preserve">Although the rating still falls within the current strategy it is possible if there is an economic downturn that there will be further downgrades and the UK is currently on negative watch with all the main rating agencies for both </w:t>
      </w:r>
      <w:proofErr w:type="gramStart"/>
      <w:r w:rsidRPr="00BA3A52">
        <w:t>short and long term</w:t>
      </w:r>
      <w:proofErr w:type="gramEnd"/>
      <w:r w:rsidRPr="00BA3A52">
        <w:t xml:space="preserve"> ratings. This could result in investments in UK government gilts, treasury bonds and bodies guaranteed by the UK government falling outside the treasury management strategy. However, even if there is a further reduction in the UK credit rating, the UK government is still deemed a safe investment. The government has never defaulted on its payments and as an ultimate solution it could prevent insolvency by printing money. Therefore, it is proposed that the minimum sovereign rating is not applied to the UK. </w:t>
      </w:r>
    </w:p>
    <w:p w14:paraId="73141178" w14:textId="77777777" w:rsidR="00290A8A" w:rsidRPr="00BA3A52" w:rsidRDefault="00290A8A" w:rsidP="00290A8A">
      <w:pPr>
        <w:jc w:val="both"/>
      </w:pPr>
    </w:p>
    <w:p w14:paraId="63EF23C6" w14:textId="77777777" w:rsidR="00290A8A" w:rsidRPr="00BA3A52" w:rsidRDefault="004A7A82" w:rsidP="00290A8A">
      <w:pPr>
        <w:jc w:val="both"/>
      </w:pPr>
      <w:r w:rsidRPr="00BA3A52">
        <w:t>The 2023/24 Investment Strategy included the holding of government Gilts and other long term corporate</w:t>
      </w:r>
      <w:r>
        <w:t xml:space="preserve"> and supra-national</w:t>
      </w:r>
      <w:r w:rsidRPr="00BA3A52">
        <w:t xml:space="preserve"> bonds. The holding of these at the 30 November was some </w:t>
      </w:r>
      <w:r w:rsidRPr="00D2123E">
        <w:t>£700m</w:t>
      </w:r>
      <w:r w:rsidRPr="00BA3A52">
        <w:t xml:space="preserve">. However, the market value of these assets </w:t>
      </w:r>
      <w:proofErr w:type="gramStart"/>
      <w:r w:rsidRPr="00BA3A52">
        <w:t>are</w:t>
      </w:r>
      <w:proofErr w:type="gramEnd"/>
      <w:r w:rsidRPr="00BA3A52">
        <w:t xml:space="preserve"> subject </w:t>
      </w:r>
      <w:r w:rsidRPr="00BA3A52">
        <w:lastRenderedPageBreak/>
        <w:t>to significant volatility. In recent years this volatility has been such that gains have been made on the sale of assets.  Recent market movement has seen the price of the bonds generally falling. If the current holding had to be sold there would be a significant loss. While there is no pressure to sell the assets for cash flow purposes this apparent loss will not be realised. It is not currently anticipated that these assets will need to be sold in 2024/25 for cash flow purposes and it is anticipated that prices will increase</w:t>
      </w:r>
      <w:r>
        <w:t xml:space="preserve"> in the medium term</w:t>
      </w:r>
      <w:r w:rsidRPr="00BA3A52">
        <w:t xml:space="preserve">. </w:t>
      </w:r>
    </w:p>
    <w:p w14:paraId="683C5472" w14:textId="77777777" w:rsidR="00290A8A" w:rsidRPr="00734E71" w:rsidRDefault="00290A8A" w:rsidP="00290A8A">
      <w:pPr>
        <w:jc w:val="both"/>
        <w:rPr>
          <w:highlight w:val="green"/>
        </w:rPr>
      </w:pPr>
    </w:p>
    <w:p w14:paraId="6D807A5E" w14:textId="77777777" w:rsidR="00290A8A" w:rsidRPr="00BA3A52" w:rsidRDefault="004A7A82" w:rsidP="00290A8A">
      <w:pPr>
        <w:jc w:val="both"/>
      </w:pPr>
      <w:r w:rsidRPr="00BA3A52">
        <w:t xml:space="preserve">In the 2023/24 investment strategy the investment in UK government including Gilts was unlimited whilst long term corporate and government </w:t>
      </w:r>
      <w:r>
        <w:t xml:space="preserve">backed </w:t>
      </w:r>
      <w:r w:rsidRPr="00BA3A52">
        <w:t xml:space="preserve">bonds had </w:t>
      </w:r>
      <w:r>
        <w:t>class</w:t>
      </w:r>
      <w:r w:rsidRPr="00BA3A52">
        <w:t xml:space="preserve"> limit</w:t>
      </w:r>
      <w:r>
        <w:t>s</w:t>
      </w:r>
      <w:r w:rsidRPr="00BA3A52">
        <w:t xml:space="preserve"> of</w:t>
      </w:r>
      <w:r>
        <w:t xml:space="preserve"> up to £400m</w:t>
      </w:r>
      <w:r w:rsidRPr="00BA3A52">
        <w:t xml:space="preserve">. With the financial uncertainty facing local government and the possible impact this will have on reserves and cash flow to minimise the risk of having to sell such bonds at a loss it is proposed that the total holding of Gilts and long term corporate bonds (with more than 5 years to maturity) is limited to 50% of total value of the investments held, reducing to 35% if market circumstances allow over the next 3 years.  </w:t>
      </w:r>
    </w:p>
    <w:p w14:paraId="74E369FF" w14:textId="77777777" w:rsidR="00290A8A" w:rsidRPr="00734E71" w:rsidRDefault="00290A8A" w:rsidP="00290A8A">
      <w:pPr>
        <w:jc w:val="both"/>
        <w:rPr>
          <w:highlight w:val="green"/>
        </w:rPr>
      </w:pPr>
    </w:p>
    <w:p w14:paraId="53665399" w14:textId="77777777" w:rsidR="00290A8A" w:rsidRPr="00BA3A52" w:rsidRDefault="004A7A82" w:rsidP="00290A8A">
      <w:pPr>
        <w:jc w:val="both"/>
      </w:pPr>
      <w:r w:rsidRPr="00BA3A52">
        <w:t xml:space="preserve">The </w:t>
      </w:r>
      <w:r>
        <w:t>council</w:t>
      </w:r>
      <w:r w:rsidRPr="00BA3A52">
        <w:t xml:space="preserve"> also holds corporate bonds which mature in 5 years or less. These are often floating rates notes where the interest payment is adjusted quarterly. Although the market value of these do fluctuate the prices are </w:t>
      </w:r>
      <w:proofErr w:type="gramStart"/>
      <w:r w:rsidRPr="00BA3A52">
        <w:t xml:space="preserve">fairly </w:t>
      </w:r>
      <w:r>
        <w:t>stable</w:t>
      </w:r>
      <w:proofErr w:type="gramEnd"/>
      <w:r w:rsidRPr="00BA3A52">
        <w:t>. The limits for these are</w:t>
      </w:r>
      <w:r>
        <w:t xml:space="preserve"> therefore</w:t>
      </w:r>
      <w:r w:rsidRPr="00BA3A52">
        <w:t xml:space="preserve"> to remain unchanged.  </w:t>
      </w:r>
    </w:p>
    <w:p w14:paraId="17A1E715" w14:textId="77777777" w:rsidR="00290A8A" w:rsidRPr="00BA3A52" w:rsidRDefault="00290A8A" w:rsidP="00290A8A">
      <w:pPr>
        <w:jc w:val="both"/>
      </w:pPr>
    </w:p>
    <w:p w14:paraId="392AC395" w14:textId="77777777" w:rsidR="00290A8A" w:rsidRPr="00BA3A52" w:rsidRDefault="004A7A82" w:rsidP="00290A8A">
      <w:pPr>
        <w:jc w:val="both"/>
      </w:pPr>
      <w:r w:rsidRPr="00BA3A52">
        <w:t xml:space="preserve">The counterparty limit of the UK government will remain as unlimited as the county council </w:t>
      </w:r>
      <w:proofErr w:type="gramStart"/>
      <w:r w:rsidRPr="00BA3A52">
        <w:t>has the ability to</w:t>
      </w:r>
      <w:proofErr w:type="gramEnd"/>
      <w:r w:rsidRPr="00BA3A52">
        <w:t xml:space="preserve"> invest with the Debt Management Office for periods from overnight and up to 6 months. </w:t>
      </w:r>
    </w:p>
    <w:p w14:paraId="389DF263" w14:textId="77777777" w:rsidR="00290A8A" w:rsidRPr="00BA3A52" w:rsidRDefault="00290A8A" w:rsidP="00290A8A">
      <w:pPr>
        <w:jc w:val="both"/>
      </w:pPr>
    </w:p>
    <w:p w14:paraId="3A2A24E8" w14:textId="77777777" w:rsidR="00C40133" w:rsidRDefault="00C40133" w:rsidP="00290A8A">
      <w:pPr>
        <w:jc w:val="both"/>
      </w:pPr>
    </w:p>
    <w:p w14:paraId="31061ABA" w14:textId="77777777" w:rsidR="00C40133" w:rsidRDefault="00C40133" w:rsidP="00290A8A">
      <w:pPr>
        <w:jc w:val="both"/>
      </w:pPr>
    </w:p>
    <w:p w14:paraId="6868B7AD" w14:textId="77777777" w:rsidR="00C40133" w:rsidRDefault="00C40133" w:rsidP="00290A8A">
      <w:pPr>
        <w:jc w:val="both"/>
      </w:pPr>
    </w:p>
    <w:p w14:paraId="11C4CB9F" w14:textId="77777777" w:rsidR="00C40133" w:rsidRDefault="00C40133" w:rsidP="00290A8A">
      <w:pPr>
        <w:jc w:val="both"/>
      </w:pPr>
    </w:p>
    <w:p w14:paraId="17C14D13" w14:textId="77777777" w:rsidR="00C40133" w:rsidRDefault="00C40133" w:rsidP="00290A8A">
      <w:pPr>
        <w:jc w:val="both"/>
      </w:pPr>
    </w:p>
    <w:p w14:paraId="0EA0667B" w14:textId="77777777" w:rsidR="00C40133" w:rsidRDefault="00C40133" w:rsidP="00290A8A">
      <w:pPr>
        <w:jc w:val="both"/>
      </w:pPr>
    </w:p>
    <w:p w14:paraId="1869C703" w14:textId="77777777" w:rsidR="00C40133" w:rsidRDefault="00C40133" w:rsidP="00290A8A">
      <w:pPr>
        <w:jc w:val="both"/>
      </w:pPr>
    </w:p>
    <w:p w14:paraId="22FDA5E1" w14:textId="77777777" w:rsidR="00C40133" w:rsidRDefault="00C40133" w:rsidP="00290A8A">
      <w:pPr>
        <w:jc w:val="both"/>
      </w:pPr>
    </w:p>
    <w:p w14:paraId="37246C22" w14:textId="77777777" w:rsidR="00C40133" w:rsidRDefault="00C40133" w:rsidP="00290A8A">
      <w:pPr>
        <w:jc w:val="both"/>
      </w:pPr>
    </w:p>
    <w:p w14:paraId="5E6F58BF" w14:textId="77777777" w:rsidR="00C40133" w:rsidRDefault="00C40133" w:rsidP="00290A8A">
      <w:pPr>
        <w:jc w:val="both"/>
      </w:pPr>
    </w:p>
    <w:p w14:paraId="24D0B51A" w14:textId="77777777" w:rsidR="00C40133" w:rsidRDefault="00C40133" w:rsidP="00290A8A">
      <w:pPr>
        <w:jc w:val="both"/>
      </w:pPr>
    </w:p>
    <w:p w14:paraId="74374B80" w14:textId="77777777" w:rsidR="00C40133" w:rsidRDefault="00C40133" w:rsidP="00290A8A">
      <w:pPr>
        <w:jc w:val="both"/>
      </w:pPr>
    </w:p>
    <w:p w14:paraId="41E2F63E" w14:textId="77777777" w:rsidR="00C40133" w:rsidRDefault="00C40133" w:rsidP="00290A8A">
      <w:pPr>
        <w:jc w:val="both"/>
      </w:pPr>
    </w:p>
    <w:p w14:paraId="11828D9F" w14:textId="77777777" w:rsidR="00C40133" w:rsidRDefault="00C40133" w:rsidP="00290A8A">
      <w:pPr>
        <w:jc w:val="both"/>
      </w:pPr>
    </w:p>
    <w:p w14:paraId="3AD5F51D" w14:textId="77777777" w:rsidR="00C40133" w:rsidRDefault="00C40133" w:rsidP="00290A8A">
      <w:pPr>
        <w:jc w:val="both"/>
      </w:pPr>
    </w:p>
    <w:p w14:paraId="6F8DE817" w14:textId="77777777" w:rsidR="00C40133" w:rsidRDefault="00C40133" w:rsidP="00290A8A">
      <w:pPr>
        <w:jc w:val="both"/>
      </w:pPr>
    </w:p>
    <w:p w14:paraId="5053D8CE" w14:textId="77777777" w:rsidR="00C40133" w:rsidRDefault="00C40133" w:rsidP="00290A8A">
      <w:pPr>
        <w:jc w:val="both"/>
      </w:pPr>
    </w:p>
    <w:p w14:paraId="1ABBAAF5" w14:textId="77777777" w:rsidR="00C40133" w:rsidRDefault="00C40133" w:rsidP="00290A8A">
      <w:pPr>
        <w:jc w:val="both"/>
      </w:pPr>
    </w:p>
    <w:p w14:paraId="343B7EBE" w14:textId="77777777" w:rsidR="00C40133" w:rsidRDefault="00C40133" w:rsidP="00290A8A">
      <w:pPr>
        <w:jc w:val="both"/>
      </w:pPr>
    </w:p>
    <w:p w14:paraId="0894F071" w14:textId="77777777" w:rsidR="00C40133" w:rsidRDefault="00C40133" w:rsidP="00290A8A">
      <w:pPr>
        <w:jc w:val="both"/>
      </w:pPr>
    </w:p>
    <w:p w14:paraId="1AD55074" w14:textId="77777777" w:rsidR="00C40133" w:rsidRDefault="00C40133" w:rsidP="00290A8A">
      <w:pPr>
        <w:jc w:val="both"/>
      </w:pPr>
    </w:p>
    <w:p w14:paraId="7A79F772" w14:textId="77777777" w:rsidR="00D83BFC" w:rsidRDefault="00D83BFC" w:rsidP="00290A8A">
      <w:pPr>
        <w:jc w:val="both"/>
      </w:pPr>
    </w:p>
    <w:p w14:paraId="6A8D4C4C" w14:textId="77777777" w:rsidR="00D83BFC" w:rsidRDefault="00D83BFC" w:rsidP="00290A8A">
      <w:pPr>
        <w:jc w:val="both"/>
      </w:pPr>
    </w:p>
    <w:p w14:paraId="3EAA0D0A" w14:textId="77777777" w:rsidR="00D83BFC" w:rsidRDefault="00D83BFC" w:rsidP="00290A8A">
      <w:pPr>
        <w:jc w:val="both"/>
      </w:pPr>
    </w:p>
    <w:p w14:paraId="1E688FD7" w14:textId="54D8C39D" w:rsidR="00290A8A" w:rsidRDefault="004A7A82" w:rsidP="00290A8A">
      <w:pPr>
        <w:jc w:val="both"/>
        <w:rPr>
          <w:color w:val="58B6C0" w:themeColor="accent2"/>
        </w:rPr>
      </w:pPr>
      <w:r w:rsidRPr="00BA3A52">
        <w:lastRenderedPageBreak/>
        <w:t xml:space="preserve">The </w:t>
      </w:r>
      <w:r>
        <w:t xml:space="preserve">following </w:t>
      </w:r>
      <w:r w:rsidRPr="00BA3A52">
        <w:t>table shows the approved investment counterparties and limits:</w:t>
      </w:r>
      <w:r w:rsidRPr="00BA3A52">
        <w:rPr>
          <w:color w:val="58B6C0" w:themeColor="accent2"/>
        </w:rPr>
        <w:t xml:space="preserve"> </w:t>
      </w:r>
    </w:p>
    <w:p w14:paraId="08CBDDE1" w14:textId="77777777" w:rsidR="00290A8A" w:rsidRPr="00BD218E" w:rsidRDefault="00290A8A" w:rsidP="00290A8A">
      <w:pPr>
        <w:jc w:val="both"/>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4"/>
        <w:gridCol w:w="1423"/>
        <w:gridCol w:w="1283"/>
        <w:gridCol w:w="1283"/>
        <w:gridCol w:w="1991"/>
      </w:tblGrid>
      <w:tr w:rsidR="00C92CD8" w14:paraId="51406CAA" w14:textId="77777777">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100BBE08" w14:textId="77777777" w:rsidR="00290A8A" w:rsidRPr="00BD218E" w:rsidRDefault="004A7A82">
            <w:pPr>
              <w:rPr>
                <w:sz w:val="20"/>
                <w:szCs w:val="20"/>
              </w:rPr>
            </w:pPr>
            <w:bookmarkStart w:id="11" w:name="_Hlk92970808"/>
            <w:bookmarkStart w:id="12" w:name="_Hlk92970783"/>
            <w:r w:rsidRPr="00BD218E">
              <w:rPr>
                <w:sz w:val="20"/>
                <w:szCs w:val="20"/>
              </w:rPr>
              <w:t>Instrument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2D8602B6" w14:textId="77777777" w:rsidR="00290A8A" w:rsidRPr="00BD218E" w:rsidRDefault="004A7A82">
            <w:pPr>
              <w:rPr>
                <w:sz w:val="20"/>
                <w:szCs w:val="20"/>
              </w:rPr>
            </w:pPr>
            <w:r w:rsidRPr="00BD218E">
              <w:rPr>
                <w:sz w:val="20"/>
                <w:szCs w:val="20"/>
              </w:rPr>
              <w:t>Minimum Credit Rating (blended average)</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922D6BD" w14:textId="77777777" w:rsidR="00290A8A" w:rsidRPr="00BD218E" w:rsidRDefault="004A7A82">
            <w:pPr>
              <w:rPr>
                <w:sz w:val="20"/>
                <w:szCs w:val="20"/>
              </w:rPr>
            </w:pPr>
            <w:r w:rsidRPr="00BD218E">
              <w:rPr>
                <w:sz w:val="20"/>
                <w:szCs w:val="20"/>
              </w:rPr>
              <w:t>Maximum individual Investment (£m)</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894C33D" w14:textId="77777777" w:rsidR="00290A8A" w:rsidRPr="00BD218E" w:rsidRDefault="004A7A82">
            <w:pPr>
              <w:rPr>
                <w:sz w:val="20"/>
                <w:szCs w:val="20"/>
              </w:rPr>
            </w:pPr>
            <w:r w:rsidRPr="00BD218E">
              <w:rPr>
                <w:sz w:val="20"/>
                <w:szCs w:val="20"/>
              </w:rPr>
              <w:t>Maximum total Investment (£m)</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1E12C5F1" w14:textId="77777777" w:rsidR="00290A8A" w:rsidRPr="00BD218E" w:rsidRDefault="004A7A82">
            <w:pPr>
              <w:rPr>
                <w:sz w:val="20"/>
                <w:szCs w:val="20"/>
              </w:rPr>
            </w:pPr>
            <w:r w:rsidRPr="00BD218E">
              <w:rPr>
                <w:sz w:val="20"/>
                <w:szCs w:val="20"/>
              </w:rPr>
              <w:t>Maximum Period</w:t>
            </w:r>
          </w:p>
        </w:tc>
      </w:tr>
      <w:bookmarkEnd w:id="11"/>
      <w:tr w:rsidR="00C92CD8" w14:paraId="31E7E0DD" w14:textId="77777777">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2F95A5DA" w14:textId="77777777" w:rsidR="00290A8A" w:rsidRPr="00BD218E" w:rsidRDefault="004A7A82">
            <w:pPr>
              <w:contextualSpacing/>
              <w:rPr>
                <w:sz w:val="20"/>
                <w:szCs w:val="20"/>
              </w:rPr>
            </w:pPr>
            <w:r w:rsidRPr="00BD218E">
              <w:rPr>
                <w:sz w:val="20"/>
                <w:szCs w:val="20"/>
              </w:rPr>
              <w:t>UK Government Gilts, Treasury Bills, Debt Management Office &amp; bodies guaranteed by UK Government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1B086BD9" w14:textId="77777777" w:rsidR="00290A8A" w:rsidRPr="00BD218E" w:rsidRDefault="004A7A82">
            <w:pPr>
              <w:contextualSpacing/>
              <w:rPr>
                <w:sz w:val="20"/>
                <w:szCs w:val="20"/>
              </w:rPr>
            </w:pPr>
            <w:r w:rsidRPr="00BD218E">
              <w:rPr>
                <w:sz w:val="20"/>
                <w:szCs w:val="20"/>
              </w:rPr>
              <w:t>UK 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D1E1A88" w14:textId="77777777" w:rsidR="00290A8A" w:rsidRPr="00BD218E" w:rsidRDefault="004A7A82">
            <w:pPr>
              <w:contextualSpacing/>
              <w:jc w:val="center"/>
              <w:rPr>
                <w:sz w:val="20"/>
                <w:szCs w:val="20"/>
              </w:rPr>
            </w:pPr>
            <w:r w:rsidRPr="00BD218E">
              <w:rPr>
                <w:sz w:val="20"/>
                <w:szCs w:val="20"/>
              </w:rPr>
              <w:t>unlimited</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6EC9DCF" w14:textId="77777777" w:rsidR="00290A8A" w:rsidRPr="00BD218E" w:rsidRDefault="004A7A82">
            <w:pPr>
              <w:contextualSpacing/>
              <w:jc w:val="center"/>
              <w:rPr>
                <w:sz w:val="20"/>
                <w:szCs w:val="20"/>
              </w:rPr>
            </w:pPr>
            <w:r w:rsidRPr="00BD218E">
              <w:rPr>
                <w:sz w:val="20"/>
                <w:szCs w:val="20"/>
              </w:rPr>
              <w:t>Unlimited subject to limit on Gilts</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6E6EF632" w14:textId="77777777" w:rsidR="00290A8A" w:rsidRPr="00BD218E" w:rsidRDefault="004A7A82">
            <w:pPr>
              <w:contextualSpacing/>
              <w:rPr>
                <w:sz w:val="20"/>
                <w:szCs w:val="20"/>
              </w:rPr>
            </w:pPr>
            <w:r w:rsidRPr="00BD218E">
              <w:rPr>
                <w:sz w:val="20"/>
                <w:szCs w:val="20"/>
              </w:rPr>
              <w:t>No limit</w:t>
            </w:r>
          </w:p>
        </w:tc>
      </w:tr>
      <w:tr w:rsidR="00C92CD8" w14:paraId="749D3999" w14:textId="77777777">
        <w:trPr>
          <w:trHeight w:val="708"/>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27AA4C23" w14:textId="77777777" w:rsidR="00290A8A" w:rsidRPr="00BD218E" w:rsidRDefault="004A7A82">
            <w:pPr>
              <w:contextualSpacing/>
              <w:rPr>
                <w:sz w:val="20"/>
                <w:szCs w:val="20"/>
              </w:rPr>
            </w:pPr>
            <w:r w:rsidRPr="00BD218E">
              <w:rPr>
                <w:sz w:val="20"/>
                <w:szCs w:val="20"/>
              </w:rPr>
              <w:t xml:space="preserve">Sterling Supranational Bonds &amp; Sterling Sovereign Bonds </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4B37A9FD" w14:textId="77777777" w:rsidR="00290A8A" w:rsidRPr="00BD218E" w:rsidRDefault="004A7A82">
            <w:pPr>
              <w:contextualSpacing/>
              <w:rPr>
                <w:sz w:val="20"/>
                <w:szCs w:val="20"/>
              </w:rPr>
            </w:pPr>
            <w:r w:rsidRPr="00BD218E">
              <w:rPr>
                <w:sz w:val="20"/>
                <w:szCs w:val="20"/>
              </w:rPr>
              <w:t>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1812F7E" w14:textId="77777777" w:rsidR="00290A8A" w:rsidRPr="00BD218E" w:rsidRDefault="004A7A82">
            <w:pPr>
              <w:contextualSpacing/>
              <w:jc w:val="center"/>
              <w:rPr>
                <w:sz w:val="20"/>
                <w:szCs w:val="20"/>
              </w:rPr>
            </w:pPr>
            <w:r w:rsidRPr="00BD218E">
              <w:rPr>
                <w:sz w:val="20"/>
                <w:szCs w:val="20"/>
              </w:rPr>
              <w:t>150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407D3C8" w14:textId="77777777" w:rsidR="00290A8A" w:rsidRPr="00BD218E" w:rsidRDefault="004A7A82">
            <w:pPr>
              <w:contextualSpacing/>
              <w:jc w:val="center"/>
              <w:rPr>
                <w:sz w:val="20"/>
                <w:szCs w:val="20"/>
              </w:rPr>
            </w:pPr>
            <w:r w:rsidRPr="00BD218E">
              <w:rPr>
                <w:sz w:val="20"/>
                <w:szCs w:val="20"/>
              </w:rPr>
              <w:t>300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7B5485C8" w14:textId="77777777" w:rsidR="00290A8A" w:rsidRPr="00BD218E" w:rsidRDefault="004A7A82">
            <w:pPr>
              <w:contextualSpacing/>
              <w:rPr>
                <w:sz w:val="20"/>
                <w:szCs w:val="20"/>
              </w:rPr>
            </w:pPr>
            <w:r w:rsidRPr="00BD218E">
              <w:rPr>
                <w:sz w:val="20"/>
                <w:szCs w:val="20"/>
              </w:rPr>
              <w:t>No limit</w:t>
            </w:r>
          </w:p>
        </w:tc>
      </w:tr>
      <w:tr w:rsidR="00C92CD8" w14:paraId="29E14E2D" w14:textId="77777777">
        <w:trPr>
          <w:trHeight w:val="704"/>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4EB78ACF" w14:textId="77777777" w:rsidR="00290A8A" w:rsidRPr="00BD218E" w:rsidRDefault="004A7A82">
            <w:pPr>
              <w:contextualSpacing/>
              <w:rPr>
                <w:sz w:val="20"/>
                <w:szCs w:val="20"/>
              </w:rPr>
            </w:pPr>
            <w:r w:rsidRPr="00BD218E">
              <w:rPr>
                <w:sz w:val="20"/>
                <w:szCs w:val="20"/>
              </w:rPr>
              <w:t>Corporate Bonds (Short Term less than 1 year to maturity)</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7254F426" w14:textId="77777777" w:rsidR="00290A8A" w:rsidRPr="00BD218E" w:rsidRDefault="004A7A82">
            <w:pPr>
              <w:contextualSpacing/>
              <w:rPr>
                <w:sz w:val="20"/>
                <w:szCs w:val="20"/>
              </w:rPr>
            </w:pPr>
            <w:r w:rsidRPr="00BD218E">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027448D" w14:textId="77777777" w:rsidR="00290A8A" w:rsidRPr="00BD218E" w:rsidRDefault="004A7A82">
            <w:pPr>
              <w:contextualSpacing/>
              <w:jc w:val="center"/>
              <w:rPr>
                <w:sz w:val="20"/>
                <w:szCs w:val="20"/>
              </w:rPr>
            </w:pPr>
            <w:r w:rsidRPr="00BD218E">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D7D9AAF" w14:textId="77777777" w:rsidR="00290A8A" w:rsidRPr="00BD218E" w:rsidRDefault="004A7A82">
            <w:pPr>
              <w:contextualSpacing/>
              <w:jc w:val="center"/>
              <w:rPr>
                <w:sz w:val="20"/>
                <w:szCs w:val="20"/>
              </w:rPr>
            </w:pPr>
            <w:r w:rsidRPr="00BD218E">
              <w:rPr>
                <w:sz w:val="20"/>
                <w:szCs w:val="20"/>
              </w:rPr>
              <w:t>200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16A3EDAA" w14:textId="77777777" w:rsidR="00290A8A" w:rsidRPr="00BD218E" w:rsidRDefault="004A7A82">
            <w:pPr>
              <w:contextualSpacing/>
              <w:rPr>
                <w:sz w:val="20"/>
                <w:szCs w:val="20"/>
              </w:rPr>
            </w:pPr>
            <w:r w:rsidRPr="00BD218E">
              <w:rPr>
                <w:sz w:val="20"/>
                <w:szCs w:val="20"/>
              </w:rPr>
              <w:t>1 year</w:t>
            </w:r>
          </w:p>
        </w:tc>
      </w:tr>
      <w:tr w:rsidR="00C92CD8" w14:paraId="1C950E2E" w14:textId="77777777">
        <w:trPr>
          <w:trHeight w:val="682"/>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4380EFC3" w14:textId="77777777" w:rsidR="00290A8A" w:rsidRPr="00BD218E" w:rsidRDefault="004A7A82">
            <w:pPr>
              <w:contextualSpacing/>
              <w:rPr>
                <w:sz w:val="20"/>
                <w:szCs w:val="20"/>
              </w:rPr>
            </w:pPr>
            <w:r w:rsidRPr="00BD218E">
              <w:rPr>
                <w:sz w:val="20"/>
                <w:szCs w:val="20"/>
              </w:rPr>
              <w:t>Corporate Bonds (Medium term up to 5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447AD665" w14:textId="77777777" w:rsidR="00290A8A" w:rsidRPr="00BD218E" w:rsidRDefault="004A7A82">
            <w:pPr>
              <w:contextualSpacing/>
              <w:rPr>
                <w:sz w:val="20"/>
                <w:szCs w:val="20"/>
              </w:rPr>
            </w:pPr>
            <w:r w:rsidRPr="00BD218E">
              <w:rPr>
                <w:sz w:val="20"/>
                <w:szCs w:val="20"/>
              </w:rPr>
              <w:t>AA-</w:t>
            </w:r>
          </w:p>
          <w:p w14:paraId="377FB044" w14:textId="77777777" w:rsidR="00290A8A" w:rsidRPr="00BD218E" w:rsidRDefault="004A7A82">
            <w:pPr>
              <w:contextualSpacing/>
              <w:rPr>
                <w:sz w:val="20"/>
                <w:szCs w:val="20"/>
              </w:rPr>
            </w:pPr>
            <w:r w:rsidRPr="00BD218E">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899F6CC" w14:textId="77777777" w:rsidR="00290A8A" w:rsidRPr="00BD218E" w:rsidRDefault="004A7A82">
            <w:pPr>
              <w:contextualSpacing/>
              <w:jc w:val="center"/>
              <w:rPr>
                <w:sz w:val="20"/>
                <w:szCs w:val="20"/>
              </w:rPr>
            </w:pPr>
            <w:r w:rsidRPr="00BD218E">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59DBEA3" w14:textId="77777777" w:rsidR="00290A8A" w:rsidRPr="00BD218E" w:rsidRDefault="004A7A82">
            <w:pPr>
              <w:contextualSpacing/>
              <w:jc w:val="center"/>
              <w:rPr>
                <w:sz w:val="20"/>
                <w:szCs w:val="20"/>
              </w:rPr>
            </w:pPr>
            <w:r w:rsidRPr="00BD218E">
              <w:rPr>
                <w:sz w:val="20"/>
                <w:szCs w:val="20"/>
              </w:rPr>
              <w:t>300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0FA7347B" w14:textId="77777777" w:rsidR="00290A8A" w:rsidRPr="00BD218E" w:rsidRDefault="004A7A82">
            <w:pPr>
              <w:contextualSpacing/>
              <w:rPr>
                <w:sz w:val="20"/>
                <w:szCs w:val="20"/>
              </w:rPr>
            </w:pPr>
            <w:r w:rsidRPr="00BD218E">
              <w:rPr>
                <w:sz w:val="20"/>
                <w:szCs w:val="20"/>
              </w:rPr>
              <w:t>5 years</w:t>
            </w:r>
          </w:p>
        </w:tc>
      </w:tr>
      <w:tr w:rsidR="00C92CD8" w14:paraId="341D9C8B" w14:textId="77777777">
        <w:trPr>
          <w:trHeight w:val="415"/>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1D4DB6BB" w14:textId="77777777" w:rsidR="00290A8A" w:rsidRPr="00BD218E" w:rsidRDefault="004A7A82">
            <w:pPr>
              <w:contextualSpacing/>
              <w:rPr>
                <w:sz w:val="20"/>
                <w:szCs w:val="20"/>
              </w:rPr>
            </w:pPr>
            <w:bookmarkStart w:id="13" w:name="_Hlk92970833"/>
            <w:r w:rsidRPr="00BD218E">
              <w:rPr>
                <w:sz w:val="20"/>
                <w:szCs w:val="20"/>
              </w:rPr>
              <w:t>Corporate Bonds (Long term)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4967EA5E" w14:textId="77777777" w:rsidR="00290A8A" w:rsidRPr="00BD218E" w:rsidRDefault="004A7A82">
            <w:pPr>
              <w:contextualSpacing/>
              <w:rPr>
                <w:sz w:val="20"/>
                <w:szCs w:val="20"/>
              </w:rPr>
            </w:pPr>
            <w:r w:rsidRPr="00BD218E">
              <w:rPr>
                <w:sz w:val="20"/>
                <w:szCs w:val="20"/>
              </w:rPr>
              <w:t>AA</w:t>
            </w:r>
          </w:p>
          <w:p w14:paraId="3296E819" w14:textId="77777777" w:rsidR="00290A8A" w:rsidRPr="00BD218E" w:rsidRDefault="004A7A82">
            <w:pPr>
              <w:contextualSpacing/>
              <w:rPr>
                <w:sz w:val="20"/>
                <w:szCs w:val="20"/>
              </w:rPr>
            </w:pPr>
            <w:r w:rsidRPr="00BD218E">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252D9A7" w14:textId="77777777" w:rsidR="00290A8A" w:rsidRPr="00BD218E" w:rsidRDefault="004A7A82">
            <w:pPr>
              <w:contextualSpacing/>
              <w:jc w:val="center"/>
              <w:rPr>
                <w:sz w:val="20"/>
                <w:szCs w:val="20"/>
              </w:rPr>
            </w:pPr>
            <w:r w:rsidRPr="00BD218E">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F74BBF4" w14:textId="77777777" w:rsidR="00290A8A" w:rsidRPr="00BD218E" w:rsidRDefault="004A7A82">
            <w:pPr>
              <w:contextualSpacing/>
              <w:jc w:val="center"/>
              <w:rPr>
                <w:sz w:val="20"/>
                <w:szCs w:val="20"/>
              </w:rPr>
            </w:pPr>
            <w:r w:rsidRPr="00BD218E">
              <w:rPr>
                <w:sz w:val="20"/>
                <w:szCs w:val="20"/>
              </w:rPr>
              <w:t>200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5C5B42C6" w14:textId="77777777" w:rsidR="00290A8A" w:rsidRPr="00BD218E" w:rsidRDefault="004A7A82">
            <w:pPr>
              <w:contextualSpacing/>
              <w:rPr>
                <w:sz w:val="20"/>
                <w:szCs w:val="20"/>
              </w:rPr>
            </w:pPr>
            <w:r w:rsidRPr="00BD218E">
              <w:rPr>
                <w:sz w:val="20"/>
                <w:szCs w:val="20"/>
              </w:rPr>
              <w:t>No limit</w:t>
            </w:r>
          </w:p>
        </w:tc>
      </w:tr>
      <w:tr w:rsidR="00C92CD8" w14:paraId="3A4A1E00" w14:textId="77777777">
        <w:trPr>
          <w:trHeight w:val="415"/>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6F0B4893" w14:textId="77777777" w:rsidR="00290A8A" w:rsidRPr="00BD218E" w:rsidRDefault="004A7A82">
            <w:pPr>
              <w:contextualSpacing/>
              <w:rPr>
                <w:sz w:val="20"/>
                <w:szCs w:val="20"/>
              </w:rPr>
            </w:pPr>
            <w:r w:rsidRPr="00BD218E">
              <w:rPr>
                <w:sz w:val="20"/>
                <w:szCs w:val="20"/>
              </w:rPr>
              <w:t>Corporate Bonds - government owned/backed companies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1EEC2591" w14:textId="77777777" w:rsidR="00290A8A" w:rsidRPr="00BD218E" w:rsidRDefault="004A7A82">
            <w:pPr>
              <w:contextualSpacing/>
              <w:rPr>
                <w:sz w:val="20"/>
                <w:szCs w:val="20"/>
              </w:rPr>
            </w:pPr>
            <w:r w:rsidRPr="00BD218E">
              <w:rPr>
                <w:sz w:val="20"/>
                <w:szCs w:val="20"/>
              </w:rPr>
              <w:t>A3</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469F062" w14:textId="77777777" w:rsidR="00290A8A" w:rsidRPr="00BD218E" w:rsidRDefault="004A7A82">
            <w:pPr>
              <w:contextualSpacing/>
              <w:jc w:val="center"/>
              <w:rPr>
                <w:sz w:val="20"/>
                <w:szCs w:val="20"/>
              </w:rPr>
            </w:pPr>
            <w:r w:rsidRPr="00BD218E">
              <w:rPr>
                <w:sz w:val="20"/>
                <w:szCs w:val="20"/>
              </w:rPr>
              <w:t>200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F37CF18" w14:textId="77777777" w:rsidR="00290A8A" w:rsidRPr="00BD218E" w:rsidRDefault="004A7A82">
            <w:pPr>
              <w:contextualSpacing/>
              <w:jc w:val="center"/>
              <w:rPr>
                <w:sz w:val="20"/>
                <w:szCs w:val="20"/>
              </w:rPr>
            </w:pPr>
            <w:r w:rsidRPr="00BD218E">
              <w:rPr>
                <w:sz w:val="20"/>
                <w:szCs w:val="20"/>
              </w:rPr>
              <w:t>400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2B10B059" w14:textId="77777777" w:rsidR="00290A8A" w:rsidRPr="00BD218E" w:rsidRDefault="004A7A82">
            <w:pPr>
              <w:contextualSpacing/>
              <w:rPr>
                <w:sz w:val="20"/>
                <w:szCs w:val="20"/>
              </w:rPr>
            </w:pPr>
            <w:r w:rsidRPr="00BD218E">
              <w:rPr>
                <w:sz w:val="20"/>
                <w:szCs w:val="20"/>
              </w:rPr>
              <w:t>No limit</w:t>
            </w:r>
          </w:p>
        </w:tc>
      </w:tr>
      <w:bookmarkEnd w:id="12"/>
      <w:bookmarkEnd w:id="13"/>
      <w:tr w:rsidR="00C92CD8" w14:paraId="6CB62810" w14:textId="77777777">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486DAD68" w14:textId="77777777" w:rsidR="00290A8A" w:rsidRPr="00BD218E" w:rsidRDefault="004A7A82">
            <w:pPr>
              <w:contextualSpacing/>
              <w:rPr>
                <w:sz w:val="20"/>
                <w:szCs w:val="20"/>
              </w:rPr>
            </w:pPr>
            <w:r w:rsidRPr="00BD218E">
              <w:rPr>
                <w:sz w:val="20"/>
                <w:szCs w:val="20"/>
              </w:rPr>
              <w:t>Government Bond Repurchase Agreements (Repo/ Reverse Repo)</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32A24C98" w14:textId="77777777" w:rsidR="00290A8A" w:rsidRPr="00BD218E" w:rsidRDefault="004A7A82">
            <w:pPr>
              <w:contextualSpacing/>
              <w:rPr>
                <w:sz w:val="20"/>
                <w:szCs w:val="20"/>
              </w:rPr>
            </w:pPr>
            <w:r w:rsidRPr="00BD218E">
              <w:rPr>
                <w:sz w:val="20"/>
                <w:szCs w:val="20"/>
              </w:rPr>
              <w:t xml:space="preserve">UK Government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7612695" w14:textId="77777777" w:rsidR="00290A8A" w:rsidRPr="00BD218E" w:rsidRDefault="004A7A82">
            <w:pPr>
              <w:contextualSpacing/>
              <w:jc w:val="center"/>
              <w:rPr>
                <w:sz w:val="20"/>
                <w:szCs w:val="20"/>
              </w:rPr>
            </w:pPr>
            <w:r w:rsidRPr="00BD218E">
              <w:rPr>
                <w:sz w:val="20"/>
                <w:szCs w:val="20"/>
              </w:rPr>
              <w:t>500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511E0EC" w14:textId="77777777" w:rsidR="00290A8A" w:rsidRPr="00BD218E" w:rsidRDefault="004A7A82">
            <w:pPr>
              <w:contextualSpacing/>
              <w:jc w:val="center"/>
              <w:rPr>
                <w:sz w:val="20"/>
                <w:szCs w:val="20"/>
              </w:rPr>
            </w:pPr>
            <w:r w:rsidRPr="00BD218E">
              <w:rPr>
                <w:sz w:val="20"/>
                <w:szCs w:val="20"/>
              </w:rPr>
              <w:t>500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19EE7974" w14:textId="77777777" w:rsidR="00290A8A" w:rsidRPr="00BD218E" w:rsidRDefault="004A7A82">
            <w:pPr>
              <w:contextualSpacing/>
              <w:rPr>
                <w:sz w:val="20"/>
                <w:szCs w:val="20"/>
              </w:rPr>
            </w:pPr>
            <w:r w:rsidRPr="00BD218E">
              <w:rPr>
                <w:sz w:val="20"/>
                <w:szCs w:val="20"/>
              </w:rPr>
              <w:t>3 years</w:t>
            </w:r>
          </w:p>
        </w:tc>
      </w:tr>
      <w:tr w:rsidR="00C92CD8" w14:paraId="17CC45C0" w14:textId="77777777">
        <w:trPr>
          <w:trHeight w:val="51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232BCE3F" w14:textId="77777777" w:rsidR="00290A8A" w:rsidRPr="00BD218E" w:rsidRDefault="004A7A82">
            <w:pPr>
              <w:contextualSpacing/>
              <w:rPr>
                <w:sz w:val="20"/>
                <w:szCs w:val="20"/>
              </w:rPr>
            </w:pPr>
            <w:r w:rsidRPr="00BD218E">
              <w:rPr>
                <w:sz w:val="20"/>
                <w:szCs w:val="20"/>
              </w:rPr>
              <w:t>Repurchase Agreements (Repo/ Reverse Repo)</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62941808" w14:textId="77777777" w:rsidR="00290A8A" w:rsidRPr="00BD218E" w:rsidRDefault="004A7A82">
            <w:pPr>
              <w:contextualSpacing/>
              <w:rPr>
                <w:sz w:val="20"/>
                <w:szCs w:val="20"/>
              </w:rPr>
            </w:pPr>
            <w:r w:rsidRPr="00BD218E">
              <w:rPr>
                <w:sz w:val="20"/>
                <w:szCs w:val="20"/>
              </w:rPr>
              <w:t>Other 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66AE03E" w14:textId="77777777" w:rsidR="00290A8A" w:rsidRPr="00BD218E" w:rsidRDefault="004A7A82">
            <w:pPr>
              <w:contextualSpacing/>
              <w:jc w:val="center"/>
              <w:rPr>
                <w:sz w:val="20"/>
                <w:szCs w:val="20"/>
              </w:rPr>
            </w:pPr>
            <w:r w:rsidRPr="00BD218E">
              <w:rPr>
                <w:sz w:val="20"/>
                <w:szCs w:val="20"/>
              </w:rPr>
              <w:t>200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D299599" w14:textId="77777777" w:rsidR="00290A8A" w:rsidRPr="00BD218E" w:rsidRDefault="004A7A82">
            <w:pPr>
              <w:contextualSpacing/>
              <w:jc w:val="center"/>
              <w:rPr>
                <w:sz w:val="20"/>
                <w:szCs w:val="20"/>
              </w:rPr>
            </w:pPr>
            <w:r w:rsidRPr="00BD218E">
              <w:rPr>
                <w:sz w:val="20"/>
                <w:szCs w:val="20"/>
              </w:rPr>
              <w:t>200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2F5CD7B7" w14:textId="77777777" w:rsidR="00290A8A" w:rsidRPr="00BD218E" w:rsidRDefault="004A7A82">
            <w:pPr>
              <w:contextualSpacing/>
              <w:rPr>
                <w:sz w:val="20"/>
                <w:szCs w:val="20"/>
              </w:rPr>
            </w:pPr>
            <w:r w:rsidRPr="00BD218E">
              <w:rPr>
                <w:sz w:val="20"/>
                <w:szCs w:val="20"/>
              </w:rPr>
              <w:t>1 year</w:t>
            </w:r>
          </w:p>
        </w:tc>
      </w:tr>
      <w:tr w:rsidR="00C92CD8" w14:paraId="07A0F06B" w14:textId="77777777">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129C880E" w14:textId="77777777" w:rsidR="00290A8A" w:rsidRPr="00BD218E" w:rsidRDefault="004A7A82">
            <w:pPr>
              <w:contextualSpacing/>
              <w:rPr>
                <w:sz w:val="20"/>
                <w:szCs w:val="20"/>
              </w:rPr>
            </w:pPr>
            <w:r w:rsidRPr="00BD218E">
              <w:rPr>
                <w:sz w:val="20"/>
                <w:szCs w:val="20"/>
              </w:rPr>
              <w:t>Bond Funds with weighted average maturity maximum 3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1A1C487F" w14:textId="77777777" w:rsidR="00290A8A" w:rsidRPr="00BD218E" w:rsidRDefault="004A7A82">
            <w:pPr>
              <w:contextualSpacing/>
              <w:rPr>
                <w:sz w:val="20"/>
                <w:szCs w:val="20"/>
              </w:rPr>
            </w:pPr>
            <w:r w:rsidRPr="00BD218E">
              <w:rPr>
                <w:sz w:val="20"/>
                <w:szCs w:val="20"/>
              </w:rPr>
              <w:t>AA Rated weighted average maturity 3yrs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A15E795" w14:textId="77777777" w:rsidR="00290A8A" w:rsidRPr="00BD218E" w:rsidRDefault="004A7A82">
            <w:pPr>
              <w:contextualSpacing/>
              <w:jc w:val="center"/>
              <w:rPr>
                <w:sz w:val="20"/>
                <w:szCs w:val="20"/>
              </w:rPr>
            </w:pPr>
            <w:r w:rsidRPr="00BD218E">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56228DA" w14:textId="77777777" w:rsidR="00290A8A" w:rsidRPr="00BD218E" w:rsidRDefault="004A7A82">
            <w:pPr>
              <w:contextualSpacing/>
              <w:jc w:val="center"/>
              <w:rPr>
                <w:sz w:val="20"/>
                <w:szCs w:val="20"/>
              </w:rPr>
            </w:pPr>
            <w:r w:rsidRPr="00BD218E">
              <w:rPr>
                <w:sz w:val="20"/>
                <w:szCs w:val="20"/>
              </w:rPr>
              <w:t>100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61C61859" w14:textId="77777777" w:rsidR="00290A8A" w:rsidRPr="00BD218E" w:rsidRDefault="004A7A82">
            <w:pPr>
              <w:contextualSpacing/>
              <w:rPr>
                <w:sz w:val="20"/>
                <w:szCs w:val="20"/>
              </w:rPr>
            </w:pPr>
            <w:r w:rsidRPr="00BD218E">
              <w:rPr>
                <w:sz w:val="20"/>
                <w:szCs w:val="20"/>
              </w:rPr>
              <w:t>These investments do not have a defined maturity date</w:t>
            </w:r>
          </w:p>
        </w:tc>
      </w:tr>
      <w:tr w:rsidR="00C92CD8" w14:paraId="38F40589" w14:textId="77777777">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4433E36E" w14:textId="77777777" w:rsidR="00290A8A" w:rsidRPr="00BD218E" w:rsidRDefault="004A7A82">
            <w:pPr>
              <w:contextualSpacing/>
              <w:rPr>
                <w:sz w:val="20"/>
                <w:szCs w:val="20"/>
              </w:rPr>
            </w:pPr>
            <w:r w:rsidRPr="00BD218E">
              <w:rPr>
                <w:sz w:val="20"/>
                <w:szCs w:val="20"/>
              </w:rPr>
              <w:t>Bond Funds with weighted average maturity maximum 5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15A8D366" w14:textId="77777777" w:rsidR="00290A8A" w:rsidRPr="00BD218E" w:rsidRDefault="004A7A82">
            <w:pPr>
              <w:contextualSpacing/>
              <w:rPr>
                <w:sz w:val="20"/>
                <w:szCs w:val="20"/>
              </w:rPr>
            </w:pPr>
            <w:r w:rsidRPr="00BD218E">
              <w:rPr>
                <w:sz w:val="20"/>
                <w:szCs w:val="20"/>
              </w:rPr>
              <w:t xml:space="preserve">AAA Rated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8C29AC4" w14:textId="77777777" w:rsidR="00290A8A" w:rsidRPr="00BD218E" w:rsidRDefault="004A7A82">
            <w:pPr>
              <w:contextualSpacing/>
              <w:jc w:val="center"/>
              <w:rPr>
                <w:sz w:val="20"/>
                <w:szCs w:val="20"/>
              </w:rPr>
            </w:pPr>
            <w:r w:rsidRPr="00BD218E">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CB81936" w14:textId="77777777" w:rsidR="00290A8A" w:rsidRPr="00BD218E" w:rsidRDefault="004A7A82">
            <w:pPr>
              <w:contextualSpacing/>
              <w:jc w:val="center"/>
              <w:rPr>
                <w:sz w:val="20"/>
                <w:szCs w:val="20"/>
              </w:rPr>
            </w:pPr>
            <w:r w:rsidRPr="00BD218E">
              <w:rPr>
                <w:sz w:val="20"/>
                <w:szCs w:val="20"/>
              </w:rPr>
              <w:t>100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2DABF573" w14:textId="77777777" w:rsidR="00290A8A" w:rsidRPr="00BD218E" w:rsidRDefault="004A7A82">
            <w:pPr>
              <w:contextualSpacing/>
              <w:rPr>
                <w:sz w:val="20"/>
                <w:szCs w:val="20"/>
              </w:rPr>
            </w:pPr>
            <w:r w:rsidRPr="00BD218E">
              <w:rPr>
                <w:sz w:val="20"/>
                <w:szCs w:val="20"/>
              </w:rPr>
              <w:t>These investments do not have a defined maturity date</w:t>
            </w:r>
          </w:p>
        </w:tc>
      </w:tr>
      <w:tr w:rsidR="00C92CD8" w14:paraId="195C46AD" w14:textId="77777777">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04851A8F" w14:textId="77777777" w:rsidR="00290A8A" w:rsidRPr="00BD218E" w:rsidRDefault="004A7A82">
            <w:pPr>
              <w:contextualSpacing/>
              <w:rPr>
                <w:sz w:val="20"/>
                <w:szCs w:val="20"/>
              </w:rPr>
            </w:pPr>
            <w:r w:rsidRPr="00BD218E">
              <w:rPr>
                <w:sz w:val="20"/>
                <w:szCs w:val="20"/>
              </w:rPr>
              <w:t>Collateralised lending agreements backed by higher quality government or local government and supra national sterling securities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0158A5DD" w14:textId="77777777" w:rsidR="00290A8A" w:rsidRPr="00BD218E" w:rsidRDefault="004A7A82">
            <w:pPr>
              <w:contextualSpacing/>
              <w:rPr>
                <w:sz w:val="20"/>
                <w:szCs w:val="20"/>
              </w:rPr>
            </w:pPr>
            <w:r w:rsidRPr="00BD218E">
              <w:rPr>
                <w:sz w:val="20"/>
                <w:szCs w:val="20"/>
              </w:rPr>
              <w:t xml:space="preserve">AA- with cash or AA- for any collateral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0DFAE75" w14:textId="77777777" w:rsidR="00290A8A" w:rsidRPr="00BD218E" w:rsidRDefault="004A7A82">
            <w:pPr>
              <w:contextualSpacing/>
              <w:jc w:val="center"/>
              <w:rPr>
                <w:sz w:val="20"/>
                <w:szCs w:val="20"/>
              </w:rPr>
            </w:pPr>
            <w:r w:rsidRPr="00BD218E">
              <w:rPr>
                <w:sz w:val="20"/>
                <w:szCs w:val="20"/>
              </w:rPr>
              <w:t>300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034878F" w14:textId="77777777" w:rsidR="00290A8A" w:rsidRPr="00BD218E" w:rsidRDefault="004A7A82">
            <w:pPr>
              <w:contextualSpacing/>
              <w:jc w:val="center"/>
              <w:rPr>
                <w:sz w:val="20"/>
                <w:szCs w:val="20"/>
              </w:rPr>
            </w:pPr>
            <w:r w:rsidRPr="00BD218E">
              <w:rPr>
                <w:sz w:val="20"/>
                <w:szCs w:val="20"/>
              </w:rPr>
              <w:t>300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5A416213" w14:textId="77777777" w:rsidR="00290A8A" w:rsidRPr="00BD218E" w:rsidRDefault="004A7A82">
            <w:pPr>
              <w:contextualSpacing/>
              <w:rPr>
                <w:sz w:val="20"/>
                <w:szCs w:val="20"/>
              </w:rPr>
            </w:pPr>
            <w:r w:rsidRPr="00BD218E">
              <w:rPr>
                <w:sz w:val="20"/>
                <w:szCs w:val="20"/>
              </w:rPr>
              <w:t>25 years</w:t>
            </w:r>
          </w:p>
        </w:tc>
      </w:tr>
      <w:tr w:rsidR="00C92CD8" w14:paraId="679C842E" w14:textId="77777777">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0410112D" w14:textId="77777777" w:rsidR="00290A8A" w:rsidRPr="00BD218E" w:rsidRDefault="004A7A82">
            <w:pPr>
              <w:contextualSpacing/>
              <w:rPr>
                <w:sz w:val="20"/>
                <w:szCs w:val="20"/>
              </w:rPr>
            </w:pPr>
            <w:r w:rsidRPr="00BD218E">
              <w:rPr>
                <w:sz w:val="20"/>
                <w:szCs w:val="20"/>
              </w:rPr>
              <w:t xml:space="preserve">Call accounts and unsecured bank deposits up to 7 days with UK and Overseas Banks </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776F92E8" w14:textId="77777777" w:rsidR="00290A8A" w:rsidRPr="00BD218E" w:rsidRDefault="004A7A82">
            <w:pPr>
              <w:contextualSpacing/>
              <w:rPr>
                <w:sz w:val="20"/>
                <w:szCs w:val="20"/>
              </w:rPr>
            </w:pPr>
            <w:r w:rsidRPr="00BD218E">
              <w:rPr>
                <w:sz w:val="20"/>
                <w:szCs w:val="20"/>
              </w:rPr>
              <w:t>P1/A1/F1 Long term A Government support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E63CAE4" w14:textId="77777777" w:rsidR="00290A8A" w:rsidRPr="00BD218E" w:rsidRDefault="004A7A82">
            <w:pPr>
              <w:contextualSpacing/>
              <w:jc w:val="center"/>
              <w:rPr>
                <w:sz w:val="20"/>
                <w:szCs w:val="20"/>
              </w:rPr>
            </w:pPr>
            <w:r w:rsidRPr="00BD218E">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56B4301" w14:textId="77777777" w:rsidR="00290A8A" w:rsidRPr="00BD218E" w:rsidRDefault="004A7A82">
            <w:pPr>
              <w:contextualSpacing/>
              <w:jc w:val="center"/>
              <w:rPr>
                <w:sz w:val="20"/>
                <w:szCs w:val="20"/>
              </w:rPr>
            </w:pPr>
            <w:r w:rsidRPr="00BD218E">
              <w:rPr>
                <w:sz w:val="20"/>
                <w:szCs w:val="20"/>
              </w:rPr>
              <w:t>250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1EF63D5B" w14:textId="77777777" w:rsidR="00290A8A" w:rsidRPr="00BD218E" w:rsidRDefault="004A7A82">
            <w:pPr>
              <w:contextualSpacing/>
              <w:rPr>
                <w:sz w:val="20"/>
                <w:szCs w:val="20"/>
              </w:rPr>
            </w:pPr>
            <w:r w:rsidRPr="00BD218E">
              <w:rPr>
                <w:sz w:val="20"/>
                <w:szCs w:val="20"/>
              </w:rPr>
              <w:t>Overnight in line with clearing system guarantee (currently 4 years)</w:t>
            </w:r>
          </w:p>
        </w:tc>
      </w:tr>
      <w:tr w:rsidR="00C92CD8" w14:paraId="32406625" w14:textId="77777777">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7A87B46B" w14:textId="77777777" w:rsidR="00290A8A" w:rsidRPr="00BD218E" w:rsidRDefault="004A7A82">
            <w:pPr>
              <w:contextualSpacing/>
              <w:rPr>
                <w:sz w:val="20"/>
                <w:szCs w:val="20"/>
              </w:rPr>
            </w:pPr>
            <w:bookmarkStart w:id="14" w:name="_Hlk92970526"/>
            <w:r w:rsidRPr="00BD218E">
              <w:rPr>
                <w:sz w:val="20"/>
                <w:szCs w:val="20"/>
              </w:rPr>
              <w:t>Unsecured deposits/CDs to Banks and Building Societies</w:t>
            </w:r>
            <w:bookmarkEnd w:id="14"/>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432179A9" w14:textId="77777777" w:rsidR="00290A8A" w:rsidRPr="00BD218E" w:rsidRDefault="004A7A82">
            <w:pPr>
              <w:contextualSpacing/>
              <w:rPr>
                <w:sz w:val="20"/>
                <w:szCs w:val="20"/>
              </w:rPr>
            </w:pPr>
            <w:r w:rsidRPr="00BD218E">
              <w:rPr>
                <w:sz w:val="20"/>
                <w:szCs w:val="20"/>
              </w:rPr>
              <w:t>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6452DEB" w14:textId="77777777" w:rsidR="00290A8A" w:rsidRPr="00BD218E" w:rsidRDefault="004A7A82">
            <w:pPr>
              <w:contextualSpacing/>
              <w:jc w:val="center"/>
              <w:rPr>
                <w:sz w:val="20"/>
                <w:szCs w:val="20"/>
              </w:rPr>
            </w:pPr>
            <w:r w:rsidRPr="00BD218E">
              <w:rPr>
                <w:sz w:val="20"/>
                <w:szCs w:val="20"/>
              </w:rPr>
              <w:t>10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6FF954B" w14:textId="77777777" w:rsidR="00290A8A" w:rsidRPr="00BD218E" w:rsidRDefault="004A7A82">
            <w:pPr>
              <w:contextualSpacing/>
              <w:jc w:val="center"/>
              <w:rPr>
                <w:sz w:val="20"/>
                <w:szCs w:val="20"/>
              </w:rPr>
            </w:pPr>
            <w:r w:rsidRPr="00BD218E">
              <w:rPr>
                <w:sz w:val="20"/>
                <w:szCs w:val="20"/>
              </w:rPr>
              <w:t>50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260F4114" w14:textId="77777777" w:rsidR="00290A8A" w:rsidRPr="00BD218E" w:rsidRDefault="004A7A82">
            <w:pPr>
              <w:contextualSpacing/>
              <w:rPr>
                <w:sz w:val="20"/>
                <w:szCs w:val="20"/>
              </w:rPr>
            </w:pPr>
            <w:r w:rsidRPr="00BD218E">
              <w:rPr>
                <w:sz w:val="20"/>
                <w:szCs w:val="20"/>
              </w:rPr>
              <w:t>1 year</w:t>
            </w:r>
          </w:p>
        </w:tc>
      </w:tr>
      <w:tr w:rsidR="00C92CD8" w14:paraId="6BD7A00E" w14:textId="77777777">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6B9B7706" w14:textId="77777777" w:rsidR="00290A8A" w:rsidRPr="00BD218E" w:rsidRDefault="004A7A82">
            <w:pPr>
              <w:contextualSpacing/>
              <w:rPr>
                <w:sz w:val="20"/>
                <w:szCs w:val="20"/>
              </w:rPr>
            </w:pPr>
            <w:r w:rsidRPr="00BD218E">
              <w:rPr>
                <w:sz w:val="20"/>
                <w:szCs w:val="20"/>
              </w:rPr>
              <w:t>Equity, property, multi asset or credit Pooled Funds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46321C5D" w14:textId="77777777" w:rsidR="00290A8A" w:rsidRPr="00BD218E" w:rsidRDefault="004A7A82">
            <w:pPr>
              <w:contextualSpacing/>
              <w:rPr>
                <w:sz w:val="20"/>
                <w:szCs w:val="20"/>
              </w:rPr>
            </w:pPr>
            <w:r w:rsidRPr="00BD218E">
              <w:rPr>
                <w:sz w:val="20"/>
                <w:szCs w:val="20"/>
              </w:rPr>
              <w:t>Ratings are not produced for such Funds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B76E6F1" w14:textId="77777777" w:rsidR="00290A8A" w:rsidRPr="00BD218E" w:rsidRDefault="004A7A82">
            <w:pPr>
              <w:contextualSpacing/>
              <w:jc w:val="center"/>
              <w:rPr>
                <w:sz w:val="20"/>
                <w:szCs w:val="20"/>
              </w:rPr>
            </w:pPr>
            <w:r w:rsidRPr="00BD218E">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B866624" w14:textId="77777777" w:rsidR="00290A8A" w:rsidRPr="00BD218E" w:rsidRDefault="004A7A82">
            <w:pPr>
              <w:contextualSpacing/>
              <w:jc w:val="center"/>
              <w:rPr>
                <w:sz w:val="20"/>
                <w:szCs w:val="20"/>
              </w:rPr>
            </w:pPr>
            <w:r w:rsidRPr="00BD218E">
              <w:rPr>
                <w:sz w:val="20"/>
                <w:szCs w:val="20"/>
              </w:rPr>
              <w:t>100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1E0974EE" w14:textId="77777777" w:rsidR="00290A8A" w:rsidRPr="00BD218E" w:rsidRDefault="004A7A82">
            <w:pPr>
              <w:contextualSpacing/>
              <w:rPr>
                <w:sz w:val="20"/>
                <w:szCs w:val="20"/>
              </w:rPr>
            </w:pPr>
            <w:r w:rsidRPr="00BD218E">
              <w:rPr>
                <w:sz w:val="20"/>
                <w:szCs w:val="20"/>
              </w:rPr>
              <w:t>These investments do not have a defined maturity date</w:t>
            </w:r>
          </w:p>
        </w:tc>
      </w:tr>
      <w:tr w:rsidR="00C92CD8" w14:paraId="55B776C6" w14:textId="77777777">
        <w:trPr>
          <w:trHeight w:val="630"/>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4A2431DF" w14:textId="77777777" w:rsidR="00290A8A" w:rsidRPr="00BD218E" w:rsidRDefault="004A7A82">
            <w:pPr>
              <w:contextualSpacing/>
              <w:rPr>
                <w:sz w:val="20"/>
                <w:szCs w:val="20"/>
              </w:rPr>
            </w:pPr>
            <w:r w:rsidRPr="00BD218E">
              <w:rPr>
                <w:sz w:val="20"/>
                <w:szCs w:val="20"/>
              </w:rPr>
              <w:t>Local authority fixed term deposits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699A0A5B" w14:textId="77777777" w:rsidR="00290A8A" w:rsidRPr="00BD218E" w:rsidRDefault="004A7A82">
            <w:pPr>
              <w:contextualSpacing/>
              <w:rPr>
                <w:sz w:val="20"/>
                <w:szCs w:val="20"/>
              </w:rPr>
            </w:pPr>
            <w:r w:rsidRPr="00BD218E">
              <w:rPr>
                <w:sz w:val="20"/>
                <w:szCs w:val="20"/>
              </w:rPr>
              <w:t>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58C36CC" w14:textId="77777777" w:rsidR="00290A8A" w:rsidRPr="00BD218E" w:rsidRDefault="004A7A82">
            <w:pPr>
              <w:contextualSpacing/>
              <w:jc w:val="center"/>
              <w:rPr>
                <w:sz w:val="20"/>
                <w:szCs w:val="20"/>
              </w:rPr>
            </w:pPr>
            <w:r w:rsidRPr="00BD218E">
              <w:rPr>
                <w:sz w:val="20"/>
                <w:szCs w:val="20"/>
              </w:rPr>
              <w:t>30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F1F25F8" w14:textId="77777777" w:rsidR="00290A8A" w:rsidRPr="00BD218E" w:rsidRDefault="004A7A82">
            <w:pPr>
              <w:contextualSpacing/>
              <w:jc w:val="center"/>
              <w:rPr>
                <w:sz w:val="20"/>
                <w:szCs w:val="20"/>
              </w:rPr>
            </w:pPr>
            <w:r w:rsidRPr="00BD218E">
              <w:rPr>
                <w:sz w:val="20"/>
                <w:szCs w:val="20"/>
              </w:rPr>
              <w:t>450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69009094" w14:textId="77777777" w:rsidR="00290A8A" w:rsidRPr="00BD218E" w:rsidRDefault="004A7A82">
            <w:pPr>
              <w:contextualSpacing/>
              <w:rPr>
                <w:sz w:val="20"/>
                <w:szCs w:val="20"/>
              </w:rPr>
            </w:pPr>
            <w:r w:rsidRPr="00BD218E">
              <w:rPr>
                <w:sz w:val="20"/>
                <w:szCs w:val="20"/>
              </w:rPr>
              <w:t>50 years</w:t>
            </w:r>
          </w:p>
        </w:tc>
      </w:tr>
      <w:tr w:rsidR="00C92CD8" w14:paraId="0E7416EB" w14:textId="77777777">
        <w:trPr>
          <w:trHeight w:val="554"/>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7A54712D" w14:textId="77777777" w:rsidR="00290A8A" w:rsidRPr="00BD218E" w:rsidRDefault="004A7A82">
            <w:pPr>
              <w:contextualSpacing/>
              <w:rPr>
                <w:sz w:val="20"/>
                <w:szCs w:val="20"/>
              </w:rPr>
            </w:pPr>
            <w:r w:rsidRPr="00BD218E">
              <w:rPr>
                <w:sz w:val="20"/>
                <w:szCs w:val="20"/>
              </w:rPr>
              <w:t>Local authority bonds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1486D718" w14:textId="77777777" w:rsidR="00290A8A" w:rsidRPr="00BD218E" w:rsidRDefault="004A7A82">
            <w:pPr>
              <w:contextualSpacing/>
              <w:rPr>
                <w:sz w:val="20"/>
                <w:szCs w:val="20"/>
              </w:rPr>
            </w:pPr>
            <w:r w:rsidRPr="00BD218E">
              <w:rPr>
                <w:sz w:val="20"/>
                <w:szCs w:val="20"/>
              </w:rPr>
              <w:t>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3F65E0E" w14:textId="77777777" w:rsidR="00290A8A" w:rsidRPr="00BD218E" w:rsidRDefault="004A7A82">
            <w:pPr>
              <w:contextualSpacing/>
              <w:jc w:val="center"/>
              <w:rPr>
                <w:sz w:val="20"/>
                <w:szCs w:val="20"/>
              </w:rPr>
            </w:pPr>
            <w:r w:rsidRPr="00BD218E">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D830A9C" w14:textId="77777777" w:rsidR="00290A8A" w:rsidRPr="00BD218E" w:rsidRDefault="004A7A82">
            <w:pPr>
              <w:contextualSpacing/>
              <w:jc w:val="center"/>
              <w:rPr>
                <w:sz w:val="20"/>
                <w:szCs w:val="20"/>
              </w:rPr>
            </w:pPr>
            <w:r w:rsidRPr="00BD218E">
              <w:rPr>
                <w:sz w:val="20"/>
                <w:szCs w:val="20"/>
              </w:rPr>
              <w:t>300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573B0678" w14:textId="77777777" w:rsidR="00290A8A" w:rsidRPr="00BD218E" w:rsidRDefault="004A7A82">
            <w:pPr>
              <w:contextualSpacing/>
              <w:rPr>
                <w:sz w:val="20"/>
                <w:szCs w:val="20"/>
              </w:rPr>
            </w:pPr>
            <w:r w:rsidRPr="00BD218E">
              <w:rPr>
                <w:sz w:val="20"/>
                <w:szCs w:val="20"/>
              </w:rPr>
              <w:t>60 years</w:t>
            </w:r>
          </w:p>
        </w:tc>
      </w:tr>
      <w:tr w:rsidR="00C92CD8" w14:paraId="15AFB63F" w14:textId="77777777">
        <w:trPr>
          <w:trHeight w:val="554"/>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169FE960" w14:textId="77777777" w:rsidR="00290A8A" w:rsidRPr="00BD218E" w:rsidRDefault="004A7A82">
            <w:pPr>
              <w:contextualSpacing/>
              <w:rPr>
                <w:sz w:val="20"/>
                <w:szCs w:val="20"/>
              </w:rPr>
            </w:pPr>
            <w:r w:rsidRPr="00BD218E">
              <w:rPr>
                <w:sz w:val="20"/>
                <w:szCs w:val="20"/>
              </w:rPr>
              <w:lastRenderedPageBreak/>
              <w:t>Local Housing Associations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0FC8BD9A" w14:textId="77777777" w:rsidR="00290A8A" w:rsidRPr="00BD218E" w:rsidRDefault="004A7A82">
            <w:pPr>
              <w:contextualSpacing/>
              <w:rPr>
                <w:sz w:val="20"/>
                <w:szCs w:val="20"/>
              </w:rPr>
            </w:pPr>
            <w:r w:rsidRPr="00BD218E">
              <w:rPr>
                <w:sz w:val="20"/>
                <w:szCs w:val="20"/>
              </w:rPr>
              <w:t>1st lien on sufficient collateral</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31E797D" w14:textId="77777777" w:rsidR="00290A8A" w:rsidRPr="00BD218E" w:rsidRDefault="004A7A82">
            <w:pPr>
              <w:contextualSpacing/>
              <w:jc w:val="center"/>
              <w:rPr>
                <w:sz w:val="20"/>
                <w:szCs w:val="20"/>
              </w:rPr>
            </w:pPr>
            <w:r w:rsidRPr="00BD218E">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3278142" w14:textId="77777777" w:rsidR="00290A8A" w:rsidRPr="00BD218E" w:rsidRDefault="004A7A82">
            <w:pPr>
              <w:contextualSpacing/>
              <w:jc w:val="center"/>
              <w:rPr>
                <w:sz w:val="20"/>
                <w:szCs w:val="20"/>
              </w:rPr>
            </w:pPr>
            <w:r w:rsidRPr="00BD218E">
              <w:rPr>
                <w:sz w:val="20"/>
                <w:szCs w:val="20"/>
              </w:rPr>
              <w:t>300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7D969A70" w14:textId="77777777" w:rsidR="00290A8A" w:rsidRPr="00BD218E" w:rsidRDefault="004A7A82">
            <w:pPr>
              <w:contextualSpacing/>
              <w:rPr>
                <w:sz w:val="20"/>
                <w:szCs w:val="20"/>
              </w:rPr>
            </w:pPr>
            <w:r w:rsidRPr="00BD218E">
              <w:rPr>
                <w:sz w:val="20"/>
                <w:szCs w:val="20"/>
              </w:rPr>
              <w:t>50 years</w:t>
            </w:r>
          </w:p>
        </w:tc>
      </w:tr>
    </w:tbl>
    <w:p w14:paraId="10EF5699" w14:textId="77777777" w:rsidR="00290A8A" w:rsidRPr="00BD218E" w:rsidRDefault="004A7A82" w:rsidP="00290A8A">
      <w:pPr>
        <w:jc w:val="both"/>
      </w:pPr>
      <w:r w:rsidRPr="00BD218E">
        <w:t xml:space="preserve">Note: if the credit rating of assets already held fall below the relevant limit action to address this will be taken at an appropriate time considering the financial impact of any decision to disinvest. </w:t>
      </w:r>
    </w:p>
    <w:p w14:paraId="48D9D88A" w14:textId="77777777" w:rsidR="00290A8A" w:rsidRPr="00734E71" w:rsidRDefault="00290A8A" w:rsidP="00290A8A">
      <w:pPr>
        <w:jc w:val="both"/>
        <w:rPr>
          <w:highlight w:val="green"/>
        </w:rPr>
      </w:pPr>
    </w:p>
    <w:p w14:paraId="6854FF5F" w14:textId="29A6888B" w:rsidR="00290A8A" w:rsidRPr="004C53C0" w:rsidRDefault="004A7A82" w:rsidP="00290A8A">
      <w:pPr>
        <w:jc w:val="both"/>
      </w:pPr>
      <w:r w:rsidRPr="004C53C0">
        <w:t xml:space="preserve">As referred to earlier in this report the UK is subject to credit ratings and has recently been on negative outlook. If the UK rating is </w:t>
      </w:r>
      <w:proofErr w:type="gramStart"/>
      <w:r w:rsidRPr="004C53C0">
        <w:t>reduced</w:t>
      </w:r>
      <w:proofErr w:type="gramEnd"/>
      <w:r w:rsidRPr="004C53C0">
        <w:t xml:space="preserve"> then some of the ratings in the credit matrix above may need to be revisited. It is proposed that if the UK credit rating is downgraded in the </w:t>
      </w:r>
      <w:proofErr w:type="gramStart"/>
      <w:r w:rsidRPr="004C53C0">
        <w:t>year</w:t>
      </w:r>
      <w:proofErr w:type="gramEnd"/>
      <w:r w:rsidRPr="004C53C0">
        <w:t xml:space="preserve"> then for the longer term investments (over 5 years) credit limits will be the UK</w:t>
      </w:r>
      <w:r w:rsidR="001F3738">
        <w:t>'</w:t>
      </w:r>
      <w:r w:rsidRPr="004C53C0">
        <w:t xml:space="preserve">s rating minus a notch, and the shorter term investments (5 years and under) the rating minus 2 notches. These would then be reviewed in setting the strategy for 2025/26 or if the ratings fell below investment grade ratings.  </w:t>
      </w:r>
    </w:p>
    <w:p w14:paraId="1FD5C62A" w14:textId="77777777" w:rsidR="00290A8A" w:rsidRPr="00734E71" w:rsidRDefault="00290A8A" w:rsidP="00290A8A">
      <w:pPr>
        <w:jc w:val="both"/>
        <w:rPr>
          <w:highlight w:val="green"/>
        </w:rPr>
      </w:pPr>
    </w:p>
    <w:p w14:paraId="67200D40" w14:textId="77777777" w:rsidR="00290A8A" w:rsidRPr="00BA3A52" w:rsidRDefault="004A7A82" w:rsidP="00290A8A">
      <w:pPr>
        <w:jc w:val="both"/>
      </w:pPr>
      <w:r w:rsidRPr="00BA3A52">
        <w:t xml:space="preserve">UK bank bail-in legislation provides that should a bank </w:t>
      </w:r>
      <w:proofErr w:type="gramStart"/>
      <w:r w:rsidRPr="00BA3A52">
        <w:t>fail</w:t>
      </w:r>
      <w:proofErr w:type="gramEnd"/>
      <w:r w:rsidRPr="00BA3A52">
        <w:t xml:space="preserve"> the authorities can impose losses on the bank's creditors which includes local authority deposits. Although the Treasury Management policy does allow unsecured bank deposits for up to one year, to reduce risk exposure to bank credit and 'bail-in legislation', deposits are used as call accounts and usually placed as overnight deals. However occasionally they may have to be placed for a few days at a time, therefore for clarification unsecured bank deposits up to one week have been included alongside call accounts in the Treasury Management policy matrix above. The only other unsecured deposits used relate to the operational bank accounts which are used for day to day and overnight business and, by virtue of being operational rather than investment accounts, fall outside Treasury Management investment limits.</w:t>
      </w:r>
    </w:p>
    <w:p w14:paraId="53A941D7" w14:textId="77777777" w:rsidR="00290A8A" w:rsidRPr="00734E71" w:rsidRDefault="00290A8A" w:rsidP="00290A8A">
      <w:pPr>
        <w:jc w:val="both"/>
        <w:rPr>
          <w:highlight w:val="green"/>
        </w:rPr>
      </w:pPr>
    </w:p>
    <w:p w14:paraId="1F4FBD09" w14:textId="77777777" w:rsidR="00290A8A" w:rsidRPr="00BA3A52" w:rsidRDefault="004A7A82" w:rsidP="00290A8A">
      <w:pPr>
        <w:spacing w:after="240"/>
        <w:jc w:val="both"/>
      </w:pPr>
      <w:r w:rsidRPr="00BA3A52">
        <w:t xml:space="preserve">Regarding investments with other local authorities, </w:t>
      </w:r>
      <w:proofErr w:type="spellStart"/>
      <w:r w:rsidRPr="00BA3A52">
        <w:t>Arlingclose</w:t>
      </w:r>
      <w:proofErr w:type="spellEnd"/>
      <w:r w:rsidRPr="00BA3A52">
        <w:t xml:space="preserve"> state that they are comfortable with clients making loans to UK local authorities for periods up to two years, subject to this meeting the approved strategy. For periods longer than two years they recommend that additional due diligence is undertaken prior to a loan being made. On this basis it is proposed that the nominal value of investments to local authorities are limited as follows:                                         </w:t>
      </w:r>
    </w:p>
    <w:tbl>
      <w:tblPr>
        <w:tblStyle w:val="TableGrid"/>
        <w:tblW w:w="0" w:type="auto"/>
        <w:tblLook w:val="04A0" w:firstRow="1" w:lastRow="0" w:firstColumn="1" w:lastColumn="0" w:noHBand="0" w:noVBand="1"/>
      </w:tblPr>
      <w:tblGrid>
        <w:gridCol w:w="2253"/>
        <w:gridCol w:w="2420"/>
        <w:gridCol w:w="2410"/>
        <w:gridCol w:w="1933"/>
      </w:tblGrid>
      <w:tr w:rsidR="00C92CD8" w14:paraId="642FC574" w14:textId="77777777" w:rsidTr="00C92CD8">
        <w:trPr>
          <w:cnfStyle w:val="100000000000" w:firstRow="1" w:lastRow="0" w:firstColumn="0" w:lastColumn="0" w:oddVBand="0" w:evenVBand="0" w:oddHBand="0" w:evenHBand="0" w:firstRowFirstColumn="0" w:firstRowLastColumn="0" w:lastRowFirstColumn="0" w:lastRowLastColumn="0"/>
          <w:trHeight w:val="496"/>
        </w:trPr>
        <w:tc>
          <w:tcPr>
            <w:tcW w:w="2253" w:type="dxa"/>
          </w:tcPr>
          <w:p w14:paraId="5113B346" w14:textId="77777777" w:rsidR="00290A8A" w:rsidRPr="00BA3A52" w:rsidRDefault="00290A8A">
            <w:pPr>
              <w:rPr>
                <w:sz w:val="22"/>
                <w:szCs w:val="22"/>
              </w:rPr>
            </w:pPr>
          </w:p>
        </w:tc>
        <w:tc>
          <w:tcPr>
            <w:tcW w:w="2420" w:type="dxa"/>
          </w:tcPr>
          <w:p w14:paraId="7BD15653" w14:textId="77777777" w:rsidR="00290A8A" w:rsidRPr="00BA3A52" w:rsidRDefault="004A7A82">
            <w:pPr>
              <w:jc w:val="center"/>
              <w:rPr>
                <w:sz w:val="22"/>
                <w:szCs w:val="22"/>
              </w:rPr>
            </w:pPr>
            <w:r w:rsidRPr="00BA3A52">
              <w:rPr>
                <w:sz w:val="22"/>
                <w:szCs w:val="22"/>
              </w:rPr>
              <w:t>Maximum individual investment</w:t>
            </w:r>
          </w:p>
        </w:tc>
        <w:tc>
          <w:tcPr>
            <w:tcW w:w="2410" w:type="dxa"/>
          </w:tcPr>
          <w:p w14:paraId="28E99C73" w14:textId="77777777" w:rsidR="00290A8A" w:rsidRPr="00BA3A52" w:rsidRDefault="004A7A82">
            <w:pPr>
              <w:jc w:val="center"/>
              <w:rPr>
                <w:sz w:val="22"/>
                <w:szCs w:val="22"/>
              </w:rPr>
            </w:pPr>
            <w:r w:rsidRPr="00BA3A52">
              <w:rPr>
                <w:sz w:val="22"/>
                <w:szCs w:val="22"/>
              </w:rPr>
              <w:t xml:space="preserve">Maximum total investment </w:t>
            </w:r>
          </w:p>
        </w:tc>
        <w:tc>
          <w:tcPr>
            <w:tcW w:w="1933" w:type="dxa"/>
          </w:tcPr>
          <w:p w14:paraId="2523A9A4" w14:textId="77777777" w:rsidR="00290A8A" w:rsidRPr="00BA3A52" w:rsidRDefault="004A7A82">
            <w:pPr>
              <w:jc w:val="center"/>
              <w:rPr>
                <w:sz w:val="22"/>
                <w:szCs w:val="22"/>
              </w:rPr>
            </w:pPr>
            <w:r w:rsidRPr="00BA3A52">
              <w:rPr>
                <w:sz w:val="22"/>
                <w:szCs w:val="22"/>
              </w:rPr>
              <w:t>Maximum period</w:t>
            </w:r>
          </w:p>
        </w:tc>
      </w:tr>
      <w:tr w:rsidR="00C92CD8" w14:paraId="7EC71F3F" w14:textId="77777777" w:rsidTr="00C92CD8">
        <w:trPr>
          <w:cnfStyle w:val="000000100000" w:firstRow="0" w:lastRow="0" w:firstColumn="0" w:lastColumn="0" w:oddVBand="0" w:evenVBand="0" w:oddHBand="1" w:evenHBand="0" w:firstRowFirstColumn="0" w:firstRowLastColumn="0" w:lastRowFirstColumn="0" w:lastRowLastColumn="0"/>
        </w:trPr>
        <w:tc>
          <w:tcPr>
            <w:tcW w:w="2253" w:type="dxa"/>
          </w:tcPr>
          <w:p w14:paraId="17B6DAEB" w14:textId="77777777" w:rsidR="00290A8A" w:rsidRPr="00BA3A52" w:rsidRDefault="004A7A82">
            <w:r w:rsidRPr="00BA3A52">
              <w:t>Up to 2 years</w:t>
            </w:r>
          </w:p>
        </w:tc>
        <w:tc>
          <w:tcPr>
            <w:tcW w:w="2420" w:type="dxa"/>
          </w:tcPr>
          <w:p w14:paraId="5CF932CD" w14:textId="77777777" w:rsidR="00290A8A" w:rsidRPr="00BA3A52" w:rsidRDefault="004A7A82">
            <w:pPr>
              <w:jc w:val="right"/>
            </w:pPr>
            <w:r w:rsidRPr="00BA3A52">
              <w:t>£30m</w:t>
            </w:r>
          </w:p>
        </w:tc>
        <w:tc>
          <w:tcPr>
            <w:tcW w:w="2410" w:type="dxa"/>
          </w:tcPr>
          <w:p w14:paraId="5F1EBC9C" w14:textId="77777777" w:rsidR="00290A8A" w:rsidRPr="00BA3A52" w:rsidRDefault="004A7A82">
            <w:pPr>
              <w:jc w:val="right"/>
            </w:pPr>
            <w:r w:rsidRPr="00BA3A52">
              <w:t>£450m</w:t>
            </w:r>
          </w:p>
        </w:tc>
        <w:tc>
          <w:tcPr>
            <w:tcW w:w="1933" w:type="dxa"/>
          </w:tcPr>
          <w:p w14:paraId="39369A38" w14:textId="77777777" w:rsidR="00290A8A" w:rsidRPr="00BA3A52" w:rsidRDefault="004A7A82">
            <w:pPr>
              <w:jc w:val="right"/>
            </w:pPr>
            <w:r w:rsidRPr="00BA3A52">
              <w:t>2 years</w:t>
            </w:r>
          </w:p>
        </w:tc>
      </w:tr>
      <w:tr w:rsidR="00C92CD8" w14:paraId="47D6C37A" w14:textId="77777777" w:rsidTr="00C92CD8">
        <w:trPr>
          <w:cnfStyle w:val="000000010000" w:firstRow="0" w:lastRow="0" w:firstColumn="0" w:lastColumn="0" w:oddVBand="0" w:evenVBand="0" w:oddHBand="0" w:evenHBand="1" w:firstRowFirstColumn="0" w:firstRowLastColumn="0" w:lastRowFirstColumn="0" w:lastRowLastColumn="0"/>
        </w:trPr>
        <w:tc>
          <w:tcPr>
            <w:tcW w:w="2253" w:type="dxa"/>
          </w:tcPr>
          <w:p w14:paraId="3806A9F9" w14:textId="77777777" w:rsidR="00290A8A" w:rsidRPr="00BA3A52" w:rsidRDefault="004A7A82">
            <w:r w:rsidRPr="00BA3A52">
              <w:t>Over 2-10 years</w:t>
            </w:r>
          </w:p>
        </w:tc>
        <w:tc>
          <w:tcPr>
            <w:tcW w:w="2420" w:type="dxa"/>
          </w:tcPr>
          <w:p w14:paraId="72B3997C" w14:textId="77777777" w:rsidR="00290A8A" w:rsidRPr="00BA3A52" w:rsidRDefault="004A7A82">
            <w:pPr>
              <w:jc w:val="right"/>
            </w:pPr>
            <w:r w:rsidRPr="00BA3A52">
              <w:t>£25m</w:t>
            </w:r>
          </w:p>
        </w:tc>
        <w:tc>
          <w:tcPr>
            <w:tcW w:w="2410" w:type="dxa"/>
          </w:tcPr>
          <w:p w14:paraId="6F1416B1" w14:textId="77777777" w:rsidR="00290A8A" w:rsidRPr="00BA3A52" w:rsidRDefault="004A7A82">
            <w:pPr>
              <w:jc w:val="right"/>
            </w:pPr>
            <w:r w:rsidRPr="00BA3A52">
              <w:t>£300m</w:t>
            </w:r>
          </w:p>
        </w:tc>
        <w:tc>
          <w:tcPr>
            <w:tcW w:w="1933" w:type="dxa"/>
          </w:tcPr>
          <w:p w14:paraId="70B76CD3" w14:textId="77777777" w:rsidR="00290A8A" w:rsidRPr="00BA3A52" w:rsidRDefault="004A7A82">
            <w:pPr>
              <w:jc w:val="right"/>
            </w:pPr>
            <w:r w:rsidRPr="00BA3A52">
              <w:t>10 years</w:t>
            </w:r>
          </w:p>
        </w:tc>
      </w:tr>
      <w:tr w:rsidR="00C92CD8" w14:paraId="4DD6B24F" w14:textId="77777777" w:rsidTr="00C92CD8">
        <w:trPr>
          <w:cnfStyle w:val="000000100000" w:firstRow="0" w:lastRow="0" w:firstColumn="0" w:lastColumn="0" w:oddVBand="0" w:evenVBand="0" w:oddHBand="1" w:evenHBand="0" w:firstRowFirstColumn="0" w:firstRowLastColumn="0" w:lastRowFirstColumn="0" w:lastRowLastColumn="0"/>
        </w:trPr>
        <w:tc>
          <w:tcPr>
            <w:tcW w:w="2253" w:type="dxa"/>
          </w:tcPr>
          <w:p w14:paraId="1515FDA8" w14:textId="77777777" w:rsidR="00290A8A" w:rsidRPr="00BA3A52" w:rsidRDefault="004A7A82">
            <w:r w:rsidRPr="00BA3A52">
              <w:t>Over 10 years</w:t>
            </w:r>
          </w:p>
        </w:tc>
        <w:tc>
          <w:tcPr>
            <w:tcW w:w="2420" w:type="dxa"/>
          </w:tcPr>
          <w:p w14:paraId="07B0E3D0" w14:textId="77777777" w:rsidR="00290A8A" w:rsidRPr="00BA3A52" w:rsidRDefault="004A7A82">
            <w:pPr>
              <w:jc w:val="right"/>
            </w:pPr>
            <w:r w:rsidRPr="00BA3A52">
              <w:t>£25m</w:t>
            </w:r>
          </w:p>
        </w:tc>
        <w:tc>
          <w:tcPr>
            <w:tcW w:w="2410" w:type="dxa"/>
          </w:tcPr>
          <w:p w14:paraId="28204482" w14:textId="77777777" w:rsidR="00290A8A" w:rsidRPr="00BA3A52" w:rsidRDefault="004A7A82">
            <w:pPr>
              <w:jc w:val="right"/>
            </w:pPr>
            <w:r w:rsidRPr="00BA3A52">
              <w:t>£100m</w:t>
            </w:r>
          </w:p>
        </w:tc>
        <w:tc>
          <w:tcPr>
            <w:tcW w:w="1933" w:type="dxa"/>
          </w:tcPr>
          <w:p w14:paraId="78F0ED90" w14:textId="77777777" w:rsidR="00290A8A" w:rsidRPr="00BA3A52" w:rsidRDefault="004A7A82">
            <w:pPr>
              <w:jc w:val="right"/>
            </w:pPr>
            <w:r w:rsidRPr="00BA3A52">
              <w:t>50 years</w:t>
            </w:r>
          </w:p>
        </w:tc>
      </w:tr>
    </w:tbl>
    <w:p w14:paraId="40836A6C" w14:textId="77777777" w:rsidR="00290A8A" w:rsidRPr="00BA3A52" w:rsidRDefault="00290A8A" w:rsidP="00290A8A">
      <w:pPr>
        <w:jc w:val="both"/>
      </w:pPr>
    </w:p>
    <w:p w14:paraId="0C969664" w14:textId="77777777" w:rsidR="00290A8A" w:rsidRPr="00BA3A52" w:rsidRDefault="004A7A82" w:rsidP="00290A8A">
      <w:pPr>
        <w:jc w:val="both"/>
      </w:pPr>
      <w:r w:rsidRPr="00BA3A52">
        <w:t xml:space="preserve">In addition to fixed term deposits, occasionally local authorities issue bonds. The investment policy allows the county council to purchase such bonds as an investment which are generally held to maturity. The holding of the bonds </w:t>
      </w:r>
      <w:proofErr w:type="gramStart"/>
      <w:r w:rsidRPr="00BA3A52">
        <w:t>is considered to be</w:t>
      </w:r>
      <w:proofErr w:type="gramEnd"/>
      <w:r w:rsidRPr="00BA3A52">
        <w:t xml:space="preserve"> outside the limits expressed above but for the purpose of risk management the total of the bonds plus fixed term deposits with any one authority should not exceed £50m. </w:t>
      </w:r>
    </w:p>
    <w:p w14:paraId="0814360D" w14:textId="77777777" w:rsidR="00290A8A" w:rsidRPr="00BA3A52" w:rsidRDefault="00290A8A" w:rsidP="00290A8A">
      <w:pPr>
        <w:jc w:val="both"/>
      </w:pPr>
    </w:p>
    <w:p w14:paraId="0A6A3B49" w14:textId="77777777" w:rsidR="00290A8A" w:rsidRPr="00BA3A52" w:rsidRDefault="004A7A82" w:rsidP="00290A8A">
      <w:pPr>
        <w:jc w:val="both"/>
      </w:pPr>
      <w:r w:rsidRPr="00BA3A52">
        <w:t xml:space="preserve">The council's day to day transactional bank, National Westminster, lies outside the investment credit matrix but overnight deposits may be placed with them. In practice the balances are considered </w:t>
      </w:r>
      <w:proofErr w:type="gramStart"/>
      <w:r w:rsidRPr="00BA3A52">
        <w:t>on a daily basis</w:t>
      </w:r>
      <w:proofErr w:type="gramEnd"/>
      <w:r w:rsidRPr="00BA3A52">
        <w:t xml:space="preserve">. If there was a failure of National Westminster it is anticipated that they would be subject to bank bail-in rather than made </w:t>
      </w:r>
      <w:r w:rsidRPr="00BA3A52">
        <w:lastRenderedPageBreak/>
        <w:t xml:space="preserve">insolvent. This increases the chance of the council maintaining operational continuity but any monies in the bank would be at risk of at least a partial loss.  </w:t>
      </w:r>
    </w:p>
    <w:p w14:paraId="28711997" w14:textId="77777777" w:rsidR="00290A8A" w:rsidRPr="00734E71" w:rsidRDefault="00290A8A" w:rsidP="00290A8A">
      <w:pPr>
        <w:jc w:val="both"/>
        <w:rPr>
          <w:highlight w:val="green"/>
        </w:rPr>
      </w:pPr>
    </w:p>
    <w:p w14:paraId="15EF86EE" w14:textId="77777777" w:rsidR="00290A8A" w:rsidRPr="00B62DDC" w:rsidRDefault="004A7A82" w:rsidP="00290A8A">
      <w:pPr>
        <w:spacing w:after="200" w:line="276" w:lineRule="auto"/>
        <w:rPr>
          <w:b/>
          <w:iCs/>
        </w:rPr>
      </w:pPr>
      <w:r w:rsidRPr="00B62DDC">
        <w:rPr>
          <w:b/>
          <w:iCs/>
        </w:rPr>
        <w:t>Long term investments</w:t>
      </w:r>
    </w:p>
    <w:p w14:paraId="21182078" w14:textId="77777777" w:rsidR="00290A8A" w:rsidRPr="00BA3A52" w:rsidRDefault="004A7A82" w:rsidP="00290A8A">
      <w:pPr>
        <w:jc w:val="both"/>
      </w:pPr>
      <w:r w:rsidRPr="00546707">
        <w:t xml:space="preserve">The treasury management code requires where an authority invests, or plans to invest, for periods longer than one year then an upper limit for investments maturing </w:t>
      </w:r>
      <w:proofErr w:type="gramStart"/>
      <w:r w:rsidRPr="00546707">
        <w:t>in excess of</w:t>
      </w:r>
      <w:proofErr w:type="gramEnd"/>
      <w:r w:rsidRPr="00546707">
        <w:t xml:space="preserve"> one year is set. </w:t>
      </w:r>
      <w:r w:rsidRPr="00BA3A52">
        <w:t xml:space="preserve">The authority does have fixed term deposits which are for longer than a year and the bonds usually purchased have a maturity date which is </w:t>
      </w:r>
      <w:proofErr w:type="gramStart"/>
      <w:r w:rsidRPr="00BA3A52">
        <w:t>in excess of</w:t>
      </w:r>
      <w:proofErr w:type="gramEnd"/>
      <w:r w:rsidRPr="00BA3A52">
        <w:t xml:space="preserve"> one year and these could be held to maturity. </w:t>
      </w:r>
    </w:p>
    <w:p w14:paraId="35A2646D" w14:textId="77777777" w:rsidR="00290A8A" w:rsidRPr="00BA3A52" w:rsidRDefault="00290A8A" w:rsidP="00290A8A">
      <w:pPr>
        <w:jc w:val="both"/>
      </w:pPr>
    </w:p>
    <w:p w14:paraId="31F3725B" w14:textId="77777777" w:rsidR="00290A8A" w:rsidRPr="00BA3A52" w:rsidRDefault="004A7A82" w:rsidP="00290A8A">
      <w:pPr>
        <w:jc w:val="both"/>
      </w:pPr>
      <w:r w:rsidRPr="00BA3A52">
        <w:t xml:space="preserve">However, the investments are held in government and supranational securities, which are highly liquid.  In addition, the council holds a secondary liquidity investment book of very high quality covered floating rate notes which are typically issued for a three to seven-year term. Because these instruments have their rates re-fixed, at current market rates every three months, their price shows a very low sensitivity to changes in market rates, so that although they are classified as long-term instruments, in practice they operate as fixed instruments with a maximum of three months to maturity and can be liquidated with one or two-days' notice. Therefore the 'long term investments' total contains instruments which operate with a short-term </w:t>
      </w:r>
      <w:proofErr w:type="gramStart"/>
      <w:r w:rsidRPr="00BA3A52">
        <w:t>horizon</w:t>
      </w:r>
      <w:proofErr w:type="gramEnd"/>
      <w:r w:rsidRPr="00BA3A52">
        <w:t xml:space="preserve"> and which are central to achieving the council's security and liquidity objectives.</w:t>
      </w:r>
    </w:p>
    <w:p w14:paraId="6376CED8" w14:textId="77777777" w:rsidR="00290A8A" w:rsidRPr="00BA3A52" w:rsidRDefault="00290A8A" w:rsidP="00290A8A">
      <w:pPr>
        <w:jc w:val="both"/>
      </w:pPr>
    </w:p>
    <w:p w14:paraId="5FEA20BD" w14:textId="77777777" w:rsidR="00290A8A" w:rsidRPr="00BA3A52" w:rsidRDefault="004A7A82" w:rsidP="00290A8A">
      <w:pPr>
        <w:jc w:val="both"/>
      </w:pPr>
      <w:r w:rsidRPr="00BA3A52">
        <w:t xml:space="preserve">As a result of the nature of the assets held it is considered appropriate to have a high limit which is related to the forecast of reserves and balances held (currently forecast </w:t>
      </w:r>
      <w:r w:rsidRPr="00546707">
        <w:t xml:space="preserve">to be £800m </w:t>
      </w:r>
      <w:proofErr w:type="gramStart"/>
      <w:r w:rsidRPr="00546707">
        <w:t>at</w:t>
      </w:r>
      <w:proofErr w:type="gramEnd"/>
      <w:r w:rsidRPr="00546707">
        <w:t xml:space="preserve"> 31 March 202</w:t>
      </w:r>
      <w:r>
        <w:t>5</w:t>
      </w:r>
      <w:r w:rsidRPr="00546707">
        <w:t>,</w:t>
      </w:r>
      <w:r w:rsidRPr="00BA3A52">
        <w:t xml:space="preserve"> However, it is anticipated that during the year cash-flow will be positive requiring a higher level of investments to be held. In particular, if a borrowing is taken before the </w:t>
      </w:r>
      <w:proofErr w:type="gramStart"/>
      <w:r w:rsidRPr="00BA3A52">
        <w:t>debt</w:t>
      </w:r>
      <w:proofErr w:type="gramEnd"/>
      <w:r w:rsidRPr="00BA3A52">
        <w:t xml:space="preserve"> it is replacing matures or the capital expenditure incurred, and this cash will be invested. Therefore, the proposed limit for 2024/25 is £1,</w:t>
      </w:r>
      <w:r>
        <w:t>2</w:t>
      </w:r>
      <w:r w:rsidRPr="00BA3A52">
        <w:t xml:space="preserve">00m. </w:t>
      </w:r>
    </w:p>
    <w:p w14:paraId="33F6DE8F" w14:textId="77777777" w:rsidR="00290A8A" w:rsidRPr="00734E71" w:rsidRDefault="00290A8A" w:rsidP="00290A8A">
      <w:pPr>
        <w:spacing w:line="276" w:lineRule="auto"/>
        <w:jc w:val="both"/>
        <w:rPr>
          <w:highlight w:val="green"/>
        </w:rPr>
      </w:pPr>
    </w:p>
    <w:p w14:paraId="20C4DD02" w14:textId="77777777" w:rsidR="00290A8A" w:rsidRPr="00BA3A52" w:rsidRDefault="004A7A82" w:rsidP="00290A8A">
      <w:pPr>
        <w:jc w:val="both"/>
      </w:pPr>
      <w:r w:rsidRPr="00BA3A52">
        <w:t xml:space="preserve">In recent times, a wider range of investment instruments within the area of sterling deposits have been developed by financial institutions. All of these afford similar security of capital to basic sterling </w:t>
      </w:r>
      <w:proofErr w:type="gramStart"/>
      <w:r w:rsidRPr="00BA3A52">
        <w:t>deposits</w:t>
      </w:r>
      <w:proofErr w:type="gramEnd"/>
      <w:r w:rsidRPr="00BA3A52">
        <w:t xml:space="preserve"> but they also offer the possibility, although never of course the certainty, of increased returns. The Director of Finance will, in liaison with the council’s external advisers, consider the benefits and drawbacks of these instruments and whether any of them are appropriate for the council. Decisions on whether to utilise such instruments will be taken after an assessment of whether their use achieves the council's treasury management objectives.</w:t>
      </w:r>
    </w:p>
    <w:p w14:paraId="3B5F4D06" w14:textId="77777777" w:rsidR="00290A8A" w:rsidRPr="00BA3A52" w:rsidRDefault="00290A8A" w:rsidP="00290A8A">
      <w:pPr>
        <w:jc w:val="both"/>
      </w:pPr>
    </w:p>
    <w:p w14:paraId="521ABAF7" w14:textId="77777777" w:rsidR="00290A8A" w:rsidRDefault="00290A8A" w:rsidP="00290A8A">
      <w:pPr>
        <w:spacing w:after="240"/>
        <w:rPr>
          <w:b/>
          <w:bCs/>
          <w:sz w:val="28"/>
          <w:szCs w:val="28"/>
        </w:rPr>
      </w:pPr>
    </w:p>
    <w:p w14:paraId="792E55FC" w14:textId="77777777" w:rsidR="00C40133" w:rsidRDefault="00C40133" w:rsidP="00290A8A">
      <w:pPr>
        <w:spacing w:after="240"/>
        <w:rPr>
          <w:b/>
          <w:bCs/>
          <w:sz w:val="28"/>
          <w:szCs w:val="28"/>
        </w:rPr>
      </w:pPr>
    </w:p>
    <w:p w14:paraId="48EADFE0" w14:textId="77777777" w:rsidR="00C40133" w:rsidRDefault="00C40133" w:rsidP="00290A8A">
      <w:pPr>
        <w:spacing w:after="240"/>
        <w:rPr>
          <w:b/>
          <w:bCs/>
          <w:sz w:val="28"/>
          <w:szCs w:val="28"/>
        </w:rPr>
      </w:pPr>
    </w:p>
    <w:p w14:paraId="681F22C2" w14:textId="77777777" w:rsidR="00C40133" w:rsidRDefault="00C40133" w:rsidP="00290A8A">
      <w:pPr>
        <w:spacing w:after="240"/>
        <w:rPr>
          <w:b/>
          <w:bCs/>
          <w:sz w:val="28"/>
          <w:szCs w:val="28"/>
        </w:rPr>
      </w:pPr>
    </w:p>
    <w:p w14:paraId="51D82A32" w14:textId="77777777" w:rsidR="00C40133" w:rsidRDefault="00C40133" w:rsidP="00290A8A">
      <w:pPr>
        <w:spacing w:after="240"/>
        <w:rPr>
          <w:b/>
          <w:bCs/>
          <w:sz w:val="28"/>
          <w:szCs w:val="28"/>
        </w:rPr>
      </w:pPr>
    </w:p>
    <w:p w14:paraId="7C3BC968" w14:textId="77777777" w:rsidR="00D01094" w:rsidRDefault="00D01094" w:rsidP="00290A8A">
      <w:pPr>
        <w:spacing w:after="240"/>
        <w:rPr>
          <w:b/>
          <w:bCs/>
          <w:sz w:val="28"/>
          <w:szCs w:val="28"/>
        </w:rPr>
      </w:pPr>
    </w:p>
    <w:p w14:paraId="66838320" w14:textId="355E42F7" w:rsidR="00290A8A" w:rsidRPr="00BA3A52" w:rsidRDefault="004A7A82" w:rsidP="00290A8A">
      <w:pPr>
        <w:spacing w:after="240"/>
        <w:rPr>
          <w:b/>
          <w:bCs/>
          <w:sz w:val="28"/>
          <w:szCs w:val="28"/>
        </w:rPr>
      </w:pPr>
      <w:r w:rsidRPr="00BA3A52">
        <w:rPr>
          <w:b/>
          <w:bCs/>
          <w:sz w:val="28"/>
          <w:szCs w:val="28"/>
        </w:rPr>
        <w:lastRenderedPageBreak/>
        <w:t>Policy on the Use of Financial Derivatives</w:t>
      </w:r>
    </w:p>
    <w:p w14:paraId="5E4A43F5" w14:textId="77777777" w:rsidR="00290A8A" w:rsidRPr="00BA3A52" w:rsidRDefault="004A7A82" w:rsidP="00290A8A">
      <w:pPr>
        <w:jc w:val="both"/>
      </w:pPr>
      <w:r w:rsidRPr="00BA3A52">
        <w:t xml:space="preserve">The council will only use financial derivatives (such as swaps, forwards, futures and options) on a standalone basis, where it can clearly be demonstrated that as part of the prudent management of the council's financial affairs the use of financial derivatives will have the effect of reducing the level of financial risks that the council is exposed to. Additional risks presented, such as credit exposure to derivative counterparties, will be </w:t>
      </w:r>
      <w:proofErr w:type="gramStart"/>
      <w:r w:rsidRPr="00BA3A52">
        <w:t>taken into account</w:t>
      </w:r>
      <w:proofErr w:type="gramEnd"/>
      <w:r w:rsidRPr="00BA3A52">
        <w:t xml:space="preserve"> when determining the overall level of risk.  Many embedded derivatives are already used by local authorities across England and Wales including Lancashire, although unlike the government, commercial sector and other public service areas stand-alone derivatives have not generally been used.</w:t>
      </w:r>
    </w:p>
    <w:p w14:paraId="621DE5F8" w14:textId="77777777" w:rsidR="00290A8A" w:rsidRPr="00BA3A52" w:rsidRDefault="00290A8A" w:rsidP="00290A8A">
      <w:pPr>
        <w:pStyle w:val="ListParagraph"/>
        <w:ind w:left="0"/>
        <w:jc w:val="both"/>
      </w:pPr>
    </w:p>
    <w:p w14:paraId="300C3E60" w14:textId="77777777" w:rsidR="00290A8A" w:rsidRPr="00BA3A52" w:rsidRDefault="004A7A82" w:rsidP="00290A8A">
      <w:pPr>
        <w:jc w:val="both"/>
      </w:pPr>
      <w:r w:rsidRPr="00BA3A52">
        <w:t>A derivative is a financial instrument with three main features:</w:t>
      </w:r>
    </w:p>
    <w:p w14:paraId="60C1B633" w14:textId="77777777" w:rsidR="00290A8A" w:rsidRPr="00BA3A52" w:rsidRDefault="00290A8A" w:rsidP="00290A8A">
      <w:pPr>
        <w:jc w:val="both"/>
      </w:pPr>
    </w:p>
    <w:p w14:paraId="0277ADC1" w14:textId="77777777" w:rsidR="00290A8A" w:rsidRPr="00BA3A52" w:rsidRDefault="004A7A82" w:rsidP="005838A0">
      <w:pPr>
        <w:pStyle w:val="ListParagraph"/>
        <w:numPr>
          <w:ilvl w:val="0"/>
          <w:numId w:val="40"/>
        </w:numPr>
        <w:ind w:left="426" w:hanging="225"/>
        <w:jc w:val="both"/>
      </w:pPr>
      <w:r w:rsidRPr="00BA3A52">
        <w:t xml:space="preserve">The value changes in response to an underlying variable. </w:t>
      </w:r>
    </w:p>
    <w:p w14:paraId="445175D1" w14:textId="77777777" w:rsidR="00290A8A" w:rsidRPr="00BA3A52" w:rsidRDefault="004A7A82" w:rsidP="005838A0">
      <w:pPr>
        <w:pStyle w:val="ListParagraph"/>
        <w:numPr>
          <w:ilvl w:val="0"/>
          <w:numId w:val="40"/>
        </w:numPr>
        <w:ind w:left="426" w:hanging="225"/>
        <w:jc w:val="both"/>
      </w:pPr>
      <w:r w:rsidRPr="00BA3A52">
        <w:t xml:space="preserve">The transaction requires no initial investment, or an initial net investment smaller than would be required for other types of </w:t>
      </w:r>
      <w:proofErr w:type="gramStart"/>
      <w:r w:rsidRPr="00BA3A52">
        <w:t>contract</w:t>
      </w:r>
      <w:proofErr w:type="gramEnd"/>
      <w:r w:rsidRPr="00BA3A52">
        <w:t xml:space="preserve"> with a similar expected response to market changes.</w:t>
      </w:r>
    </w:p>
    <w:p w14:paraId="0421AF52" w14:textId="77777777" w:rsidR="00290A8A" w:rsidRPr="00BA3A52" w:rsidRDefault="004A7A82" w:rsidP="005838A0">
      <w:pPr>
        <w:pStyle w:val="ListParagraph"/>
        <w:numPr>
          <w:ilvl w:val="0"/>
          <w:numId w:val="40"/>
        </w:numPr>
        <w:ind w:left="426" w:hanging="225"/>
        <w:jc w:val="both"/>
      </w:pPr>
      <w:r w:rsidRPr="00BA3A52">
        <w:t>The contract is settled at a predetermined future date.</w:t>
      </w:r>
    </w:p>
    <w:p w14:paraId="1B4F7F7C" w14:textId="77777777" w:rsidR="00290A8A" w:rsidRPr="00BA3A52" w:rsidRDefault="00290A8A" w:rsidP="00290A8A">
      <w:pPr>
        <w:pStyle w:val="ListParagraph"/>
        <w:ind w:left="1500"/>
        <w:jc w:val="both"/>
      </w:pPr>
    </w:p>
    <w:p w14:paraId="53DA6F58" w14:textId="77777777" w:rsidR="00290A8A" w:rsidRPr="00BA3A52" w:rsidRDefault="004A7A82" w:rsidP="00290A8A">
      <w:pPr>
        <w:pStyle w:val="ListParagraph"/>
        <w:ind w:left="0"/>
        <w:jc w:val="both"/>
      </w:pPr>
      <w:r w:rsidRPr="00BA3A52">
        <w:t xml:space="preserve">The underlying variable represents an existing external risk for which the hedge is required. Examples are a specified interest rate, a commodity price, a credit rating, a foreign exchange rate or any other variable, however as the council's treasury activity is not directly exposed to </w:t>
      </w:r>
      <w:proofErr w:type="gramStart"/>
      <w:r w:rsidRPr="00BA3A52">
        <w:t>all of</w:t>
      </w:r>
      <w:proofErr w:type="gramEnd"/>
      <w:r w:rsidRPr="00BA3A52">
        <w:t xml:space="preserve"> these risks, for example foreign exchange or commodity prices, the council’s use of derivatives would be restricted to the management and hedging of interest and inflation rate risk only. </w:t>
      </w:r>
    </w:p>
    <w:p w14:paraId="7DEE5EC1" w14:textId="77777777" w:rsidR="00290A8A" w:rsidRPr="00BA3A52" w:rsidRDefault="00290A8A" w:rsidP="00290A8A">
      <w:pPr>
        <w:pStyle w:val="ListParagraph"/>
        <w:ind w:left="0"/>
        <w:jc w:val="both"/>
      </w:pPr>
    </w:p>
    <w:p w14:paraId="3CB5FF82" w14:textId="77777777" w:rsidR="00290A8A" w:rsidRPr="00BA3A52" w:rsidRDefault="004A7A82" w:rsidP="00290A8A">
      <w:pPr>
        <w:pStyle w:val="ListParagraph"/>
        <w:ind w:left="0"/>
        <w:jc w:val="both"/>
      </w:pPr>
      <w:r w:rsidRPr="00BA3A52">
        <w:t>The embedded and standalone derivatives which can be used by the council to manage interest rate risk are summarised as follows:</w:t>
      </w:r>
    </w:p>
    <w:p w14:paraId="2D17FF8F" w14:textId="77777777" w:rsidR="00290A8A" w:rsidRPr="00BA3A52" w:rsidRDefault="00290A8A" w:rsidP="00290A8A">
      <w:pPr>
        <w:pStyle w:val="ListParagraph"/>
        <w:ind w:left="0"/>
        <w:jc w:val="both"/>
      </w:pPr>
    </w:p>
    <w:tbl>
      <w:tblPr>
        <w:tblStyle w:val="TableGrid"/>
        <w:tblW w:w="9053" w:type="dxa"/>
        <w:tblLayout w:type="fixed"/>
        <w:tblLook w:val="04A0" w:firstRow="1" w:lastRow="0" w:firstColumn="1" w:lastColumn="0" w:noHBand="0" w:noVBand="1"/>
      </w:tblPr>
      <w:tblGrid>
        <w:gridCol w:w="1271"/>
        <w:gridCol w:w="2411"/>
        <w:gridCol w:w="2930"/>
        <w:gridCol w:w="2441"/>
      </w:tblGrid>
      <w:tr w:rsidR="00C92CD8" w14:paraId="6B393B76" w14:textId="77777777" w:rsidTr="00C92CD8">
        <w:trPr>
          <w:cnfStyle w:val="100000000000" w:firstRow="1" w:lastRow="0" w:firstColumn="0" w:lastColumn="0" w:oddVBand="0" w:evenVBand="0" w:oddHBand="0" w:evenHBand="0" w:firstRowFirstColumn="0" w:firstRowLastColumn="0" w:lastRowFirstColumn="0" w:lastRowLastColumn="0"/>
        </w:trPr>
        <w:tc>
          <w:tcPr>
            <w:tcW w:w="1271" w:type="dxa"/>
          </w:tcPr>
          <w:p w14:paraId="0CB3E8EB" w14:textId="77777777" w:rsidR="00290A8A" w:rsidRPr="00BA3A52" w:rsidRDefault="004A7A82">
            <w:pPr>
              <w:pStyle w:val="ListParagraph"/>
              <w:ind w:left="0"/>
              <w:jc w:val="both"/>
              <w:rPr>
                <w:b/>
                <w:sz w:val="22"/>
                <w:szCs w:val="22"/>
              </w:rPr>
            </w:pPr>
            <w:r w:rsidRPr="00BA3A52">
              <w:rPr>
                <w:b/>
                <w:sz w:val="22"/>
                <w:szCs w:val="22"/>
              </w:rPr>
              <w:t>Class</w:t>
            </w:r>
          </w:p>
        </w:tc>
        <w:tc>
          <w:tcPr>
            <w:tcW w:w="2411" w:type="dxa"/>
          </w:tcPr>
          <w:p w14:paraId="6CFB3C49" w14:textId="77777777" w:rsidR="00290A8A" w:rsidRPr="00BA3A52" w:rsidRDefault="004A7A82">
            <w:pPr>
              <w:pStyle w:val="ListParagraph"/>
              <w:ind w:left="0"/>
              <w:jc w:val="both"/>
              <w:rPr>
                <w:b/>
                <w:sz w:val="22"/>
                <w:szCs w:val="22"/>
              </w:rPr>
            </w:pPr>
            <w:r w:rsidRPr="00BA3A52">
              <w:rPr>
                <w:b/>
                <w:sz w:val="22"/>
                <w:szCs w:val="22"/>
              </w:rPr>
              <w:t>Use</w:t>
            </w:r>
          </w:p>
        </w:tc>
        <w:tc>
          <w:tcPr>
            <w:tcW w:w="2930" w:type="dxa"/>
          </w:tcPr>
          <w:p w14:paraId="7D44B035" w14:textId="77777777" w:rsidR="00290A8A" w:rsidRPr="00BA3A52" w:rsidRDefault="004A7A82">
            <w:pPr>
              <w:pStyle w:val="ListParagraph"/>
              <w:ind w:left="0"/>
              <w:jc w:val="both"/>
              <w:rPr>
                <w:b/>
                <w:sz w:val="22"/>
                <w:szCs w:val="22"/>
              </w:rPr>
            </w:pPr>
            <w:r w:rsidRPr="00BA3A52">
              <w:rPr>
                <w:b/>
                <w:sz w:val="22"/>
                <w:szCs w:val="22"/>
              </w:rPr>
              <w:t>Standalone</w:t>
            </w:r>
          </w:p>
        </w:tc>
        <w:tc>
          <w:tcPr>
            <w:tcW w:w="2441" w:type="dxa"/>
          </w:tcPr>
          <w:p w14:paraId="4F28CC7A" w14:textId="77777777" w:rsidR="00290A8A" w:rsidRPr="00BA3A52" w:rsidRDefault="004A7A82">
            <w:pPr>
              <w:pStyle w:val="ListParagraph"/>
              <w:ind w:left="0"/>
              <w:jc w:val="both"/>
              <w:rPr>
                <w:b/>
                <w:sz w:val="22"/>
                <w:szCs w:val="22"/>
              </w:rPr>
            </w:pPr>
            <w:r w:rsidRPr="00BA3A52">
              <w:rPr>
                <w:b/>
                <w:sz w:val="22"/>
                <w:szCs w:val="22"/>
              </w:rPr>
              <w:t>Embedded</w:t>
            </w:r>
          </w:p>
        </w:tc>
      </w:tr>
      <w:tr w:rsidR="00C92CD8" w14:paraId="2C1B947A" w14:textId="77777777" w:rsidTr="00C92CD8">
        <w:trPr>
          <w:cnfStyle w:val="000000100000" w:firstRow="0" w:lastRow="0" w:firstColumn="0" w:lastColumn="0" w:oddVBand="0" w:evenVBand="0" w:oddHBand="1" w:evenHBand="0" w:firstRowFirstColumn="0" w:firstRowLastColumn="0" w:lastRowFirstColumn="0" w:lastRowLastColumn="0"/>
        </w:trPr>
        <w:tc>
          <w:tcPr>
            <w:tcW w:w="1271" w:type="dxa"/>
          </w:tcPr>
          <w:p w14:paraId="0DAB013A" w14:textId="77777777" w:rsidR="00290A8A" w:rsidRPr="00BA3A52" w:rsidRDefault="004A7A82">
            <w:pPr>
              <w:pStyle w:val="ListParagraph"/>
              <w:ind w:left="0"/>
              <w:jc w:val="both"/>
              <w:rPr>
                <w:sz w:val="22"/>
                <w:szCs w:val="22"/>
              </w:rPr>
            </w:pPr>
            <w:r w:rsidRPr="00BA3A52">
              <w:rPr>
                <w:sz w:val="22"/>
                <w:szCs w:val="22"/>
              </w:rPr>
              <w:t>Forwards</w:t>
            </w:r>
          </w:p>
        </w:tc>
        <w:tc>
          <w:tcPr>
            <w:tcW w:w="2411" w:type="dxa"/>
          </w:tcPr>
          <w:p w14:paraId="745ABC26" w14:textId="77777777" w:rsidR="00290A8A" w:rsidRPr="00BA3A52" w:rsidRDefault="004A7A82">
            <w:pPr>
              <w:pStyle w:val="ListParagraph"/>
              <w:ind w:left="0"/>
              <w:rPr>
                <w:sz w:val="22"/>
                <w:szCs w:val="22"/>
              </w:rPr>
            </w:pPr>
            <w:r w:rsidRPr="00BA3A52">
              <w:rPr>
                <w:sz w:val="22"/>
                <w:szCs w:val="22"/>
              </w:rPr>
              <w:t>To fix an interest or inflation rate for a single period in the future</w:t>
            </w:r>
          </w:p>
        </w:tc>
        <w:tc>
          <w:tcPr>
            <w:tcW w:w="2930" w:type="dxa"/>
          </w:tcPr>
          <w:p w14:paraId="57F0F2D7" w14:textId="77777777" w:rsidR="00290A8A" w:rsidRPr="00BA3A52" w:rsidRDefault="004A7A82">
            <w:pPr>
              <w:pStyle w:val="ListParagraph"/>
              <w:ind w:left="0"/>
              <w:rPr>
                <w:sz w:val="22"/>
                <w:szCs w:val="22"/>
              </w:rPr>
            </w:pPr>
            <w:r w:rsidRPr="00BA3A52">
              <w:rPr>
                <w:sz w:val="22"/>
                <w:szCs w:val="22"/>
              </w:rPr>
              <w:t>Forward Rate Agreement, gilt lock, interest rate or gilt futures</w:t>
            </w:r>
          </w:p>
        </w:tc>
        <w:tc>
          <w:tcPr>
            <w:tcW w:w="2441" w:type="dxa"/>
          </w:tcPr>
          <w:p w14:paraId="51A117D1" w14:textId="77777777" w:rsidR="00290A8A" w:rsidRPr="00BA3A52" w:rsidRDefault="004A7A82">
            <w:pPr>
              <w:pStyle w:val="ListParagraph"/>
              <w:ind w:left="0"/>
              <w:rPr>
                <w:sz w:val="22"/>
                <w:szCs w:val="22"/>
              </w:rPr>
            </w:pPr>
            <w:r w:rsidRPr="00BA3A52">
              <w:rPr>
                <w:sz w:val="22"/>
                <w:szCs w:val="22"/>
              </w:rPr>
              <w:t>Forward Deal</w:t>
            </w:r>
          </w:p>
        </w:tc>
      </w:tr>
      <w:tr w:rsidR="00C92CD8" w14:paraId="75F2378A" w14:textId="77777777" w:rsidTr="00C92CD8">
        <w:trPr>
          <w:cnfStyle w:val="000000010000" w:firstRow="0" w:lastRow="0" w:firstColumn="0" w:lastColumn="0" w:oddVBand="0" w:evenVBand="0" w:oddHBand="0" w:evenHBand="1" w:firstRowFirstColumn="0" w:firstRowLastColumn="0" w:lastRowFirstColumn="0" w:lastRowLastColumn="0"/>
        </w:trPr>
        <w:tc>
          <w:tcPr>
            <w:tcW w:w="1271" w:type="dxa"/>
          </w:tcPr>
          <w:p w14:paraId="391BE736" w14:textId="77777777" w:rsidR="00290A8A" w:rsidRPr="00BA3A52" w:rsidRDefault="004A7A82">
            <w:pPr>
              <w:pStyle w:val="ListParagraph"/>
              <w:ind w:left="0"/>
              <w:jc w:val="both"/>
              <w:rPr>
                <w:sz w:val="22"/>
                <w:szCs w:val="22"/>
              </w:rPr>
            </w:pPr>
            <w:r w:rsidRPr="00BA3A52">
              <w:rPr>
                <w:sz w:val="22"/>
                <w:szCs w:val="22"/>
              </w:rPr>
              <w:t>Swaps</w:t>
            </w:r>
          </w:p>
        </w:tc>
        <w:tc>
          <w:tcPr>
            <w:tcW w:w="2411" w:type="dxa"/>
          </w:tcPr>
          <w:p w14:paraId="7E81C2C1" w14:textId="77777777" w:rsidR="00290A8A" w:rsidRPr="00BA3A52" w:rsidRDefault="004A7A82">
            <w:pPr>
              <w:pStyle w:val="ListParagraph"/>
              <w:ind w:left="0"/>
              <w:rPr>
                <w:sz w:val="22"/>
                <w:szCs w:val="22"/>
              </w:rPr>
            </w:pPr>
            <w:r w:rsidRPr="00BA3A52">
              <w:rPr>
                <w:sz w:val="22"/>
                <w:szCs w:val="22"/>
              </w:rPr>
              <w:t xml:space="preserve">To exchange </w:t>
            </w:r>
            <w:proofErr w:type="gramStart"/>
            <w:r w:rsidRPr="00BA3A52">
              <w:rPr>
                <w:sz w:val="22"/>
                <w:szCs w:val="22"/>
              </w:rPr>
              <w:t>interest  or</w:t>
            </w:r>
            <w:proofErr w:type="gramEnd"/>
            <w:r w:rsidRPr="00BA3A52">
              <w:rPr>
                <w:sz w:val="22"/>
                <w:szCs w:val="22"/>
              </w:rPr>
              <w:t xml:space="preserve"> inflation rate exposures </w:t>
            </w:r>
          </w:p>
          <w:p w14:paraId="53195289" w14:textId="77777777" w:rsidR="00290A8A" w:rsidRPr="00BA3A52" w:rsidRDefault="004A7A82">
            <w:pPr>
              <w:pStyle w:val="ListParagraph"/>
              <w:ind w:left="0"/>
              <w:rPr>
                <w:sz w:val="22"/>
                <w:szCs w:val="22"/>
              </w:rPr>
            </w:pPr>
            <w:r w:rsidRPr="00BA3A52">
              <w:rPr>
                <w:sz w:val="22"/>
                <w:szCs w:val="22"/>
              </w:rPr>
              <w:t>(</w:t>
            </w:r>
            <w:proofErr w:type="gramStart"/>
            <w:r w:rsidRPr="00BA3A52">
              <w:rPr>
                <w:sz w:val="22"/>
                <w:szCs w:val="22"/>
              </w:rPr>
              <w:t>e.g.</w:t>
            </w:r>
            <w:proofErr w:type="gramEnd"/>
            <w:r w:rsidRPr="00BA3A52">
              <w:rPr>
                <w:sz w:val="22"/>
                <w:szCs w:val="22"/>
              </w:rPr>
              <w:t xml:space="preserve"> fixed to floating)</w:t>
            </w:r>
          </w:p>
        </w:tc>
        <w:tc>
          <w:tcPr>
            <w:tcW w:w="2930" w:type="dxa"/>
          </w:tcPr>
          <w:p w14:paraId="0D802551" w14:textId="77777777" w:rsidR="00290A8A" w:rsidRPr="00BA3A52" w:rsidRDefault="004A7A82">
            <w:pPr>
              <w:pStyle w:val="ListParagraph"/>
              <w:ind w:left="0"/>
              <w:rPr>
                <w:sz w:val="22"/>
                <w:szCs w:val="22"/>
              </w:rPr>
            </w:pPr>
            <w:r w:rsidRPr="00BA3A52">
              <w:rPr>
                <w:sz w:val="22"/>
                <w:szCs w:val="22"/>
              </w:rPr>
              <w:t>Interest or inflation rate swap (IRS), basis swap.</w:t>
            </w:r>
          </w:p>
        </w:tc>
        <w:tc>
          <w:tcPr>
            <w:tcW w:w="2441" w:type="dxa"/>
          </w:tcPr>
          <w:p w14:paraId="08245C36" w14:textId="77777777" w:rsidR="00290A8A" w:rsidRPr="00BA3A52" w:rsidRDefault="004A7A82">
            <w:pPr>
              <w:pStyle w:val="ListParagraph"/>
              <w:ind w:left="0"/>
              <w:rPr>
                <w:sz w:val="22"/>
                <w:szCs w:val="22"/>
              </w:rPr>
            </w:pPr>
            <w:r w:rsidRPr="00BA3A52">
              <w:rPr>
                <w:sz w:val="22"/>
                <w:szCs w:val="22"/>
              </w:rPr>
              <w:t>Variable rate deposit, Floating rate note</w:t>
            </w:r>
          </w:p>
        </w:tc>
      </w:tr>
      <w:tr w:rsidR="00C92CD8" w14:paraId="7BC21E2A" w14:textId="77777777" w:rsidTr="00C92CD8">
        <w:trPr>
          <w:cnfStyle w:val="000000100000" w:firstRow="0" w:lastRow="0" w:firstColumn="0" w:lastColumn="0" w:oddVBand="0" w:evenVBand="0" w:oddHBand="1" w:evenHBand="0" w:firstRowFirstColumn="0" w:firstRowLastColumn="0" w:lastRowFirstColumn="0" w:lastRowLastColumn="0"/>
          <w:trHeight w:val="574"/>
        </w:trPr>
        <w:tc>
          <w:tcPr>
            <w:tcW w:w="1271" w:type="dxa"/>
          </w:tcPr>
          <w:p w14:paraId="6849A49D" w14:textId="77777777" w:rsidR="00290A8A" w:rsidRPr="00BA3A52" w:rsidRDefault="004A7A82">
            <w:pPr>
              <w:pStyle w:val="ListParagraph"/>
              <w:ind w:left="0"/>
              <w:jc w:val="both"/>
              <w:rPr>
                <w:sz w:val="22"/>
                <w:szCs w:val="22"/>
              </w:rPr>
            </w:pPr>
            <w:r w:rsidRPr="00BA3A52">
              <w:rPr>
                <w:sz w:val="22"/>
                <w:szCs w:val="22"/>
              </w:rPr>
              <w:t>Purchased Options</w:t>
            </w:r>
          </w:p>
        </w:tc>
        <w:tc>
          <w:tcPr>
            <w:tcW w:w="2411" w:type="dxa"/>
          </w:tcPr>
          <w:p w14:paraId="6C3D020F" w14:textId="77777777" w:rsidR="00290A8A" w:rsidRPr="00BA3A52" w:rsidRDefault="004A7A82">
            <w:pPr>
              <w:pStyle w:val="ListParagraph"/>
              <w:ind w:left="0"/>
              <w:rPr>
                <w:sz w:val="22"/>
                <w:szCs w:val="22"/>
              </w:rPr>
            </w:pPr>
            <w:r w:rsidRPr="00BA3A52">
              <w:rPr>
                <w:sz w:val="22"/>
                <w:szCs w:val="22"/>
              </w:rPr>
              <w:t>The right but no obligation to fix an interest or inflation rate in exchange for paying a premium</w:t>
            </w:r>
          </w:p>
        </w:tc>
        <w:tc>
          <w:tcPr>
            <w:tcW w:w="2930" w:type="dxa"/>
          </w:tcPr>
          <w:p w14:paraId="7B84F048" w14:textId="77777777" w:rsidR="00290A8A" w:rsidRPr="00BA3A52" w:rsidRDefault="004A7A82">
            <w:pPr>
              <w:pStyle w:val="ListParagraph"/>
              <w:ind w:left="0"/>
              <w:rPr>
                <w:sz w:val="22"/>
                <w:szCs w:val="22"/>
              </w:rPr>
            </w:pPr>
            <w:r w:rsidRPr="00BA3A52">
              <w:rPr>
                <w:sz w:val="22"/>
                <w:szCs w:val="22"/>
              </w:rPr>
              <w:t>Caps, floors, collars, swaptions, puts, calls</w:t>
            </w:r>
          </w:p>
        </w:tc>
        <w:tc>
          <w:tcPr>
            <w:tcW w:w="2441" w:type="dxa"/>
          </w:tcPr>
          <w:p w14:paraId="3602FDA8" w14:textId="77777777" w:rsidR="00290A8A" w:rsidRPr="00BA3A52" w:rsidRDefault="004A7A82">
            <w:pPr>
              <w:pStyle w:val="ListParagraph"/>
              <w:ind w:left="0"/>
              <w:rPr>
                <w:sz w:val="22"/>
                <w:szCs w:val="22"/>
              </w:rPr>
            </w:pPr>
            <w:r w:rsidRPr="00BA3A52">
              <w:rPr>
                <w:sz w:val="22"/>
                <w:szCs w:val="22"/>
              </w:rPr>
              <w:t>Callable loan</w:t>
            </w:r>
          </w:p>
          <w:p w14:paraId="2BC9E77B" w14:textId="77777777" w:rsidR="00290A8A" w:rsidRPr="00BA3A52" w:rsidRDefault="004A7A82">
            <w:pPr>
              <w:pStyle w:val="ListParagraph"/>
              <w:ind w:left="0"/>
              <w:rPr>
                <w:sz w:val="22"/>
                <w:szCs w:val="22"/>
              </w:rPr>
            </w:pPr>
            <w:r w:rsidRPr="00BA3A52">
              <w:rPr>
                <w:sz w:val="22"/>
                <w:szCs w:val="22"/>
              </w:rPr>
              <w:t>Collared deposit</w:t>
            </w:r>
          </w:p>
        </w:tc>
      </w:tr>
    </w:tbl>
    <w:p w14:paraId="610C3235" w14:textId="77777777" w:rsidR="00290A8A" w:rsidRPr="00BA3A52" w:rsidRDefault="00290A8A" w:rsidP="00290A8A">
      <w:pPr>
        <w:jc w:val="both"/>
      </w:pPr>
    </w:p>
    <w:p w14:paraId="2BEF0C52" w14:textId="77777777" w:rsidR="00290A8A" w:rsidRPr="00BA3A52" w:rsidRDefault="004A7A82" w:rsidP="00290A8A">
      <w:pPr>
        <w:jc w:val="both"/>
      </w:pPr>
      <w:r w:rsidRPr="00BA3A52">
        <w:t>The council will not sell interest rate or inflation rate options, (</w:t>
      </w:r>
      <w:proofErr w:type="gramStart"/>
      <w:r w:rsidRPr="00BA3A52">
        <w:t>i.e.</w:t>
      </w:r>
      <w:proofErr w:type="gramEnd"/>
      <w:r w:rsidRPr="00BA3A52">
        <w:t xml:space="preserve"> give another party the right to fix a rate) since these cannot reduce the council’s risk. The only exception is where a sold option is combined with a purchased option of equal or higher premium to create a collar or other structured outcome where maximum is the total premium.</w:t>
      </w:r>
    </w:p>
    <w:p w14:paraId="0CB8834E" w14:textId="77777777" w:rsidR="00290A8A" w:rsidRPr="00BA3A52" w:rsidRDefault="00290A8A" w:rsidP="00290A8A">
      <w:pPr>
        <w:jc w:val="both"/>
      </w:pPr>
    </w:p>
    <w:p w14:paraId="1D91EED3" w14:textId="77777777" w:rsidR="00290A8A" w:rsidRPr="00BA3A52" w:rsidRDefault="004A7A82" w:rsidP="00290A8A">
      <w:pPr>
        <w:jc w:val="both"/>
      </w:pPr>
      <w:r w:rsidRPr="00BA3A52">
        <w:lastRenderedPageBreak/>
        <w:t xml:space="preserve">There are two methods of engaging in derivative contracts, exchange traded or settled derivatives and over the counter derivatives. The former </w:t>
      </w:r>
      <w:proofErr w:type="gramStart"/>
      <w:r w:rsidRPr="00BA3A52">
        <w:t>are</w:t>
      </w:r>
      <w:proofErr w:type="gramEnd"/>
      <w:r w:rsidRPr="00BA3A52">
        <w:t xml:space="preserve"> available in public markets and trade over a physical exchange with a clearing house acting as an intermediary and include futures and options. Over the counter contracts are privately negotiated and traded between two counterparties and can include swaps and forwards. </w:t>
      </w:r>
    </w:p>
    <w:p w14:paraId="0283E3EE" w14:textId="77777777" w:rsidR="00290A8A" w:rsidRPr="00BA3A52" w:rsidRDefault="00290A8A" w:rsidP="00290A8A">
      <w:pPr>
        <w:jc w:val="both"/>
      </w:pPr>
    </w:p>
    <w:p w14:paraId="18CBDBAF" w14:textId="77777777" w:rsidR="00290A8A" w:rsidRPr="00BA3A52" w:rsidRDefault="004A7A82" w:rsidP="00290A8A">
      <w:pPr>
        <w:jc w:val="both"/>
      </w:pPr>
      <w:r w:rsidRPr="00BA3A52">
        <w:t>In a derivative contract both parties are often required to provide collateral (</w:t>
      </w:r>
      <w:proofErr w:type="gramStart"/>
      <w:r w:rsidRPr="00BA3A52">
        <w:t>i.e.</w:t>
      </w:r>
      <w:proofErr w:type="gramEnd"/>
      <w:r w:rsidRPr="00BA3A52">
        <w:t xml:space="preserve"> pools of valuable and liquid assets set aside specifically to back liabilities arising from the contract) to reduce credit risk. The method of assessing counterparty quality and suitability of collateral within the structure of the contracts is shown as follows:</w:t>
      </w:r>
    </w:p>
    <w:p w14:paraId="5FB78139" w14:textId="77777777" w:rsidR="00290A8A" w:rsidRDefault="00290A8A" w:rsidP="00290A8A">
      <w:pPr>
        <w:jc w:val="both"/>
      </w:pPr>
    </w:p>
    <w:p w14:paraId="1DE53E7A" w14:textId="77777777" w:rsidR="00290A8A" w:rsidRPr="00BA3A52" w:rsidRDefault="00290A8A" w:rsidP="00290A8A">
      <w:pPr>
        <w:jc w:val="both"/>
      </w:pPr>
    </w:p>
    <w:tbl>
      <w:tblPr>
        <w:tblStyle w:val="TableGrid"/>
        <w:tblW w:w="8926" w:type="dxa"/>
        <w:tblLayout w:type="fixed"/>
        <w:tblLook w:val="04A0" w:firstRow="1" w:lastRow="0" w:firstColumn="1" w:lastColumn="0" w:noHBand="0" w:noVBand="1"/>
      </w:tblPr>
      <w:tblGrid>
        <w:gridCol w:w="2268"/>
        <w:gridCol w:w="2405"/>
        <w:gridCol w:w="2126"/>
        <w:gridCol w:w="2127"/>
      </w:tblGrid>
      <w:tr w:rsidR="00C92CD8" w14:paraId="6783BC73" w14:textId="77777777" w:rsidTr="00C92CD8">
        <w:trPr>
          <w:cnfStyle w:val="100000000000" w:firstRow="1" w:lastRow="0" w:firstColumn="0" w:lastColumn="0" w:oddVBand="0" w:evenVBand="0" w:oddHBand="0" w:evenHBand="0" w:firstRowFirstColumn="0" w:firstRowLastColumn="0" w:lastRowFirstColumn="0" w:lastRowLastColumn="0"/>
          <w:trHeight w:val="284"/>
        </w:trPr>
        <w:tc>
          <w:tcPr>
            <w:tcW w:w="2268" w:type="dxa"/>
          </w:tcPr>
          <w:p w14:paraId="7E9A8ED5" w14:textId="77777777" w:rsidR="00290A8A" w:rsidRPr="00BA3A52" w:rsidRDefault="004A7A82">
            <w:pPr>
              <w:jc w:val="both"/>
              <w:rPr>
                <w:b/>
                <w:sz w:val="22"/>
                <w:szCs w:val="22"/>
              </w:rPr>
            </w:pPr>
            <w:r w:rsidRPr="00BA3A52">
              <w:rPr>
                <w:b/>
                <w:sz w:val="22"/>
                <w:szCs w:val="22"/>
              </w:rPr>
              <w:t>Product</w:t>
            </w:r>
          </w:p>
        </w:tc>
        <w:tc>
          <w:tcPr>
            <w:tcW w:w="2405" w:type="dxa"/>
          </w:tcPr>
          <w:p w14:paraId="0A666A48" w14:textId="77777777" w:rsidR="00290A8A" w:rsidRPr="00BA3A52" w:rsidRDefault="004A7A82">
            <w:pPr>
              <w:rPr>
                <w:b/>
                <w:sz w:val="22"/>
                <w:szCs w:val="22"/>
              </w:rPr>
            </w:pPr>
            <w:r w:rsidRPr="00BA3A52">
              <w:rPr>
                <w:b/>
                <w:sz w:val="22"/>
                <w:szCs w:val="22"/>
              </w:rPr>
              <w:t>Counterparty Quality</w:t>
            </w:r>
          </w:p>
        </w:tc>
        <w:tc>
          <w:tcPr>
            <w:tcW w:w="2126" w:type="dxa"/>
          </w:tcPr>
          <w:p w14:paraId="16080B06" w14:textId="77777777" w:rsidR="00290A8A" w:rsidRPr="00BA3A52" w:rsidRDefault="004A7A82">
            <w:pPr>
              <w:jc w:val="both"/>
              <w:rPr>
                <w:b/>
                <w:sz w:val="22"/>
                <w:szCs w:val="22"/>
              </w:rPr>
            </w:pPr>
            <w:r w:rsidRPr="00BA3A52">
              <w:rPr>
                <w:b/>
                <w:sz w:val="22"/>
                <w:szCs w:val="22"/>
              </w:rPr>
              <w:t>Security</w:t>
            </w:r>
          </w:p>
        </w:tc>
        <w:tc>
          <w:tcPr>
            <w:tcW w:w="2127" w:type="dxa"/>
          </w:tcPr>
          <w:p w14:paraId="4D9BA7DE" w14:textId="77777777" w:rsidR="00290A8A" w:rsidRPr="00BA3A52" w:rsidRDefault="004A7A82">
            <w:pPr>
              <w:jc w:val="both"/>
              <w:rPr>
                <w:b/>
                <w:sz w:val="22"/>
                <w:szCs w:val="22"/>
              </w:rPr>
            </w:pPr>
            <w:r w:rsidRPr="00BA3A52">
              <w:rPr>
                <w:b/>
                <w:sz w:val="22"/>
                <w:szCs w:val="22"/>
              </w:rPr>
              <w:t>Method</w:t>
            </w:r>
          </w:p>
        </w:tc>
      </w:tr>
      <w:tr w:rsidR="00C92CD8" w14:paraId="74C9D001" w14:textId="77777777" w:rsidTr="00C92CD8">
        <w:trPr>
          <w:cnfStyle w:val="000000100000" w:firstRow="0" w:lastRow="0" w:firstColumn="0" w:lastColumn="0" w:oddVBand="0" w:evenVBand="0" w:oddHBand="1" w:evenHBand="0" w:firstRowFirstColumn="0" w:firstRowLastColumn="0" w:lastRowFirstColumn="0" w:lastRowLastColumn="0"/>
          <w:trHeight w:val="447"/>
        </w:trPr>
        <w:tc>
          <w:tcPr>
            <w:tcW w:w="2268" w:type="dxa"/>
          </w:tcPr>
          <w:p w14:paraId="43E16896" w14:textId="77777777" w:rsidR="00290A8A" w:rsidRPr="00BA3A52" w:rsidRDefault="004A7A82">
            <w:pPr>
              <w:rPr>
                <w:sz w:val="22"/>
                <w:szCs w:val="22"/>
              </w:rPr>
            </w:pPr>
            <w:r w:rsidRPr="00BA3A52">
              <w:rPr>
                <w:sz w:val="22"/>
                <w:szCs w:val="22"/>
              </w:rPr>
              <w:t>Exchange traded or cleared product</w:t>
            </w:r>
          </w:p>
        </w:tc>
        <w:tc>
          <w:tcPr>
            <w:tcW w:w="2405" w:type="dxa"/>
          </w:tcPr>
          <w:p w14:paraId="3976100B" w14:textId="77777777" w:rsidR="00290A8A" w:rsidRPr="00BA3A52" w:rsidRDefault="004A7A82">
            <w:pPr>
              <w:rPr>
                <w:sz w:val="22"/>
                <w:szCs w:val="22"/>
              </w:rPr>
            </w:pPr>
            <w:r w:rsidRPr="00BA3A52">
              <w:rPr>
                <w:sz w:val="22"/>
                <w:szCs w:val="22"/>
              </w:rPr>
              <w:t>Credit rating of exchange</w:t>
            </w:r>
          </w:p>
        </w:tc>
        <w:tc>
          <w:tcPr>
            <w:tcW w:w="2126" w:type="dxa"/>
          </w:tcPr>
          <w:p w14:paraId="01524FC4" w14:textId="77777777" w:rsidR="00290A8A" w:rsidRPr="00BA3A52" w:rsidRDefault="004A7A82">
            <w:pPr>
              <w:rPr>
                <w:sz w:val="22"/>
                <w:szCs w:val="22"/>
              </w:rPr>
            </w:pPr>
            <w:r w:rsidRPr="00BA3A52">
              <w:rPr>
                <w:sz w:val="22"/>
                <w:szCs w:val="22"/>
              </w:rPr>
              <w:t>Credit rating of clearing agent</w:t>
            </w:r>
          </w:p>
        </w:tc>
        <w:tc>
          <w:tcPr>
            <w:tcW w:w="2127" w:type="dxa"/>
          </w:tcPr>
          <w:p w14:paraId="4DCAB68B" w14:textId="77777777" w:rsidR="00290A8A" w:rsidRPr="00BA3A52" w:rsidRDefault="004A7A82">
            <w:pPr>
              <w:rPr>
                <w:sz w:val="22"/>
                <w:szCs w:val="22"/>
              </w:rPr>
            </w:pPr>
            <w:r w:rsidRPr="00BA3A52">
              <w:rPr>
                <w:sz w:val="22"/>
                <w:szCs w:val="22"/>
              </w:rPr>
              <w:t xml:space="preserve">Margin netting </w:t>
            </w:r>
          </w:p>
        </w:tc>
      </w:tr>
      <w:tr w:rsidR="00C92CD8" w14:paraId="26AB3863" w14:textId="77777777" w:rsidTr="00C92CD8">
        <w:trPr>
          <w:cnfStyle w:val="000000010000" w:firstRow="0" w:lastRow="0" w:firstColumn="0" w:lastColumn="0" w:oddVBand="0" w:evenVBand="0" w:oddHBand="0" w:evenHBand="1" w:firstRowFirstColumn="0" w:firstRowLastColumn="0" w:lastRowFirstColumn="0" w:lastRowLastColumn="0"/>
          <w:trHeight w:val="447"/>
        </w:trPr>
        <w:tc>
          <w:tcPr>
            <w:tcW w:w="2268" w:type="dxa"/>
          </w:tcPr>
          <w:p w14:paraId="7D3DB60A" w14:textId="77777777" w:rsidR="00290A8A" w:rsidRPr="00BA3A52" w:rsidRDefault="004A7A82">
            <w:pPr>
              <w:rPr>
                <w:sz w:val="22"/>
                <w:szCs w:val="22"/>
              </w:rPr>
            </w:pPr>
            <w:r w:rsidRPr="00BA3A52">
              <w:rPr>
                <w:sz w:val="22"/>
                <w:szCs w:val="22"/>
              </w:rPr>
              <w:t xml:space="preserve">Bilateral Forward rate agreements </w:t>
            </w:r>
            <w:proofErr w:type="gramStart"/>
            <w:r w:rsidRPr="00BA3A52">
              <w:rPr>
                <w:sz w:val="22"/>
                <w:szCs w:val="22"/>
              </w:rPr>
              <w:t>and  swaps</w:t>
            </w:r>
            <w:proofErr w:type="gramEnd"/>
            <w:r w:rsidRPr="00BA3A52">
              <w:rPr>
                <w:sz w:val="22"/>
                <w:szCs w:val="22"/>
              </w:rPr>
              <w:t xml:space="preserve"> assuming netting</w:t>
            </w:r>
          </w:p>
        </w:tc>
        <w:tc>
          <w:tcPr>
            <w:tcW w:w="2405" w:type="dxa"/>
          </w:tcPr>
          <w:p w14:paraId="437D8B41" w14:textId="77777777" w:rsidR="00290A8A" w:rsidRPr="00BA3A52" w:rsidRDefault="004A7A82">
            <w:pPr>
              <w:rPr>
                <w:sz w:val="22"/>
                <w:szCs w:val="22"/>
              </w:rPr>
            </w:pPr>
            <w:r w:rsidRPr="00BA3A52">
              <w:rPr>
                <w:sz w:val="22"/>
                <w:szCs w:val="22"/>
              </w:rPr>
              <w:t>Credit rating of counterparty</w:t>
            </w:r>
          </w:p>
        </w:tc>
        <w:tc>
          <w:tcPr>
            <w:tcW w:w="2126" w:type="dxa"/>
          </w:tcPr>
          <w:p w14:paraId="42540C90" w14:textId="77777777" w:rsidR="00290A8A" w:rsidRPr="00BA3A52" w:rsidRDefault="004A7A82">
            <w:pPr>
              <w:rPr>
                <w:sz w:val="22"/>
                <w:szCs w:val="22"/>
              </w:rPr>
            </w:pPr>
            <w:r w:rsidRPr="00BA3A52">
              <w:rPr>
                <w:sz w:val="22"/>
                <w:szCs w:val="22"/>
              </w:rPr>
              <w:t>Full 2-way collateral arrangements</w:t>
            </w:r>
          </w:p>
        </w:tc>
        <w:tc>
          <w:tcPr>
            <w:tcW w:w="2127" w:type="dxa"/>
          </w:tcPr>
          <w:p w14:paraId="2D72C2E3" w14:textId="77777777" w:rsidR="00290A8A" w:rsidRPr="00BA3A52" w:rsidRDefault="004A7A82">
            <w:pPr>
              <w:rPr>
                <w:sz w:val="22"/>
                <w:szCs w:val="22"/>
              </w:rPr>
            </w:pPr>
            <w:r w:rsidRPr="00BA3A52">
              <w:rPr>
                <w:sz w:val="22"/>
                <w:szCs w:val="22"/>
              </w:rPr>
              <w:t>Types of collateral agreed and any haircuts</w:t>
            </w:r>
          </w:p>
        </w:tc>
      </w:tr>
      <w:tr w:rsidR="00C92CD8" w14:paraId="57AEA712" w14:textId="77777777" w:rsidTr="00C92CD8">
        <w:trPr>
          <w:cnfStyle w:val="000000100000" w:firstRow="0" w:lastRow="0" w:firstColumn="0" w:lastColumn="0" w:oddVBand="0" w:evenVBand="0" w:oddHBand="1" w:evenHBand="0" w:firstRowFirstColumn="0" w:firstRowLastColumn="0" w:lastRowFirstColumn="0" w:lastRowLastColumn="0"/>
          <w:trHeight w:val="447"/>
        </w:trPr>
        <w:tc>
          <w:tcPr>
            <w:tcW w:w="2268" w:type="dxa"/>
          </w:tcPr>
          <w:p w14:paraId="119EF11B" w14:textId="77777777" w:rsidR="00290A8A" w:rsidRPr="00BA3A52" w:rsidRDefault="004A7A82">
            <w:pPr>
              <w:rPr>
                <w:sz w:val="22"/>
                <w:szCs w:val="22"/>
              </w:rPr>
            </w:pPr>
            <w:r w:rsidRPr="00BA3A52">
              <w:rPr>
                <w:sz w:val="22"/>
                <w:szCs w:val="22"/>
              </w:rPr>
              <w:t>Over The Counter options</w:t>
            </w:r>
          </w:p>
        </w:tc>
        <w:tc>
          <w:tcPr>
            <w:tcW w:w="2405" w:type="dxa"/>
          </w:tcPr>
          <w:p w14:paraId="199442B2" w14:textId="77777777" w:rsidR="00290A8A" w:rsidRPr="00BA3A52" w:rsidRDefault="004A7A82">
            <w:pPr>
              <w:rPr>
                <w:sz w:val="22"/>
                <w:szCs w:val="22"/>
              </w:rPr>
            </w:pPr>
            <w:r w:rsidRPr="00BA3A52">
              <w:rPr>
                <w:sz w:val="22"/>
                <w:szCs w:val="22"/>
              </w:rPr>
              <w:t>Credit rating of counterparty</w:t>
            </w:r>
          </w:p>
        </w:tc>
        <w:tc>
          <w:tcPr>
            <w:tcW w:w="2126" w:type="dxa"/>
          </w:tcPr>
          <w:p w14:paraId="67CF6EBE" w14:textId="77777777" w:rsidR="00290A8A" w:rsidRPr="00BA3A52" w:rsidRDefault="004A7A82">
            <w:pPr>
              <w:rPr>
                <w:sz w:val="22"/>
                <w:szCs w:val="22"/>
              </w:rPr>
            </w:pPr>
            <w:r w:rsidRPr="00BA3A52">
              <w:rPr>
                <w:sz w:val="22"/>
                <w:szCs w:val="22"/>
              </w:rPr>
              <w:t xml:space="preserve">Agreed full 2-way collateral </w:t>
            </w:r>
          </w:p>
        </w:tc>
        <w:tc>
          <w:tcPr>
            <w:tcW w:w="2127" w:type="dxa"/>
          </w:tcPr>
          <w:p w14:paraId="1BD86530" w14:textId="77777777" w:rsidR="00290A8A" w:rsidRPr="00BA3A52" w:rsidRDefault="004A7A82">
            <w:pPr>
              <w:rPr>
                <w:sz w:val="22"/>
                <w:szCs w:val="22"/>
              </w:rPr>
            </w:pPr>
            <w:r w:rsidRPr="00BA3A52">
              <w:rPr>
                <w:sz w:val="22"/>
                <w:szCs w:val="22"/>
              </w:rPr>
              <w:t>Types of collateral and haircuts</w:t>
            </w:r>
          </w:p>
        </w:tc>
      </w:tr>
      <w:tr w:rsidR="00C92CD8" w14:paraId="529A7036" w14:textId="77777777" w:rsidTr="00C92CD8">
        <w:trPr>
          <w:cnfStyle w:val="000000010000" w:firstRow="0" w:lastRow="0" w:firstColumn="0" w:lastColumn="0" w:oddVBand="0" w:evenVBand="0" w:oddHBand="0" w:evenHBand="1" w:firstRowFirstColumn="0" w:firstRowLastColumn="0" w:lastRowFirstColumn="0" w:lastRowLastColumn="0"/>
          <w:trHeight w:val="472"/>
        </w:trPr>
        <w:tc>
          <w:tcPr>
            <w:tcW w:w="2268" w:type="dxa"/>
          </w:tcPr>
          <w:p w14:paraId="624C4610" w14:textId="77777777" w:rsidR="00290A8A" w:rsidRPr="00BA3A52" w:rsidRDefault="004A7A82">
            <w:pPr>
              <w:rPr>
                <w:sz w:val="22"/>
                <w:szCs w:val="22"/>
              </w:rPr>
            </w:pPr>
            <w:r w:rsidRPr="00BA3A52">
              <w:rPr>
                <w:sz w:val="22"/>
                <w:szCs w:val="22"/>
              </w:rPr>
              <w:t xml:space="preserve">Intra Local Authority swaps </w:t>
            </w:r>
          </w:p>
        </w:tc>
        <w:tc>
          <w:tcPr>
            <w:tcW w:w="2405" w:type="dxa"/>
          </w:tcPr>
          <w:p w14:paraId="2328BC90" w14:textId="77777777" w:rsidR="00290A8A" w:rsidRPr="00BA3A52" w:rsidRDefault="004A7A82">
            <w:pPr>
              <w:rPr>
                <w:sz w:val="22"/>
                <w:szCs w:val="22"/>
              </w:rPr>
            </w:pPr>
            <w:r w:rsidRPr="00BA3A52">
              <w:rPr>
                <w:sz w:val="22"/>
                <w:szCs w:val="22"/>
              </w:rPr>
              <w:t>Assumed Credit rating</w:t>
            </w:r>
          </w:p>
        </w:tc>
        <w:tc>
          <w:tcPr>
            <w:tcW w:w="2126" w:type="dxa"/>
          </w:tcPr>
          <w:p w14:paraId="6CD6B79A" w14:textId="77777777" w:rsidR="00290A8A" w:rsidRPr="00BA3A52" w:rsidRDefault="004A7A82">
            <w:pPr>
              <w:rPr>
                <w:sz w:val="22"/>
                <w:szCs w:val="22"/>
              </w:rPr>
            </w:pPr>
            <w:r w:rsidRPr="00BA3A52">
              <w:rPr>
                <w:sz w:val="22"/>
                <w:szCs w:val="22"/>
              </w:rPr>
              <w:t>2-way collateral (cash)</w:t>
            </w:r>
          </w:p>
        </w:tc>
        <w:tc>
          <w:tcPr>
            <w:tcW w:w="2127" w:type="dxa"/>
          </w:tcPr>
          <w:p w14:paraId="044E803E" w14:textId="77777777" w:rsidR="00290A8A" w:rsidRPr="00BA3A52" w:rsidRDefault="004A7A82">
            <w:pPr>
              <w:rPr>
                <w:sz w:val="22"/>
                <w:szCs w:val="22"/>
              </w:rPr>
            </w:pPr>
            <w:r w:rsidRPr="00BA3A52">
              <w:rPr>
                <w:sz w:val="22"/>
                <w:szCs w:val="22"/>
              </w:rPr>
              <w:t xml:space="preserve">No haircut </w:t>
            </w:r>
          </w:p>
        </w:tc>
      </w:tr>
    </w:tbl>
    <w:p w14:paraId="09CFAF79" w14:textId="77777777" w:rsidR="00290A8A" w:rsidRPr="00BA3A52" w:rsidRDefault="00290A8A" w:rsidP="00290A8A">
      <w:pPr>
        <w:jc w:val="both"/>
      </w:pPr>
    </w:p>
    <w:p w14:paraId="7F8B5EFD" w14:textId="77777777" w:rsidR="00290A8A" w:rsidRPr="00BA3A52" w:rsidRDefault="004A7A82" w:rsidP="00290A8A">
      <w:pPr>
        <w:jc w:val="both"/>
      </w:pPr>
      <w:r w:rsidRPr="00BA3A52">
        <w:t>The credit quality of the collateral acceptable to the county council will be determined by the credit rating of the counterparty or exchange, along with credit default swap prices which react much quicker than credit rating agencies and can be used as early indicators of credit or liquidity problems.</w:t>
      </w:r>
    </w:p>
    <w:p w14:paraId="20C80C4B" w14:textId="77777777" w:rsidR="00290A8A" w:rsidRPr="00BA3A52" w:rsidRDefault="00290A8A" w:rsidP="00290A8A">
      <w:pPr>
        <w:jc w:val="both"/>
      </w:pPr>
    </w:p>
    <w:p w14:paraId="358C60CE" w14:textId="77777777" w:rsidR="00290A8A" w:rsidRPr="00BA3A52" w:rsidRDefault="004A7A82" w:rsidP="00290A8A">
      <w:pPr>
        <w:jc w:val="both"/>
      </w:pPr>
      <w:r w:rsidRPr="00BA3A52">
        <w:t>The following table defines the appropriate limits for collateral quality:</w:t>
      </w:r>
    </w:p>
    <w:p w14:paraId="656A8438" w14:textId="77777777" w:rsidR="00290A8A" w:rsidRPr="00BA3A52" w:rsidRDefault="00290A8A" w:rsidP="00290A8A">
      <w:pPr>
        <w:jc w:val="both"/>
      </w:pPr>
    </w:p>
    <w:tbl>
      <w:tblPr>
        <w:tblStyle w:val="TableGrid"/>
        <w:tblW w:w="0" w:type="auto"/>
        <w:tblLook w:val="04A0" w:firstRow="1" w:lastRow="0" w:firstColumn="1" w:lastColumn="0" w:noHBand="0" w:noVBand="1"/>
      </w:tblPr>
      <w:tblGrid>
        <w:gridCol w:w="1777"/>
        <w:gridCol w:w="1989"/>
        <w:gridCol w:w="1836"/>
        <w:gridCol w:w="1727"/>
        <w:gridCol w:w="1687"/>
      </w:tblGrid>
      <w:tr w:rsidR="00C92CD8" w14:paraId="1C0896FA" w14:textId="77777777" w:rsidTr="00C92CD8">
        <w:trPr>
          <w:cnfStyle w:val="100000000000" w:firstRow="1" w:lastRow="0" w:firstColumn="0" w:lastColumn="0" w:oddVBand="0" w:evenVBand="0" w:oddHBand="0" w:evenHBand="0" w:firstRowFirstColumn="0" w:firstRowLastColumn="0" w:lastRowFirstColumn="0" w:lastRowLastColumn="0"/>
        </w:trPr>
        <w:tc>
          <w:tcPr>
            <w:tcW w:w="1777" w:type="dxa"/>
          </w:tcPr>
          <w:p w14:paraId="425F39D3" w14:textId="77777777" w:rsidR="00290A8A" w:rsidRPr="00BA3A52" w:rsidRDefault="004A7A82">
            <w:pPr>
              <w:rPr>
                <w:b/>
                <w:sz w:val="22"/>
                <w:szCs w:val="22"/>
              </w:rPr>
            </w:pPr>
            <w:r w:rsidRPr="00BA3A52">
              <w:rPr>
                <w:b/>
                <w:sz w:val="22"/>
                <w:szCs w:val="22"/>
              </w:rPr>
              <w:t>Counterparty type</w:t>
            </w:r>
          </w:p>
        </w:tc>
        <w:tc>
          <w:tcPr>
            <w:tcW w:w="1989" w:type="dxa"/>
          </w:tcPr>
          <w:p w14:paraId="5A3A398E" w14:textId="77777777" w:rsidR="00290A8A" w:rsidRPr="00BA3A52" w:rsidRDefault="004A7A82">
            <w:pPr>
              <w:rPr>
                <w:b/>
                <w:sz w:val="22"/>
                <w:szCs w:val="22"/>
              </w:rPr>
            </w:pPr>
            <w:r w:rsidRPr="00BA3A52">
              <w:rPr>
                <w:b/>
                <w:sz w:val="22"/>
                <w:szCs w:val="22"/>
              </w:rPr>
              <w:t>Documentation</w:t>
            </w:r>
          </w:p>
        </w:tc>
        <w:tc>
          <w:tcPr>
            <w:tcW w:w="1836" w:type="dxa"/>
          </w:tcPr>
          <w:p w14:paraId="06BED7A1" w14:textId="77777777" w:rsidR="00290A8A" w:rsidRPr="00BA3A52" w:rsidRDefault="004A7A82">
            <w:pPr>
              <w:rPr>
                <w:b/>
                <w:sz w:val="22"/>
                <w:szCs w:val="22"/>
              </w:rPr>
            </w:pPr>
            <w:r w:rsidRPr="00BA3A52">
              <w:rPr>
                <w:b/>
                <w:sz w:val="22"/>
                <w:szCs w:val="22"/>
              </w:rPr>
              <w:t>Collateral types</w:t>
            </w:r>
          </w:p>
        </w:tc>
        <w:tc>
          <w:tcPr>
            <w:tcW w:w="1727" w:type="dxa"/>
          </w:tcPr>
          <w:p w14:paraId="6262E333" w14:textId="77777777" w:rsidR="00290A8A" w:rsidRPr="00BA3A52" w:rsidRDefault="004A7A82">
            <w:pPr>
              <w:rPr>
                <w:b/>
                <w:sz w:val="22"/>
                <w:szCs w:val="22"/>
              </w:rPr>
            </w:pPr>
            <w:bookmarkStart w:id="15" w:name="_Hlk93570500"/>
            <w:r w:rsidRPr="00BA3A52">
              <w:rPr>
                <w:b/>
                <w:sz w:val="22"/>
                <w:szCs w:val="22"/>
              </w:rPr>
              <w:t>Credit Default Swap levels</w:t>
            </w:r>
            <w:bookmarkEnd w:id="15"/>
          </w:p>
        </w:tc>
        <w:tc>
          <w:tcPr>
            <w:tcW w:w="1687" w:type="dxa"/>
          </w:tcPr>
          <w:p w14:paraId="06B2FFB6" w14:textId="77777777" w:rsidR="00290A8A" w:rsidRPr="00BA3A52" w:rsidRDefault="004A7A82">
            <w:pPr>
              <w:rPr>
                <w:b/>
                <w:sz w:val="22"/>
                <w:szCs w:val="22"/>
              </w:rPr>
            </w:pPr>
            <w:r w:rsidRPr="00BA3A52">
              <w:rPr>
                <w:b/>
                <w:sz w:val="22"/>
                <w:szCs w:val="22"/>
              </w:rPr>
              <w:t>Rating</w:t>
            </w:r>
          </w:p>
        </w:tc>
      </w:tr>
      <w:tr w:rsidR="00C92CD8" w14:paraId="53C98781" w14:textId="77777777" w:rsidTr="00C92CD8">
        <w:trPr>
          <w:cnfStyle w:val="000000100000" w:firstRow="0" w:lastRow="0" w:firstColumn="0" w:lastColumn="0" w:oddVBand="0" w:evenVBand="0" w:oddHBand="1" w:evenHBand="0" w:firstRowFirstColumn="0" w:firstRowLastColumn="0" w:lastRowFirstColumn="0" w:lastRowLastColumn="0"/>
        </w:trPr>
        <w:tc>
          <w:tcPr>
            <w:tcW w:w="1777" w:type="dxa"/>
          </w:tcPr>
          <w:p w14:paraId="1094AE98" w14:textId="77777777" w:rsidR="00290A8A" w:rsidRPr="00BA3A52" w:rsidRDefault="004A7A82">
            <w:pPr>
              <w:rPr>
                <w:sz w:val="22"/>
                <w:szCs w:val="22"/>
              </w:rPr>
            </w:pPr>
            <w:r w:rsidRPr="00BA3A52">
              <w:rPr>
                <w:sz w:val="22"/>
                <w:szCs w:val="22"/>
              </w:rPr>
              <w:t>Exchange</w:t>
            </w:r>
          </w:p>
        </w:tc>
        <w:tc>
          <w:tcPr>
            <w:tcW w:w="1989" w:type="dxa"/>
          </w:tcPr>
          <w:p w14:paraId="32FAB26B" w14:textId="77777777" w:rsidR="00290A8A" w:rsidRPr="00BA3A52" w:rsidRDefault="004A7A82">
            <w:pPr>
              <w:rPr>
                <w:sz w:val="22"/>
                <w:szCs w:val="22"/>
              </w:rPr>
            </w:pPr>
            <w:r w:rsidRPr="00BA3A52">
              <w:rPr>
                <w:sz w:val="22"/>
                <w:szCs w:val="22"/>
              </w:rPr>
              <w:t>MIFCA</w:t>
            </w:r>
          </w:p>
        </w:tc>
        <w:tc>
          <w:tcPr>
            <w:tcW w:w="1836" w:type="dxa"/>
          </w:tcPr>
          <w:p w14:paraId="569B8B5C" w14:textId="77777777" w:rsidR="00290A8A" w:rsidRPr="00BA3A52" w:rsidRDefault="004A7A82">
            <w:pPr>
              <w:rPr>
                <w:sz w:val="22"/>
                <w:szCs w:val="22"/>
              </w:rPr>
            </w:pPr>
            <w:r w:rsidRPr="00BA3A52">
              <w:rPr>
                <w:sz w:val="22"/>
                <w:szCs w:val="22"/>
              </w:rPr>
              <w:t>Cash margins</w:t>
            </w:r>
          </w:p>
        </w:tc>
        <w:tc>
          <w:tcPr>
            <w:tcW w:w="1727" w:type="dxa"/>
          </w:tcPr>
          <w:p w14:paraId="283E361E" w14:textId="77777777" w:rsidR="00290A8A" w:rsidRPr="00BA3A52" w:rsidRDefault="004A7A82">
            <w:pPr>
              <w:rPr>
                <w:sz w:val="22"/>
                <w:szCs w:val="22"/>
              </w:rPr>
            </w:pPr>
            <w:r w:rsidRPr="00BA3A52">
              <w:rPr>
                <w:sz w:val="22"/>
                <w:szCs w:val="22"/>
              </w:rPr>
              <w:t>&lt;75bp</w:t>
            </w:r>
          </w:p>
        </w:tc>
        <w:tc>
          <w:tcPr>
            <w:tcW w:w="1687" w:type="dxa"/>
          </w:tcPr>
          <w:p w14:paraId="75AEF3BD" w14:textId="77777777" w:rsidR="00290A8A" w:rsidRPr="00BA3A52" w:rsidRDefault="004A7A82">
            <w:pPr>
              <w:rPr>
                <w:sz w:val="22"/>
                <w:szCs w:val="22"/>
              </w:rPr>
            </w:pPr>
            <w:r w:rsidRPr="00BA3A52">
              <w:rPr>
                <w:sz w:val="22"/>
                <w:szCs w:val="22"/>
              </w:rPr>
              <w:t>AA</w:t>
            </w:r>
          </w:p>
        </w:tc>
      </w:tr>
      <w:tr w:rsidR="00C92CD8" w14:paraId="7FE0DF33" w14:textId="77777777" w:rsidTr="00C92CD8">
        <w:trPr>
          <w:cnfStyle w:val="000000010000" w:firstRow="0" w:lastRow="0" w:firstColumn="0" w:lastColumn="0" w:oddVBand="0" w:evenVBand="0" w:oddHBand="0" w:evenHBand="1" w:firstRowFirstColumn="0" w:firstRowLastColumn="0" w:lastRowFirstColumn="0" w:lastRowLastColumn="0"/>
        </w:trPr>
        <w:tc>
          <w:tcPr>
            <w:tcW w:w="1777" w:type="dxa"/>
          </w:tcPr>
          <w:p w14:paraId="756044CA" w14:textId="77777777" w:rsidR="00290A8A" w:rsidRPr="00BA3A52" w:rsidRDefault="004A7A82">
            <w:pPr>
              <w:rPr>
                <w:sz w:val="22"/>
                <w:szCs w:val="22"/>
              </w:rPr>
            </w:pPr>
            <w:r w:rsidRPr="00BA3A52">
              <w:rPr>
                <w:sz w:val="22"/>
                <w:szCs w:val="22"/>
              </w:rPr>
              <w:t>Bank</w:t>
            </w:r>
          </w:p>
        </w:tc>
        <w:tc>
          <w:tcPr>
            <w:tcW w:w="1989" w:type="dxa"/>
          </w:tcPr>
          <w:p w14:paraId="093BECED" w14:textId="77777777" w:rsidR="00290A8A" w:rsidRPr="00BA3A52" w:rsidRDefault="004A7A82">
            <w:pPr>
              <w:rPr>
                <w:sz w:val="22"/>
                <w:szCs w:val="22"/>
              </w:rPr>
            </w:pPr>
            <w:r w:rsidRPr="00BA3A52">
              <w:rPr>
                <w:sz w:val="22"/>
                <w:szCs w:val="22"/>
              </w:rPr>
              <w:t xml:space="preserve">International Swaps and Derivatives Association/Credit Support Annex </w:t>
            </w:r>
          </w:p>
        </w:tc>
        <w:tc>
          <w:tcPr>
            <w:tcW w:w="1836" w:type="dxa"/>
          </w:tcPr>
          <w:p w14:paraId="5AFCF72B" w14:textId="77777777" w:rsidR="00290A8A" w:rsidRPr="00BA3A52" w:rsidRDefault="004A7A82">
            <w:pPr>
              <w:rPr>
                <w:sz w:val="22"/>
                <w:szCs w:val="22"/>
              </w:rPr>
            </w:pPr>
            <w:r w:rsidRPr="00BA3A52">
              <w:rPr>
                <w:sz w:val="22"/>
                <w:szCs w:val="22"/>
              </w:rPr>
              <w:t>Cash and Government bonds</w:t>
            </w:r>
          </w:p>
        </w:tc>
        <w:tc>
          <w:tcPr>
            <w:tcW w:w="1727" w:type="dxa"/>
          </w:tcPr>
          <w:p w14:paraId="35A319DE" w14:textId="77777777" w:rsidR="00290A8A" w:rsidRPr="00BA3A52" w:rsidRDefault="004A7A82">
            <w:pPr>
              <w:rPr>
                <w:sz w:val="22"/>
                <w:szCs w:val="22"/>
              </w:rPr>
            </w:pPr>
            <w:r w:rsidRPr="00BA3A52">
              <w:rPr>
                <w:sz w:val="22"/>
                <w:szCs w:val="22"/>
              </w:rPr>
              <w:t>&lt;100bp</w:t>
            </w:r>
          </w:p>
        </w:tc>
        <w:tc>
          <w:tcPr>
            <w:tcW w:w="1687" w:type="dxa"/>
          </w:tcPr>
          <w:p w14:paraId="4D242D0B" w14:textId="77777777" w:rsidR="00290A8A" w:rsidRPr="00BA3A52" w:rsidRDefault="004A7A82">
            <w:pPr>
              <w:rPr>
                <w:sz w:val="22"/>
                <w:szCs w:val="22"/>
              </w:rPr>
            </w:pPr>
            <w:r w:rsidRPr="00BA3A52">
              <w:rPr>
                <w:sz w:val="22"/>
                <w:szCs w:val="22"/>
              </w:rPr>
              <w:t>A3</w:t>
            </w:r>
          </w:p>
        </w:tc>
      </w:tr>
      <w:tr w:rsidR="00C92CD8" w14:paraId="6FF509D8" w14:textId="77777777" w:rsidTr="00C92CD8">
        <w:trPr>
          <w:cnfStyle w:val="000000100000" w:firstRow="0" w:lastRow="0" w:firstColumn="0" w:lastColumn="0" w:oddVBand="0" w:evenVBand="0" w:oddHBand="1" w:evenHBand="0" w:firstRowFirstColumn="0" w:firstRowLastColumn="0" w:lastRowFirstColumn="0" w:lastRowLastColumn="0"/>
        </w:trPr>
        <w:tc>
          <w:tcPr>
            <w:tcW w:w="1777" w:type="dxa"/>
          </w:tcPr>
          <w:p w14:paraId="70DFB06B" w14:textId="77777777" w:rsidR="00290A8A" w:rsidRPr="00BA3A52" w:rsidRDefault="004A7A82">
            <w:pPr>
              <w:rPr>
                <w:sz w:val="22"/>
                <w:szCs w:val="22"/>
              </w:rPr>
            </w:pPr>
            <w:r w:rsidRPr="00BA3A52">
              <w:rPr>
                <w:sz w:val="22"/>
                <w:szCs w:val="22"/>
              </w:rPr>
              <w:t>Insurer and Pension Fund</w:t>
            </w:r>
          </w:p>
        </w:tc>
        <w:tc>
          <w:tcPr>
            <w:tcW w:w="1989" w:type="dxa"/>
          </w:tcPr>
          <w:p w14:paraId="507FF3AE" w14:textId="77777777" w:rsidR="00290A8A" w:rsidRPr="00BA3A52" w:rsidRDefault="004A7A82">
            <w:pPr>
              <w:rPr>
                <w:sz w:val="22"/>
                <w:szCs w:val="22"/>
              </w:rPr>
            </w:pPr>
            <w:r w:rsidRPr="00BA3A52">
              <w:rPr>
                <w:sz w:val="22"/>
                <w:szCs w:val="22"/>
              </w:rPr>
              <w:t>International Swaps and Derivatives Association/ Credit Support Annex</w:t>
            </w:r>
          </w:p>
        </w:tc>
        <w:tc>
          <w:tcPr>
            <w:tcW w:w="1836" w:type="dxa"/>
          </w:tcPr>
          <w:p w14:paraId="57B428F6" w14:textId="77777777" w:rsidR="00290A8A" w:rsidRPr="00BA3A52" w:rsidRDefault="004A7A82">
            <w:pPr>
              <w:rPr>
                <w:sz w:val="22"/>
                <w:szCs w:val="22"/>
              </w:rPr>
            </w:pPr>
            <w:r w:rsidRPr="00BA3A52">
              <w:rPr>
                <w:sz w:val="22"/>
                <w:szCs w:val="22"/>
              </w:rPr>
              <w:t>Cash and Government bonds</w:t>
            </w:r>
          </w:p>
        </w:tc>
        <w:tc>
          <w:tcPr>
            <w:tcW w:w="1727" w:type="dxa"/>
          </w:tcPr>
          <w:p w14:paraId="35943B89" w14:textId="77777777" w:rsidR="00290A8A" w:rsidRPr="00BA3A52" w:rsidRDefault="004A7A82">
            <w:pPr>
              <w:rPr>
                <w:sz w:val="22"/>
                <w:szCs w:val="22"/>
              </w:rPr>
            </w:pPr>
            <w:r w:rsidRPr="00BA3A52">
              <w:rPr>
                <w:sz w:val="22"/>
                <w:szCs w:val="22"/>
              </w:rPr>
              <w:t>&lt;100 (Insurers)</w:t>
            </w:r>
          </w:p>
        </w:tc>
        <w:tc>
          <w:tcPr>
            <w:tcW w:w="1687" w:type="dxa"/>
          </w:tcPr>
          <w:p w14:paraId="12BCCC44" w14:textId="77777777" w:rsidR="00290A8A" w:rsidRPr="00BA3A52" w:rsidRDefault="004A7A82">
            <w:pPr>
              <w:rPr>
                <w:sz w:val="22"/>
                <w:szCs w:val="22"/>
              </w:rPr>
            </w:pPr>
            <w:r w:rsidRPr="00BA3A52">
              <w:rPr>
                <w:sz w:val="22"/>
                <w:szCs w:val="22"/>
              </w:rPr>
              <w:t>A3 (Insurers)</w:t>
            </w:r>
          </w:p>
        </w:tc>
      </w:tr>
      <w:tr w:rsidR="00C92CD8" w14:paraId="76E11807" w14:textId="77777777" w:rsidTr="00C92CD8">
        <w:trPr>
          <w:cnfStyle w:val="000000010000" w:firstRow="0" w:lastRow="0" w:firstColumn="0" w:lastColumn="0" w:oddVBand="0" w:evenVBand="0" w:oddHBand="0" w:evenHBand="1" w:firstRowFirstColumn="0" w:firstRowLastColumn="0" w:lastRowFirstColumn="0" w:lastRowLastColumn="0"/>
        </w:trPr>
        <w:tc>
          <w:tcPr>
            <w:tcW w:w="1777" w:type="dxa"/>
          </w:tcPr>
          <w:p w14:paraId="268785B4" w14:textId="77777777" w:rsidR="00290A8A" w:rsidRPr="00BA3A52" w:rsidRDefault="004A7A82">
            <w:pPr>
              <w:rPr>
                <w:sz w:val="22"/>
                <w:szCs w:val="22"/>
              </w:rPr>
            </w:pPr>
            <w:r w:rsidRPr="00BA3A52">
              <w:rPr>
                <w:sz w:val="22"/>
                <w:szCs w:val="22"/>
              </w:rPr>
              <w:t>Local Authority</w:t>
            </w:r>
          </w:p>
        </w:tc>
        <w:tc>
          <w:tcPr>
            <w:tcW w:w="1989" w:type="dxa"/>
          </w:tcPr>
          <w:p w14:paraId="382102F6" w14:textId="77777777" w:rsidR="00290A8A" w:rsidRPr="00BA3A52" w:rsidRDefault="004A7A82">
            <w:pPr>
              <w:rPr>
                <w:sz w:val="22"/>
                <w:szCs w:val="22"/>
              </w:rPr>
            </w:pPr>
            <w:r w:rsidRPr="00BA3A52">
              <w:rPr>
                <w:sz w:val="22"/>
                <w:szCs w:val="22"/>
              </w:rPr>
              <w:t>Contract</w:t>
            </w:r>
          </w:p>
        </w:tc>
        <w:tc>
          <w:tcPr>
            <w:tcW w:w="1836" w:type="dxa"/>
          </w:tcPr>
          <w:p w14:paraId="657B7686" w14:textId="77777777" w:rsidR="00290A8A" w:rsidRPr="00BA3A52" w:rsidRDefault="004A7A82">
            <w:pPr>
              <w:rPr>
                <w:sz w:val="22"/>
                <w:szCs w:val="22"/>
              </w:rPr>
            </w:pPr>
            <w:r w:rsidRPr="00BA3A52">
              <w:rPr>
                <w:sz w:val="22"/>
                <w:szCs w:val="22"/>
              </w:rPr>
              <w:t>Cash and Government bonds</w:t>
            </w:r>
          </w:p>
        </w:tc>
        <w:tc>
          <w:tcPr>
            <w:tcW w:w="1727" w:type="dxa"/>
          </w:tcPr>
          <w:p w14:paraId="4C7EE6BE" w14:textId="77777777" w:rsidR="00290A8A" w:rsidRPr="00BA3A52" w:rsidRDefault="004A7A82">
            <w:pPr>
              <w:rPr>
                <w:sz w:val="22"/>
                <w:szCs w:val="22"/>
              </w:rPr>
            </w:pPr>
            <w:r w:rsidRPr="00BA3A52">
              <w:rPr>
                <w:sz w:val="22"/>
                <w:szCs w:val="22"/>
              </w:rPr>
              <w:t>England/Wales None</w:t>
            </w:r>
          </w:p>
        </w:tc>
        <w:tc>
          <w:tcPr>
            <w:tcW w:w="1687" w:type="dxa"/>
          </w:tcPr>
          <w:p w14:paraId="3B66EEBA" w14:textId="77777777" w:rsidR="00290A8A" w:rsidRPr="00BA3A52" w:rsidRDefault="004A7A82">
            <w:pPr>
              <w:rPr>
                <w:sz w:val="22"/>
                <w:szCs w:val="22"/>
              </w:rPr>
            </w:pPr>
            <w:r w:rsidRPr="00BA3A52">
              <w:rPr>
                <w:sz w:val="22"/>
                <w:szCs w:val="22"/>
              </w:rPr>
              <w:t>England and Wales None</w:t>
            </w:r>
          </w:p>
        </w:tc>
      </w:tr>
    </w:tbl>
    <w:p w14:paraId="3463C92B" w14:textId="77777777" w:rsidR="00290A8A" w:rsidRPr="00BA3A52" w:rsidRDefault="00290A8A" w:rsidP="00290A8A">
      <w:pPr>
        <w:jc w:val="both"/>
      </w:pPr>
    </w:p>
    <w:p w14:paraId="73293D93" w14:textId="77777777" w:rsidR="00290A8A" w:rsidRPr="00BA3A52" w:rsidRDefault="004A7A82" w:rsidP="00290A8A">
      <w:pPr>
        <w:jc w:val="both"/>
      </w:pPr>
      <w:r w:rsidRPr="00BA3A52">
        <w:t xml:space="preserve">The council will only use derivative contracts to hedge existing risks. This is reflected in the limits below. The 100% upper limit means that the council has the option to hedge </w:t>
      </w:r>
      <w:proofErr w:type="gramStart"/>
      <w:r w:rsidRPr="00BA3A52">
        <w:t>all of</w:t>
      </w:r>
      <w:proofErr w:type="gramEnd"/>
      <w:r w:rsidRPr="00BA3A52">
        <w:t xml:space="preserve">, but not more than, its interest rate risk if felt appropriate.  </w:t>
      </w:r>
    </w:p>
    <w:p w14:paraId="102C3122" w14:textId="77777777" w:rsidR="00290A8A" w:rsidRPr="00BA3A52" w:rsidRDefault="00290A8A" w:rsidP="00290A8A">
      <w:pPr>
        <w:jc w:val="both"/>
      </w:pPr>
    </w:p>
    <w:tbl>
      <w:tblPr>
        <w:tblStyle w:val="TableGrid"/>
        <w:tblW w:w="9067" w:type="dxa"/>
        <w:tblLook w:val="04A0" w:firstRow="1" w:lastRow="0" w:firstColumn="1" w:lastColumn="0" w:noHBand="0" w:noVBand="1"/>
      </w:tblPr>
      <w:tblGrid>
        <w:gridCol w:w="1820"/>
        <w:gridCol w:w="1742"/>
        <w:gridCol w:w="1536"/>
        <w:gridCol w:w="2127"/>
        <w:gridCol w:w="1842"/>
      </w:tblGrid>
      <w:tr w:rsidR="00C92CD8" w14:paraId="48CFC80A" w14:textId="77777777" w:rsidTr="00C92CD8">
        <w:trPr>
          <w:cnfStyle w:val="100000000000" w:firstRow="1" w:lastRow="0" w:firstColumn="0" w:lastColumn="0" w:oddVBand="0" w:evenVBand="0" w:oddHBand="0" w:evenHBand="0" w:firstRowFirstColumn="0" w:firstRowLastColumn="0" w:lastRowFirstColumn="0" w:lastRowLastColumn="0"/>
        </w:trPr>
        <w:tc>
          <w:tcPr>
            <w:tcW w:w="1820" w:type="dxa"/>
          </w:tcPr>
          <w:p w14:paraId="0A659B3B" w14:textId="77777777" w:rsidR="00290A8A" w:rsidRPr="00BA3A52" w:rsidRDefault="004A7A82">
            <w:pPr>
              <w:jc w:val="both"/>
              <w:rPr>
                <w:b/>
                <w:sz w:val="22"/>
                <w:szCs w:val="22"/>
              </w:rPr>
            </w:pPr>
            <w:r w:rsidRPr="00BA3A52">
              <w:rPr>
                <w:b/>
                <w:sz w:val="22"/>
                <w:szCs w:val="22"/>
              </w:rPr>
              <w:t>Exposure Metric</w:t>
            </w:r>
          </w:p>
        </w:tc>
        <w:tc>
          <w:tcPr>
            <w:tcW w:w="1742" w:type="dxa"/>
          </w:tcPr>
          <w:p w14:paraId="7700CA8C" w14:textId="77777777" w:rsidR="00290A8A" w:rsidRPr="00BA3A52" w:rsidRDefault="004A7A82">
            <w:pPr>
              <w:jc w:val="both"/>
              <w:rPr>
                <w:b/>
                <w:sz w:val="22"/>
                <w:szCs w:val="22"/>
              </w:rPr>
            </w:pPr>
            <w:r w:rsidRPr="00BA3A52">
              <w:rPr>
                <w:b/>
                <w:sz w:val="22"/>
                <w:szCs w:val="22"/>
              </w:rPr>
              <w:t>Min Hedge</w:t>
            </w:r>
          </w:p>
        </w:tc>
        <w:tc>
          <w:tcPr>
            <w:tcW w:w="1536" w:type="dxa"/>
          </w:tcPr>
          <w:p w14:paraId="74674BD3" w14:textId="77777777" w:rsidR="00290A8A" w:rsidRPr="00BA3A52" w:rsidRDefault="004A7A82">
            <w:pPr>
              <w:jc w:val="both"/>
              <w:rPr>
                <w:b/>
                <w:sz w:val="22"/>
                <w:szCs w:val="22"/>
              </w:rPr>
            </w:pPr>
            <w:r w:rsidRPr="00BA3A52">
              <w:rPr>
                <w:b/>
                <w:sz w:val="22"/>
                <w:szCs w:val="22"/>
              </w:rPr>
              <w:t>Max Hedge</w:t>
            </w:r>
          </w:p>
        </w:tc>
        <w:tc>
          <w:tcPr>
            <w:tcW w:w="2127" w:type="dxa"/>
          </w:tcPr>
          <w:p w14:paraId="39D4DE4E" w14:textId="77777777" w:rsidR="00290A8A" w:rsidRPr="00BA3A52" w:rsidRDefault="004A7A82">
            <w:pPr>
              <w:jc w:val="both"/>
              <w:rPr>
                <w:b/>
                <w:sz w:val="22"/>
                <w:szCs w:val="22"/>
              </w:rPr>
            </w:pPr>
            <w:r w:rsidRPr="00BA3A52">
              <w:rPr>
                <w:b/>
                <w:sz w:val="22"/>
                <w:szCs w:val="22"/>
              </w:rPr>
              <w:t>Granularity</w:t>
            </w:r>
          </w:p>
        </w:tc>
        <w:tc>
          <w:tcPr>
            <w:tcW w:w="1842" w:type="dxa"/>
          </w:tcPr>
          <w:p w14:paraId="36612B88" w14:textId="77777777" w:rsidR="00290A8A" w:rsidRPr="00BA3A52" w:rsidRDefault="004A7A82">
            <w:pPr>
              <w:jc w:val="both"/>
              <w:rPr>
                <w:b/>
                <w:sz w:val="22"/>
                <w:szCs w:val="22"/>
              </w:rPr>
            </w:pPr>
            <w:r w:rsidRPr="00BA3A52">
              <w:rPr>
                <w:b/>
                <w:sz w:val="22"/>
                <w:szCs w:val="22"/>
              </w:rPr>
              <w:t>Tool</w:t>
            </w:r>
          </w:p>
        </w:tc>
      </w:tr>
      <w:tr w:rsidR="00C92CD8" w14:paraId="79A10D3F" w14:textId="77777777" w:rsidTr="00C92CD8">
        <w:trPr>
          <w:cnfStyle w:val="000000100000" w:firstRow="0" w:lastRow="0" w:firstColumn="0" w:lastColumn="0" w:oddVBand="0" w:evenVBand="0" w:oddHBand="1" w:evenHBand="0" w:firstRowFirstColumn="0" w:firstRowLastColumn="0" w:lastRowFirstColumn="0" w:lastRowLastColumn="0"/>
        </w:trPr>
        <w:tc>
          <w:tcPr>
            <w:tcW w:w="1820" w:type="dxa"/>
          </w:tcPr>
          <w:p w14:paraId="6639F3FC" w14:textId="77777777" w:rsidR="00290A8A" w:rsidRPr="00BA3A52" w:rsidRDefault="004A7A82">
            <w:pPr>
              <w:jc w:val="both"/>
              <w:rPr>
                <w:sz w:val="22"/>
                <w:szCs w:val="22"/>
              </w:rPr>
            </w:pPr>
            <w:r w:rsidRPr="00BA3A52">
              <w:rPr>
                <w:sz w:val="22"/>
                <w:szCs w:val="22"/>
              </w:rPr>
              <w:t xml:space="preserve">Interest rate </w:t>
            </w:r>
          </w:p>
          <w:p w14:paraId="5851E7E8" w14:textId="77777777" w:rsidR="00290A8A" w:rsidRPr="00BA3A52" w:rsidRDefault="00290A8A">
            <w:pPr>
              <w:jc w:val="both"/>
              <w:rPr>
                <w:sz w:val="22"/>
                <w:szCs w:val="22"/>
              </w:rPr>
            </w:pPr>
          </w:p>
        </w:tc>
        <w:tc>
          <w:tcPr>
            <w:tcW w:w="1742" w:type="dxa"/>
          </w:tcPr>
          <w:p w14:paraId="593A958F" w14:textId="77777777" w:rsidR="00290A8A" w:rsidRPr="00BA3A52" w:rsidRDefault="004A7A82">
            <w:pPr>
              <w:jc w:val="center"/>
              <w:rPr>
                <w:sz w:val="22"/>
                <w:szCs w:val="22"/>
              </w:rPr>
            </w:pPr>
            <w:r w:rsidRPr="00BA3A52">
              <w:rPr>
                <w:sz w:val="22"/>
                <w:szCs w:val="22"/>
              </w:rPr>
              <w:t>0%</w:t>
            </w:r>
          </w:p>
        </w:tc>
        <w:tc>
          <w:tcPr>
            <w:tcW w:w="1536" w:type="dxa"/>
          </w:tcPr>
          <w:p w14:paraId="37886677" w14:textId="77777777" w:rsidR="00290A8A" w:rsidRPr="00BA3A52" w:rsidRDefault="004A7A82">
            <w:pPr>
              <w:jc w:val="center"/>
              <w:rPr>
                <w:sz w:val="22"/>
                <w:szCs w:val="22"/>
              </w:rPr>
            </w:pPr>
            <w:r w:rsidRPr="00BA3A52">
              <w:rPr>
                <w:sz w:val="22"/>
                <w:szCs w:val="22"/>
              </w:rPr>
              <w:t>100%</w:t>
            </w:r>
          </w:p>
        </w:tc>
        <w:tc>
          <w:tcPr>
            <w:tcW w:w="2127" w:type="dxa"/>
          </w:tcPr>
          <w:p w14:paraId="06CFC311" w14:textId="77777777" w:rsidR="00290A8A" w:rsidRPr="00BA3A52" w:rsidRDefault="004A7A82">
            <w:pPr>
              <w:rPr>
                <w:sz w:val="22"/>
                <w:szCs w:val="22"/>
              </w:rPr>
            </w:pPr>
            <w:r w:rsidRPr="00BA3A52">
              <w:rPr>
                <w:sz w:val="22"/>
                <w:szCs w:val="22"/>
              </w:rPr>
              <w:t xml:space="preserve">0-3 months 3-6 months, 6-12m months, 1 to 2 years, 2-5 years and </w:t>
            </w:r>
            <w:proofErr w:type="gramStart"/>
            <w:r w:rsidRPr="00BA3A52">
              <w:rPr>
                <w:sz w:val="22"/>
                <w:szCs w:val="22"/>
              </w:rPr>
              <w:t>5 year</w:t>
            </w:r>
            <w:proofErr w:type="gramEnd"/>
            <w:r w:rsidRPr="00BA3A52">
              <w:rPr>
                <w:sz w:val="22"/>
                <w:szCs w:val="22"/>
              </w:rPr>
              <w:t xml:space="preserve"> blocks</w:t>
            </w:r>
          </w:p>
        </w:tc>
        <w:tc>
          <w:tcPr>
            <w:tcW w:w="1842" w:type="dxa"/>
          </w:tcPr>
          <w:p w14:paraId="6B7B22DD" w14:textId="77777777" w:rsidR="00290A8A" w:rsidRPr="00BA3A52" w:rsidRDefault="004A7A82">
            <w:pPr>
              <w:rPr>
                <w:sz w:val="22"/>
                <w:szCs w:val="22"/>
              </w:rPr>
            </w:pPr>
            <w:r w:rsidRPr="00BA3A52">
              <w:rPr>
                <w:sz w:val="22"/>
                <w:szCs w:val="22"/>
              </w:rPr>
              <w:t>Forward rate agreements, Futures, Options, Swaps</w:t>
            </w:r>
          </w:p>
          <w:p w14:paraId="6DF56142" w14:textId="77777777" w:rsidR="00290A8A" w:rsidRPr="00BA3A52" w:rsidRDefault="004A7A82">
            <w:pPr>
              <w:rPr>
                <w:sz w:val="22"/>
                <w:szCs w:val="22"/>
              </w:rPr>
            </w:pPr>
            <w:r w:rsidRPr="00BA3A52">
              <w:rPr>
                <w:sz w:val="22"/>
                <w:szCs w:val="22"/>
              </w:rPr>
              <w:t>Swaption</w:t>
            </w:r>
          </w:p>
        </w:tc>
      </w:tr>
      <w:tr w:rsidR="00C92CD8" w14:paraId="47966DB2" w14:textId="77777777" w:rsidTr="00C92CD8">
        <w:trPr>
          <w:cnfStyle w:val="000000010000" w:firstRow="0" w:lastRow="0" w:firstColumn="0" w:lastColumn="0" w:oddVBand="0" w:evenVBand="0" w:oddHBand="0" w:evenHBand="1" w:firstRowFirstColumn="0" w:firstRowLastColumn="0" w:lastRowFirstColumn="0" w:lastRowLastColumn="0"/>
        </w:trPr>
        <w:tc>
          <w:tcPr>
            <w:tcW w:w="1820" w:type="dxa"/>
          </w:tcPr>
          <w:p w14:paraId="328615DC" w14:textId="77777777" w:rsidR="00290A8A" w:rsidRPr="00BA3A52" w:rsidRDefault="004A7A82">
            <w:pPr>
              <w:jc w:val="both"/>
              <w:rPr>
                <w:sz w:val="22"/>
                <w:szCs w:val="22"/>
              </w:rPr>
            </w:pPr>
            <w:r w:rsidRPr="00BA3A52">
              <w:rPr>
                <w:sz w:val="22"/>
                <w:szCs w:val="22"/>
              </w:rPr>
              <w:t>Inflation rate</w:t>
            </w:r>
          </w:p>
          <w:p w14:paraId="5D016905" w14:textId="77777777" w:rsidR="00290A8A" w:rsidRPr="00BA3A52" w:rsidRDefault="00290A8A">
            <w:pPr>
              <w:jc w:val="both"/>
              <w:rPr>
                <w:sz w:val="22"/>
                <w:szCs w:val="22"/>
              </w:rPr>
            </w:pPr>
          </w:p>
        </w:tc>
        <w:tc>
          <w:tcPr>
            <w:tcW w:w="1742" w:type="dxa"/>
          </w:tcPr>
          <w:p w14:paraId="1A26C554" w14:textId="77777777" w:rsidR="00290A8A" w:rsidRPr="00BA3A52" w:rsidRDefault="004A7A82">
            <w:pPr>
              <w:jc w:val="center"/>
              <w:rPr>
                <w:sz w:val="22"/>
                <w:szCs w:val="22"/>
              </w:rPr>
            </w:pPr>
            <w:r w:rsidRPr="00BA3A52">
              <w:rPr>
                <w:sz w:val="22"/>
                <w:szCs w:val="22"/>
              </w:rPr>
              <w:t>0%</w:t>
            </w:r>
          </w:p>
        </w:tc>
        <w:tc>
          <w:tcPr>
            <w:tcW w:w="1536" w:type="dxa"/>
          </w:tcPr>
          <w:p w14:paraId="5C6CD931" w14:textId="77777777" w:rsidR="00290A8A" w:rsidRPr="00BA3A52" w:rsidRDefault="004A7A82">
            <w:pPr>
              <w:jc w:val="center"/>
              <w:rPr>
                <w:sz w:val="22"/>
                <w:szCs w:val="22"/>
              </w:rPr>
            </w:pPr>
            <w:r w:rsidRPr="00BA3A52">
              <w:rPr>
                <w:sz w:val="22"/>
                <w:szCs w:val="22"/>
              </w:rPr>
              <w:t>100%</w:t>
            </w:r>
          </w:p>
        </w:tc>
        <w:tc>
          <w:tcPr>
            <w:tcW w:w="2127" w:type="dxa"/>
          </w:tcPr>
          <w:p w14:paraId="56D5170C" w14:textId="77777777" w:rsidR="00290A8A" w:rsidRPr="00BA3A52" w:rsidRDefault="004A7A82">
            <w:pPr>
              <w:rPr>
                <w:sz w:val="22"/>
                <w:szCs w:val="22"/>
              </w:rPr>
            </w:pPr>
            <w:r w:rsidRPr="00BA3A52">
              <w:rPr>
                <w:sz w:val="22"/>
                <w:szCs w:val="22"/>
              </w:rPr>
              <w:t>1 to 2 years, 2-5 years and 5+ years blocks</w:t>
            </w:r>
          </w:p>
        </w:tc>
        <w:tc>
          <w:tcPr>
            <w:tcW w:w="1842" w:type="dxa"/>
          </w:tcPr>
          <w:p w14:paraId="47E216ED" w14:textId="77777777" w:rsidR="00290A8A" w:rsidRPr="00BA3A52" w:rsidRDefault="004A7A82">
            <w:pPr>
              <w:rPr>
                <w:sz w:val="22"/>
                <w:szCs w:val="22"/>
              </w:rPr>
            </w:pPr>
            <w:r w:rsidRPr="00BA3A52">
              <w:rPr>
                <w:sz w:val="22"/>
                <w:szCs w:val="22"/>
              </w:rPr>
              <w:t>Swap, Swaption, Option</w:t>
            </w:r>
          </w:p>
        </w:tc>
      </w:tr>
    </w:tbl>
    <w:p w14:paraId="70FB1935" w14:textId="77777777" w:rsidR="00290A8A" w:rsidRPr="00BA3A52" w:rsidRDefault="00290A8A" w:rsidP="00290A8A">
      <w:pPr>
        <w:jc w:val="both"/>
      </w:pPr>
    </w:p>
    <w:p w14:paraId="6C02F465" w14:textId="416F1D86" w:rsidR="00290A8A" w:rsidRPr="00BA3A52" w:rsidRDefault="004A7A82" w:rsidP="00290A8A">
      <w:pPr>
        <w:jc w:val="both"/>
      </w:pPr>
      <w:r w:rsidRPr="00BA3A52">
        <w:t xml:space="preserve">The </w:t>
      </w:r>
      <w:r w:rsidR="00DD0F86">
        <w:t>C</w:t>
      </w:r>
      <w:r w:rsidRPr="00BA3A52">
        <w:t>ouncil is now able to transact in Exchange Traded Futures and Options</w:t>
      </w:r>
      <w:r w:rsidR="00761252">
        <w:t xml:space="preserve"> and has</w:t>
      </w:r>
      <w:r w:rsidRPr="00BA3A52">
        <w:t xml:space="preserve"> opened a Derivative Clearing Account with Royal Bank of Canada. The specific instruments appropriate for the council's treasury management are 3-month Sonia Futures and options (Sonia is the replacement for Sterling Libor 3-month interest rate index). These instruments allow the mitigation of the effects of interest rate shocks out to 5</w:t>
      </w:r>
      <w:r>
        <w:t xml:space="preserve"> </w:t>
      </w:r>
      <w:r w:rsidRPr="00BA3A52">
        <w:t>y</w:t>
      </w:r>
      <w:r>
        <w:t>ear</w:t>
      </w:r>
      <w:r w:rsidRPr="00BA3A52">
        <w:t>s maturity. Having analysed the risk profile of the council treasury management it was considered appropriate only to establish positions to mitigate “unusual risk” in any specific period rather than the more regular risks. Effectively the council will look, where appropriate, to “insure” against specific risk for a specific upfront premium. (Technically, insuring against events more than 1.5 Standard Deviations away from the median expected outcome at each maturity)</w:t>
      </w:r>
      <w:r w:rsidR="00DE1BFB">
        <w:t>.</w:t>
      </w:r>
    </w:p>
    <w:p w14:paraId="4866C77E" w14:textId="77777777" w:rsidR="00290A8A" w:rsidRPr="00BA3A52" w:rsidRDefault="00290A8A" w:rsidP="00290A8A">
      <w:pPr>
        <w:jc w:val="both"/>
      </w:pPr>
    </w:p>
    <w:p w14:paraId="2A000FE8" w14:textId="77777777" w:rsidR="00290A8A" w:rsidRPr="00BA3A52" w:rsidRDefault="004A7A82" w:rsidP="00290A8A">
      <w:pPr>
        <w:jc w:val="both"/>
      </w:pPr>
      <w:r w:rsidRPr="00BA3A52">
        <w:t>Where appropriate and if advised necessary by the treasury management consultants, hedge accounting will be used to periodically test the effectiveness of the hedge. It is expected the hedge will work with between 80% and 125% effectiveness in accordance with accounting standards. If the effectiveness is measured as falling outside these parameters, the structure of the hedge will be changed in response.</w:t>
      </w:r>
    </w:p>
    <w:p w14:paraId="5F6EF6AB" w14:textId="77777777" w:rsidR="00290A8A" w:rsidRPr="00BA3A52" w:rsidRDefault="00290A8A" w:rsidP="00290A8A">
      <w:pPr>
        <w:jc w:val="both"/>
      </w:pPr>
    </w:p>
    <w:p w14:paraId="3EF9F196" w14:textId="77777777" w:rsidR="00290A8A" w:rsidRPr="00BA3A52" w:rsidRDefault="004A7A82" w:rsidP="00290A8A">
      <w:pPr>
        <w:jc w:val="both"/>
      </w:pPr>
      <w:r w:rsidRPr="00BA3A52">
        <w:t xml:space="preserve">The calculation method of interest rate risk to be hedged and hedge effectiveness will be set out in the treasury management practices document. </w:t>
      </w:r>
    </w:p>
    <w:p w14:paraId="15B5DDD0" w14:textId="77777777" w:rsidR="00290A8A" w:rsidRPr="00BA3A52" w:rsidRDefault="00290A8A" w:rsidP="00290A8A">
      <w:pPr>
        <w:jc w:val="both"/>
      </w:pPr>
    </w:p>
    <w:p w14:paraId="7D0B31A0" w14:textId="77777777" w:rsidR="00290A8A" w:rsidRPr="00BA3A52" w:rsidRDefault="004A7A82" w:rsidP="00290A8A">
      <w:pPr>
        <w:jc w:val="both"/>
      </w:pPr>
      <w:r w:rsidRPr="00BA3A52">
        <w:t xml:space="preserve">At all times the council will comply with CIPFA advice and guidance on the use of financial derivatives and have regard to CIPFA publications on risk management. However, the council may need to seek its own legal advice. </w:t>
      </w:r>
    </w:p>
    <w:p w14:paraId="317BC8C1" w14:textId="77777777" w:rsidR="00290A8A" w:rsidRPr="00BA3A52" w:rsidRDefault="00290A8A" w:rsidP="00290A8A"/>
    <w:p w14:paraId="74D150E1" w14:textId="77777777" w:rsidR="00290A8A" w:rsidRPr="00BA3A52" w:rsidRDefault="004A7A82" w:rsidP="00290A8A">
      <w:pPr>
        <w:jc w:val="both"/>
      </w:pPr>
      <w:r w:rsidRPr="00BA3A52">
        <w:t xml:space="preserve">It is anticipated that there may be occasions when it is appropriate to undertake transactions which seek to reduce the council's specific exposure to interest rate risk. A standard market technique involves selling gilts to be paid for at an agreed date in the future rather than the normal next working day. It is proposed that the advance date is restricted to one month and the limit on the transaction(s) outstanding is £250m in total. </w:t>
      </w:r>
    </w:p>
    <w:p w14:paraId="1D18AD7E" w14:textId="77777777" w:rsidR="00290A8A" w:rsidRPr="00734E71" w:rsidRDefault="00290A8A" w:rsidP="00290A8A">
      <w:pPr>
        <w:rPr>
          <w:highlight w:val="yellow"/>
        </w:rPr>
      </w:pPr>
    </w:p>
    <w:p w14:paraId="56C48806" w14:textId="77777777" w:rsidR="00290A8A" w:rsidRPr="00993484" w:rsidRDefault="004A7A82" w:rsidP="00290A8A">
      <w:pPr>
        <w:jc w:val="both"/>
        <w:rPr>
          <w:b/>
          <w:sz w:val="28"/>
          <w:szCs w:val="28"/>
        </w:rPr>
      </w:pPr>
      <w:r w:rsidRPr="00993484">
        <w:rPr>
          <w:b/>
          <w:sz w:val="28"/>
          <w:szCs w:val="28"/>
        </w:rPr>
        <w:t xml:space="preserve">Impact on the council's revenue budget </w:t>
      </w:r>
    </w:p>
    <w:p w14:paraId="4CA3326F" w14:textId="77777777" w:rsidR="00290A8A" w:rsidRPr="00993484" w:rsidRDefault="00290A8A" w:rsidP="00290A8A">
      <w:pPr>
        <w:jc w:val="both"/>
      </w:pPr>
    </w:p>
    <w:p w14:paraId="1FAF74A6" w14:textId="77777777" w:rsidR="003B5BA9" w:rsidRDefault="004A7A82" w:rsidP="00290A8A">
      <w:pPr>
        <w:jc w:val="both"/>
      </w:pPr>
      <w:r w:rsidRPr="00993484">
        <w:t xml:space="preserve">With base rates at low levels, investment returns are likely to continue to be far lower than has previously been the case. However, in the knowledge that a portion of cash invested will not be required in the short term and to protect against continued low investment rates, investments may be made for longer time periods, depending on cash flow considerations and the prevailing market conditions. </w:t>
      </w:r>
    </w:p>
    <w:p w14:paraId="4F2F77E2" w14:textId="53B346C9" w:rsidR="00290A8A" w:rsidRPr="00993484" w:rsidRDefault="004A7A82" w:rsidP="00290A8A">
      <w:pPr>
        <w:jc w:val="both"/>
      </w:pPr>
      <w:r w:rsidRPr="00993484">
        <w:lastRenderedPageBreak/>
        <w:t xml:space="preserve">The performance target on investments is a return above the average rate for seven-day notice money. </w:t>
      </w:r>
    </w:p>
    <w:p w14:paraId="6B16EE11" w14:textId="77777777" w:rsidR="00290A8A" w:rsidRPr="00993484" w:rsidRDefault="00290A8A" w:rsidP="00290A8A">
      <w:pPr>
        <w:jc w:val="both"/>
      </w:pPr>
    </w:p>
    <w:p w14:paraId="69B801A0" w14:textId="77777777" w:rsidR="00290A8A" w:rsidRPr="0002442F" w:rsidRDefault="004A7A82" w:rsidP="00290A8A">
      <w:pPr>
        <w:jc w:val="both"/>
        <w:rPr>
          <w:highlight w:val="yellow"/>
        </w:rPr>
      </w:pPr>
      <w:r w:rsidRPr="00993484">
        <w:t>The following table outlines the budget for the financing charges element of the council's revenue budget as reflected in the medium-term financial strategy. However, th</w:t>
      </w:r>
      <w:r>
        <w:t xml:space="preserve">is </w:t>
      </w:r>
      <w:r w:rsidRPr="00993484">
        <w:t xml:space="preserve">budget will be </w:t>
      </w:r>
      <w:r>
        <w:t>amended</w:t>
      </w:r>
      <w:r w:rsidRPr="00993484">
        <w:t xml:space="preserve"> </w:t>
      </w:r>
      <w:r>
        <w:t>to reflect</w:t>
      </w:r>
      <w:r w:rsidRPr="00993484">
        <w:t xml:space="preserve"> changes in the capital programme and interest rates.  </w:t>
      </w:r>
    </w:p>
    <w:p w14:paraId="50059F42" w14:textId="77777777" w:rsidR="00290A8A" w:rsidRPr="0002442F" w:rsidRDefault="00290A8A" w:rsidP="00290A8A">
      <w:pPr>
        <w:jc w:val="both"/>
        <w:rPr>
          <w:highlight w:val="yellow"/>
        </w:rPr>
      </w:pPr>
    </w:p>
    <w:tbl>
      <w:tblPr>
        <w:tblW w:w="9016" w:type="dxa"/>
        <w:tblLook w:val="04A0" w:firstRow="1" w:lastRow="0" w:firstColumn="1" w:lastColumn="0" w:noHBand="0" w:noVBand="1"/>
      </w:tblPr>
      <w:tblGrid>
        <w:gridCol w:w="3681"/>
        <w:gridCol w:w="1417"/>
        <w:gridCol w:w="1418"/>
        <w:gridCol w:w="1280"/>
        <w:gridCol w:w="1220"/>
      </w:tblGrid>
      <w:tr w:rsidR="00C92CD8" w14:paraId="65F8E0D6" w14:textId="77777777">
        <w:trPr>
          <w:trHeight w:val="285"/>
        </w:trPr>
        <w:tc>
          <w:tcPr>
            <w:tcW w:w="3681" w:type="dxa"/>
            <w:tcBorders>
              <w:top w:val="single" w:sz="4" w:space="0" w:color="auto"/>
              <w:left w:val="single" w:sz="4" w:space="0" w:color="auto"/>
              <w:right w:val="nil"/>
            </w:tcBorders>
            <w:shd w:val="clear" w:color="000000" w:fill="FFFFFF"/>
            <w:noWrap/>
            <w:vAlign w:val="bottom"/>
            <w:hideMark/>
          </w:tcPr>
          <w:p w14:paraId="02BB94D3" w14:textId="77777777" w:rsidR="00290A8A" w:rsidRPr="008546FA" w:rsidRDefault="004A7A82">
            <w:r w:rsidRPr="008546FA">
              <w:t> </w:t>
            </w:r>
          </w:p>
        </w:tc>
        <w:tc>
          <w:tcPr>
            <w:tcW w:w="1417" w:type="dxa"/>
            <w:tcBorders>
              <w:top w:val="single" w:sz="4" w:space="0" w:color="auto"/>
              <w:left w:val="single" w:sz="4" w:space="0" w:color="auto"/>
              <w:right w:val="single" w:sz="4" w:space="0" w:color="auto"/>
            </w:tcBorders>
            <w:shd w:val="clear" w:color="000000" w:fill="FFFFFF"/>
            <w:noWrap/>
            <w:vAlign w:val="bottom"/>
            <w:hideMark/>
          </w:tcPr>
          <w:p w14:paraId="71492111" w14:textId="77777777" w:rsidR="00290A8A" w:rsidRPr="00BD218E" w:rsidRDefault="004A7A82">
            <w:pPr>
              <w:jc w:val="center"/>
            </w:pPr>
            <w:r w:rsidRPr="00BD218E">
              <w:t>Revenue Budget</w:t>
            </w:r>
          </w:p>
        </w:tc>
        <w:tc>
          <w:tcPr>
            <w:tcW w:w="1418" w:type="dxa"/>
            <w:tcBorders>
              <w:top w:val="single" w:sz="4" w:space="0" w:color="auto"/>
              <w:left w:val="nil"/>
              <w:right w:val="single" w:sz="4" w:space="0" w:color="auto"/>
            </w:tcBorders>
            <w:shd w:val="clear" w:color="000000" w:fill="FFFFFF"/>
            <w:noWrap/>
            <w:vAlign w:val="bottom"/>
            <w:hideMark/>
          </w:tcPr>
          <w:p w14:paraId="1D866EC9" w14:textId="77777777" w:rsidR="00290A8A" w:rsidRPr="00BD218E" w:rsidRDefault="004A7A82">
            <w:pPr>
              <w:jc w:val="center"/>
            </w:pPr>
            <w:r w:rsidRPr="00BD218E">
              <w:t>Revenue Budget</w:t>
            </w:r>
          </w:p>
        </w:tc>
        <w:tc>
          <w:tcPr>
            <w:tcW w:w="1280" w:type="dxa"/>
            <w:tcBorders>
              <w:top w:val="single" w:sz="4" w:space="0" w:color="auto"/>
              <w:left w:val="nil"/>
              <w:right w:val="single" w:sz="4" w:space="0" w:color="auto"/>
            </w:tcBorders>
            <w:shd w:val="clear" w:color="000000" w:fill="FFFFFF"/>
            <w:noWrap/>
            <w:vAlign w:val="bottom"/>
            <w:hideMark/>
          </w:tcPr>
          <w:p w14:paraId="4954C4E6" w14:textId="77777777" w:rsidR="00290A8A" w:rsidRPr="00BD218E" w:rsidRDefault="004A7A82">
            <w:pPr>
              <w:jc w:val="center"/>
            </w:pPr>
            <w:r w:rsidRPr="00BD218E">
              <w:t>Revenue Budget</w:t>
            </w:r>
          </w:p>
        </w:tc>
        <w:tc>
          <w:tcPr>
            <w:tcW w:w="1220" w:type="dxa"/>
            <w:tcBorders>
              <w:top w:val="single" w:sz="4" w:space="0" w:color="auto"/>
              <w:left w:val="nil"/>
              <w:right w:val="single" w:sz="4" w:space="0" w:color="auto"/>
            </w:tcBorders>
            <w:shd w:val="clear" w:color="000000" w:fill="FFFFFF"/>
            <w:noWrap/>
            <w:vAlign w:val="bottom"/>
            <w:hideMark/>
          </w:tcPr>
          <w:p w14:paraId="54128804" w14:textId="77777777" w:rsidR="00290A8A" w:rsidRPr="00BD218E" w:rsidRDefault="004A7A82">
            <w:pPr>
              <w:jc w:val="center"/>
            </w:pPr>
            <w:r w:rsidRPr="00BD218E">
              <w:t>Revenue Budget</w:t>
            </w:r>
          </w:p>
        </w:tc>
      </w:tr>
      <w:tr w:rsidR="00C92CD8" w14:paraId="1946CDE0" w14:textId="77777777">
        <w:trPr>
          <w:trHeight w:val="285"/>
        </w:trPr>
        <w:tc>
          <w:tcPr>
            <w:tcW w:w="3681" w:type="dxa"/>
            <w:tcBorders>
              <w:top w:val="nil"/>
              <w:left w:val="single" w:sz="4" w:space="0" w:color="auto"/>
              <w:right w:val="nil"/>
            </w:tcBorders>
            <w:shd w:val="clear" w:color="000000" w:fill="FFFFFF"/>
            <w:noWrap/>
            <w:vAlign w:val="bottom"/>
            <w:hideMark/>
          </w:tcPr>
          <w:p w14:paraId="17D6545A" w14:textId="77777777" w:rsidR="00290A8A" w:rsidRPr="008546FA" w:rsidRDefault="004A7A82">
            <w:r w:rsidRPr="008546FA">
              <w:t> </w:t>
            </w:r>
          </w:p>
        </w:tc>
        <w:tc>
          <w:tcPr>
            <w:tcW w:w="1417" w:type="dxa"/>
            <w:tcBorders>
              <w:top w:val="nil"/>
              <w:left w:val="single" w:sz="4" w:space="0" w:color="auto"/>
              <w:right w:val="single" w:sz="4" w:space="0" w:color="auto"/>
            </w:tcBorders>
            <w:shd w:val="clear" w:color="000000" w:fill="FFFFFF"/>
            <w:noWrap/>
            <w:vAlign w:val="bottom"/>
            <w:hideMark/>
          </w:tcPr>
          <w:p w14:paraId="146EB5AC" w14:textId="77777777" w:rsidR="00290A8A" w:rsidRPr="00BD218E" w:rsidRDefault="004A7A82">
            <w:pPr>
              <w:jc w:val="center"/>
            </w:pPr>
            <w:r w:rsidRPr="00BD218E">
              <w:t>202</w:t>
            </w:r>
            <w:r>
              <w:t>3</w:t>
            </w:r>
            <w:r w:rsidRPr="00BD218E">
              <w:t>/2</w:t>
            </w:r>
            <w:r>
              <w:t>4</w:t>
            </w:r>
          </w:p>
        </w:tc>
        <w:tc>
          <w:tcPr>
            <w:tcW w:w="1418" w:type="dxa"/>
            <w:tcBorders>
              <w:top w:val="nil"/>
              <w:left w:val="nil"/>
              <w:right w:val="single" w:sz="4" w:space="0" w:color="auto"/>
            </w:tcBorders>
            <w:shd w:val="clear" w:color="000000" w:fill="FFFFFF"/>
            <w:noWrap/>
            <w:vAlign w:val="bottom"/>
            <w:hideMark/>
          </w:tcPr>
          <w:p w14:paraId="763C4B11" w14:textId="77777777" w:rsidR="00290A8A" w:rsidRPr="00BD218E" w:rsidRDefault="004A7A82">
            <w:pPr>
              <w:jc w:val="center"/>
            </w:pPr>
            <w:r w:rsidRPr="00BD218E">
              <w:t>2024/25</w:t>
            </w:r>
          </w:p>
        </w:tc>
        <w:tc>
          <w:tcPr>
            <w:tcW w:w="1280" w:type="dxa"/>
            <w:tcBorders>
              <w:top w:val="nil"/>
              <w:left w:val="nil"/>
              <w:right w:val="single" w:sz="4" w:space="0" w:color="auto"/>
            </w:tcBorders>
            <w:shd w:val="clear" w:color="000000" w:fill="FFFFFF"/>
            <w:noWrap/>
            <w:vAlign w:val="bottom"/>
            <w:hideMark/>
          </w:tcPr>
          <w:p w14:paraId="0218C53D" w14:textId="77777777" w:rsidR="00290A8A" w:rsidRPr="00BD218E" w:rsidRDefault="004A7A82">
            <w:pPr>
              <w:jc w:val="center"/>
            </w:pPr>
            <w:r w:rsidRPr="00BD218E">
              <w:t>202</w:t>
            </w:r>
            <w:r>
              <w:t>5</w:t>
            </w:r>
            <w:r w:rsidRPr="00BD218E">
              <w:t>/2</w:t>
            </w:r>
            <w:r>
              <w:t>6</w:t>
            </w:r>
          </w:p>
        </w:tc>
        <w:tc>
          <w:tcPr>
            <w:tcW w:w="1220" w:type="dxa"/>
            <w:tcBorders>
              <w:top w:val="nil"/>
              <w:left w:val="nil"/>
              <w:right w:val="single" w:sz="4" w:space="0" w:color="auto"/>
            </w:tcBorders>
            <w:shd w:val="clear" w:color="000000" w:fill="FFFFFF"/>
            <w:noWrap/>
            <w:vAlign w:val="bottom"/>
            <w:hideMark/>
          </w:tcPr>
          <w:p w14:paraId="0B536498" w14:textId="77777777" w:rsidR="00290A8A" w:rsidRPr="00BD218E" w:rsidRDefault="004A7A82">
            <w:pPr>
              <w:jc w:val="center"/>
            </w:pPr>
            <w:r w:rsidRPr="00BD218E">
              <w:t>202</w:t>
            </w:r>
            <w:r>
              <w:t>6</w:t>
            </w:r>
            <w:r w:rsidRPr="00BD218E">
              <w:t>/2</w:t>
            </w:r>
            <w:r>
              <w:t>7</w:t>
            </w:r>
          </w:p>
        </w:tc>
      </w:tr>
      <w:tr w:rsidR="00C92CD8" w14:paraId="4193D072" w14:textId="77777777">
        <w:trPr>
          <w:trHeight w:val="285"/>
        </w:trPr>
        <w:tc>
          <w:tcPr>
            <w:tcW w:w="3681" w:type="dxa"/>
            <w:tcBorders>
              <w:top w:val="nil"/>
              <w:left w:val="single" w:sz="4" w:space="0" w:color="auto"/>
              <w:bottom w:val="single" w:sz="4" w:space="0" w:color="auto"/>
              <w:right w:val="nil"/>
            </w:tcBorders>
            <w:shd w:val="clear" w:color="000000" w:fill="FFFFFF"/>
            <w:noWrap/>
            <w:vAlign w:val="bottom"/>
            <w:hideMark/>
          </w:tcPr>
          <w:p w14:paraId="4C54CCC0" w14:textId="77777777" w:rsidR="00290A8A" w:rsidRPr="008546FA" w:rsidRDefault="004A7A82">
            <w:r w:rsidRPr="008546FA">
              <w:t>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14:paraId="6C3FD028" w14:textId="77777777" w:rsidR="00290A8A" w:rsidRPr="00BD218E" w:rsidRDefault="004A7A82">
            <w:pPr>
              <w:jc w:val="center"/>
            </w:pPr>
            <w:r w:rsidRPr="00BD218E">
              <w:t>£m</w:t>
            </w:r>
          </w:p>
        </w:tc>
        <w:tc>
          <w:tcPr>
            <w:tcW w:w="1418" w:type="dxa"/>
            <w:tcBorders>
              <w:top w:val="nil"/>
              <w:left w:val="nil"/>
              <w:bottom w:val="single" w:sz="4" w:space="0" w:color="auto"/>
              <w:right w:val="single" w:sz="4" w:space="0" w:color="auto"/>
            </w:tcBorders>
            <w:shd w:val="clear" w:color="000000" w:fill="FFFFFF"/>
            <w:noWrap/>
            <w:vAlign w:val="bottom"/>
            <w:hideMark/>
          </w:tcPr>
          <w:p w14:paraId="67216DFD" w14:textId="77777777" w:rsidR="00290A8A" w:rsidRPr="00BD218E" w:rsidRDefault="004A7A82">
            <w:pPr>
              <w:jc w:val="center"/>
            </w:pPr>
            <w:r w:rsidRPr="00BD218E">
              <w:t>£m</w:t>
            </w:r>
          </w:p>
        </w:tc>
        <w:tc>
          <w:tcPr>
            <w:tcW w:w="1280" w:type="dxa"/>
            <w:tcBorders>
              <w:top w:val="nil"/>
              <w:left w:val="nil"/>
              <w:bottom w:val="single" w:sz="4" w:space="0" w:color="auto"/>
              <w:right w:val="single" w:sz="4" w:space="0" w:color="auto"/>
            </w:tcBorders>
            <w:shd w:val="clear" w:color="000000" w:fill="FFFFFF"/>
            <w:noWrap/>
            <w:vAlign w:val="bottom"/>
            <w:hideMark/>
          </w:tcPr>
          <w:p w14:paraId="08856CA3" w14:textId="77777777" w:rsidR="00290A8A" w:rsidRPr="00BD218E" w:rsidRDefault="004A7A82">
            <w:pPr>
              <w:jc w:val="center"/>
            </w:pPr>
            <w:r w:rsidRPr="00BD218E">
              <w:t>£m</w:t>
            </w:r>
          </w:p>
        </w:tc>
        <w:tc>
          <w:tcPr>
            <w:tcW w:w="1220" w:type="dxa"/>
            <w:tcBorders>
              <w:top w:val="nil"/>
              <w:left w:val="nil"/>
              <w:bottom w:val="single" w:sz="4" w:space="0" w:color="auto"/>
              <w:right w:val="single" w:sz="4" w:space="0" w:color="auto"/>
            </w:tcBorders>
            <w:shd w:val="clear" w:color="000000" w:fill="FFFFFF"/>
            <w:noWrap/>
            <w:vAlign w:val="bottom"/>
            <w:hideMark/>
          </w:tcPr>
          <w:p w14:paraId="01A56802" w14:textId="77777777" w:rsidR="00290A8A" w:rsidRPr="00BD218E" w:rsidRDefault="004A7A82">
            <w:pPr>
              <w:jc w:val="center"/>
            </w:pPr>
            <w:r w:rsidRPr="00BD218E">
              <w:t>£m</w:t>
            </w:r>
          </w:p>
        </w:tc>
      </w:tr>
      <w:tr w:rsidR="00C92CD8" w14:paraId="7200DD82" w14:textId="77777777">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14:paraId="5EB07656" w14:textId="77777777" w:rsidR="00290A8A" w:rsidRPr="00BD218E" w:rsidRDefault="004A7A82">
            <w:r w:rsidRPr="00BD218E">
              <w:t xml:space="preserve">Minimum Revenue Provision </w:t>
            </w:r>
          </w:p>
        </w:tc>
        <w:tc>
          <w:tcPr>
            <w:tcW w:w="1417" w:type="dxa"/>
            <w:tcBorders>
              <w:top w:val="single" w:sz="4" w:space="0" w:color="auto"/>
              <w:left w:val="single" w:sz="4" w:space="0" w:color="auto"/>
              <w:bottom w:val="single" w:sz="4" w:space="0" w:color="auto"/>
              <w:right w:val="nil"/>
            </w:tcBorders>
            <w:shd w:val="clear" w:color="auto" w:fill="auto"/>
            <w:noWrap/>
            <w:vAlign w:val="bottom"/>
          </w:tcPr>
          <w:p w14:paraId="32B8AD24" w14:textId="77777777" w:rsidR="00290A8A" w:rsidRPr="00C87F31" w:rsidRDefault="004A7A82">
            <w:pPr>
              <w:jc w:val="center"/>
            </w:pPr>
            <w:r w:rsidRPr="00C87F31">
              <w:t>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70721" w14:textId="77777777" w:rsidR="00290A8A" w:rsidRPr="00C87F31" w:rsidRDefault="004A7A82">
            <w:pPr>
              <w:jc w:val="center"/>
            </w:pPr>
            <w:r w:rsidRPr="00C87F31">
              <w:t>34</w:t>
            </w: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61398103" w14:textId="77777777" w:rsidR="00290A8A" w:rsidRPr="00C87F31" w:rsidRDefault="004A7A82">
            <w:pPr>
              <w:jc w:val="center"/>
            </w:pPr>
            <w:r w:rsidRPr="00C87F31">
              <w:t>36</w:t>
            </w: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76172C06" w14:textId="77777777" w:rsidR="00290A8A" w:rsidRPr="00C87F31" w:rsidRDefault="004A7A82">
            <w:pPr>
              <w:jc w:val="center"/>
            </w:pPr>
            <w:r w:rsidRPr="00C87F31">
              <w:t>35</w:t>
            </w:r>
          </w:p>
        </w:tc>
      </w:tr>
      <w:tr w:rsidR="00C92CD8" w14:paraId="11EE36D5" w14:textId="77777777">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14:paraId="263EC3D5" w14:textId="77777777" w:rsidR="00290A8A" w:rsidRPr="00BD218E" w:rsidRDefault="004A7A82">
            <w:r w:rsidRPr="00BD218E">
              <w:t>Interest paid</w:t>
            </w:r>
          </w:p>
        </w:tc>
        <w:tc>
          <w:tcPr>
            <w:tcW w:w="1417" w:type="dxa"/>
            <w:tcBorders>
              <w:top w:val="single" w:sz="4" w:space="0" w:color="auto"/>
              <w:left w:val="single" w:sz="4" w:space="0" w:color="auto"/>
              <w:bottom w:val="single" w:sz="4" w:space="0" w:color="auto"/>
              <w:right w:val="nil"/>
            </w:tcBorders>
            <w:shd w:val="clear" w:color="auto" w:fill="auto"/>
            <w:noWrap/>
            <w:vAlign w:val="bottom"/>
          </w:tcPr>
          <w:p w14:paraId="50EB82BE" w14:textId="77777777" w:rsidR="00290A8A" w:rsidRPr="00C87F31" w:rsidRDefault="004A7A82">
            <w:pPr>
              <w:jc w:val="center"/>
            </w:pPr>
            <w:r w:rsidRPr="00C87F31">
              <w:t>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38DFC" w14:textId="77777777" w:rsidR="00290A8A" w:rsidRPr="00C87F31" w:rsidRDefault="004A7A82">
            <w:pPr>
              <w:jc w:val="center"/>
            </w:pPr>
            <w:r w:rsidRPr="00C87F31">
              <w:t>52</w:t>
            </w: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016AEA05" w14:textId="77777777" w:rsidR="00290A8A" w:rsidRPr="00C87F31" w:rsidRDefault="004A7A82">
            <w:pPr>
              <w:jc w:val="center"/>
            </w:pPr>
            <w:r w:rsidRPr="00C87F31">
              <w:t>47</w:t>
            </w: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7DA083D3" w14:textId="77777777" w:rsidR="00290A8A" w:rsidRPr="00C87F31" w:rsidRDefault="004A7A82">
            <w:pPr>
              <w:jc w:val="center"/>
            </w:pPr>
            <w:r w:rsidRPr="00C87F31">
              <w:t>44</w:t>
            </w:r>
          </w:p>
        </w:tc>
      </w:tr>
      <w:tr w:rsidR="00C92CD8" w14:paraId="4436FBF9" w14:textId="77777777">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14:paraId="7ABA4E16" w14:textId="77777777" w:rsidR="00290A8A" w:rsidRPr="00BD218E" w:rsidRDefault="004A7A82">
            <w:r w:rsidRPr="00BD218E">
              <w:t>Interest and other income earned</w:t>
            </w:r>
          </w:p>
        </w:tc>
        <w:tc>
          <w:tcPr>
            <w:tcW w:w="1417" w:type="dxa"/>
            <w:tcBorders>
              <w:top w:val="single" w:sz="4" w:space="0" w:color="auto"/>
              <w:left w:val="single" w:sz="4" w:space="0" w:color="auto"/>
              <w:bottom w:val="single" w:sz="4" w:space="0" w:color="auto"/>
              <w:right w:val="nil"/>
            </w:tcBorders>
            <w:shd w:val="clear" w:color="auto" w:fill="auto"/>
            <w:noWrap/>
            <w:vAlign w:val="bottom"/>
          </w:tcPr>
          <w:p w14:paraId="5852917C" w14:textId="77777777" w:rsidR="00290A8A" w:rsidRPr="00C87F31" w:rsidRDefault="004A7A82">
            <w:pPr>
              <w:jc w:val="center"/>
            </w:pPr>
            <w:r w:rsidRPr="00C87F31">
              <w:t>-39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426AC" w14:textId="77777777" w:rsidR="00290A8A" w:rsidRPr="00C87F31" w:rsidRDefault="004A7A82">
            <w:pPr>
              <w:jc w:val="center"/>
            </w:pPr>
            <w:r w:rsidRPr="00C87F31">
              <w:t>-40</w:t>
            </w: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1E6C9284" w14:textId="77777777" w:rsidR="00290A8A" w:rsidRPr="00C87F31" w:rsidRDefault="004A7A82">
            <w:pPr>
              <w:jc w:val="center"/>
            </w:pPr>
            <w:r w:rsidRPr="00C87F31">
              <w:t>-36</w:t>
            </w: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463D9982" w14:textId="77777777" w:rsidR="00290A8A" w:rsidRPr="00C87F31" w:rsidRDefault="004A7A82">
            <w:pPr>
              <w:jc w:val="center"/>
            </w:pPr>
            <w:r w:rsidRPr="00C87F31">
              <w:t>-33</w:t>
            </w:r>
          </w:p>
        </w:tc>
      </w:tr>
      <w:tr w:rsidR="00C92CD8" w14:paraId="029218E6" w14:textId="77777777">
        <w:trPr>
          <w:trHeight w:val="285"/>
        </w:trPr>
        <w:tc>
          <w:tcPr>
            <w:tcW w:w="3681" w:type="dxa"/>
            <w:tcBorders>
              <w:top w:val="single" w:sz="4" w:space="0" w:color="auto"/>
              <w:left w:val="single" w:sz="4" w:space="0" w:color="auto"/>
              <w:bottom w:val="single" w:sz="4" w:space="0" w:color="auto"/>
              <w:right w:val="nil"/>
            </w:tcBorders>
            <w:shd w:val="clear" w:color="auto" w:fill="E6EEF0" w:themeFill="accent5" w:themeFillTint="33"/>
            <w:noWrap/>
            <w:vAlign w:val="bottom"/>
            <w:hideMark/>
          </w:tcPr>
          <w:p w14:paraId="0C6D60F1" w14:textId="77777777" w:rsidR="00290A8A" w:rsidRPr="00BD218E" w:rsidRDefault="004A7A82">
            <w:r w:rsidRPr="00BD218E">
              <w:t>Total</w:t>
            </w:r>
          </w:p>
        </w:tc>
        <w:tc>
          <w:tcPr>
            <w:tcW w:w="1417" w:type="dxa"/>
            <w:tcBorders>
              <w:top w:val="single" w:sz="4" w:space="0" w:color="auto"/>
              <w:left w:val="single" w:sz="4" w:space="0" w:color="auto"/>
              <w:bottom w:val="single" w:sz="4" w:space="0" w:color="auto"/>
              <w:right w:val="nil"/>
            </w:tcBorders>
            <w:shd w:val="clear" w:color="auto" w:fill="E6EEF0" w:themeFill="accent5" w:themeFillTint="33"/>
            <w:noWrap/>
            <w:vAlign w:val="bottom"/>
          </w:tcPr>
          <w:p w14:paraId="5B2CBD17" w14:textId="77777777" w:rsidR="00290A8A" w:rsidRPr="00BD218E" w:rsidRDefault="004A7A82">
            <w:pPr>
              <w:jc w:val="center"/>
            </w:pPr>
            <w:r>
              <w:t>41</w:t>
            </w:r>
          </w:p>
        </w:tc>
        <w:tc>
          <w:tcPr>
            <w:tcW w:w="1418" w:type="dxa"/>
            <w:tcBorders>
              <w:top w:val="single" w:sz="4" w:space="0" w:color="auto"/>
              <w:left w:val="single" w:sz="4" w:space="0" w:color="auto"/>
              <w:bottom w:val="single" w:sz="4" w:space="0" w:color="auto"/>
              <w:right w:val="single" w:sz="4" w:space="0" w:color="auto"/>
            </w:tcBorders>
            <w:shd w:val="clear" w:color="auto" w:fill="E6EEF0" w:themeFill="accent5" w:themeFillTint="33"/>
            <w:noWrap/>
            <w:vAlign w:val="bottom"/>
          </w:tcPr>
          <w:p w14:paraId="5E5EF664" w14:textId="77777777" w:rsidR="00290A8A" w:rsidRPr="00BD218E" w:rsidRDefault="004A7A82">
            <w:pPr>
              <w:jc w:val="center"/>
            </w:pPr>
            <w:r>
              <w:t>46</w:t>
            </w:r>
          </w:p>
        </w:tc>
        <w:tc>
          <w:tcPr>
            <w:tcW w:w="1280" w:type="dxa"/>
            <w:tcBorders>
              <w:top w:val="single" w:sz="4" w:space="0" w:color="auto"/>
              <w:left w:val="nil"/>
              <w:bottom w:val="single" w:sz="4" w:space="0" w:color="auto"/>
              <w:right w:val="single" w:sz="4" w:space="0" w:color="auto"/>
            </w:tcBorders>
            <w:shd w:val="clear" w:color="auto" w:fill="E6EEF0" w:themeFill="accent5" w:themeFillTint="33"/>
            <w:noWrap/>
          </w:tcPr>
          <w:p w14:paraId="7C1F4EC3" w14:textId="77777777" w:rsidR="00290A8A" w:rsidRPr="00BD218E" w:rsidRDefault="004A7A82">
            <w:pPr>
              <w:jc w:val="center"/>
            </w:pPr>
            <w:r>
              <w:t>47</w:t>
            </w:r>
          </w:p>
        </w:tc>
        <w:tc>
          <w:tcPr>
            <w:tcW w:w="1220" w:type="dxa"/>
            <w:tcBorders>
              <w:top w:val="single" w:sz="4" w:space="0" w:color="auto"/>
              <w:left w:val="nil"/>
              <w:bottom w:val="single" w:sz="4" w:space="0" w:color="auto"/>
              <w:right w:val="single" w:sz="4" w:space="0" w:color="auto"/>
            </w:tcBorders>
            <w:shd w:val="clear" w:color="auto" w:fill="E6EEF0" w:themeFill="accent5" w:themeFillTint="33"/>
            <w:noWrap/>
          </w:tcPr>
          <w:p w14:paraId="581D9962" w14:textId="77777777" w:rsidR="00290A8A" w:rsidRPr="00BD218E" w:rsidRDefault="004A7A82">
            <w:pPr>
              <w:jc w:val="center"/>
            </w:pPr>
            <w:r>
              <w:t>46</w:t>
            </w:r>
          </w:p>
        </w:tc>
      </w:tr>
    </w:tbl>
    <w:p w14:paraId="39D1F04B" w14:textId="77777777" w:rsidR="00290A8A" w:rsidRPr="0002442F" w:rsidRDefault="00290A8A" w:rsidP="00290A8A">
      <w:pPr>
        <w:jc w:val="both"/>
        <w:rPr>
          <w:highlight w:val="yellow"/>
        </w:rPr>
      </w:pPr>
    </w:p>
    <w:p w14:paraId="45FC44B1" w14:textId="77777777" w:rsidR="00290A8A" w:rsidRPr="00BD218E" w:rsidRDefault="004A7A82" w:rsidP="00290A8A">
      <w:pPr>
        <w:jc w:val="both"/>
      </w:pPr>
      <w:r w:rsidRPr="00BD218E">
        <w:t>The revenue budget above reflects a position which takes account of the views of both internal and external advisers, particularly in relation to interest rate movements.  The position will be closely monitored by the Director of Finance and any changes will be reflected in forecasts presented to Cabinet.</w:t>
      </w:r>
    </w:p>
    <w:p w14:paraId="79E403CD" w14:textId="77777777" w:rsidR="00290A8A" w:rsidRPr="0002442F" w:rsidRDefault="00290A8A" w:rsidP="00290A8A">
      <w:pPr>
        <w:jc w:val="both"/>
        <w:rPr>
          <w:highlight w:val="yellow"/>
        </w:rPr>
      </w:pPr>
    </w:p>
    <w:p w14:paraId="3B72D6F2" w14:textId="77777777" w:rsidR="00290A8A" w:rsidRPr="00BD218E" w:rsidRDefault="004A7A82" w:rsidP="00290A8A">
      <w:pPr>
        <w:spacing w:after="240"/>
        <w:jc w:val="both"/>
        <w:rPr>
          <w:b/>
          <w:bCs/>
          <w:sz w:val="28"/>
          <w:szCs w:val="28"/>
        </w:rPr>
      </w:pPr>
      <w:r w:rsidRPr="00BD218E">
        <w:rPr>
          <w:b/>
          <w:bCs/>
          <w:sz w:val="28"/>
          <w:szCs w:val="28"/>
        </w:rPr>
        <w:t>Treasury Management Indicators</w:t>
      </w:r>
    </w:p>
    <w:p w14:paraId="3FACC4FA" w14:textId="77777777" w:rsidR="00290A8A" w:rsidRPr="00BD218E" w:rsidRDefault="004A7A82" w:rsidP="00290A8A">
      <w:pPr>
        <w:spacing w:after="240"/>
        <w:jc w:val="both"/>
        <w:rPr>
          <w:b/>
          <w:bCs/>
        </w:rPr>
      </w:pPr>
      <w:r w:rsidRPr="00BD218E">
        <w:rPr>
          <w:bCs/>
        </w:rPr>
        <w:t xml:space="preserve">In line with the relevant legislation the county council has adopted the Prudential Code for Capital Finance in Local Authorities and the Treasury Management in the Public Services Code of Practice (2021) as setting the framework of principles for its treasury management activities. In accordance with the requirements of these codes the council produces each year prudential indicators which provide a framework for the prudent management of its treasury management including limits </w:t>
      </w:r>
      <w:proofErr w:type="gramStart"/>
      <w:r w:rsidRPr="00BD218E">
        <w:rPr>
          <w:bCs/>
        </w:rPr>
        <w:t>with regard to</w:t>
      </w:r>
      <w:proofErr w:type="gramEnd"/>
      <w:r w:rsidRPr="00BD218E">
        <w:rPr>
          <w:bCs/>
        </w:rPr>
        <w:t xml:space="preserve"> certain types of activity such as borrowing. The indicators below are a consequence of the activities set out within the treasury management strategy. </w:t>
      </w:r>
      <w:r w:rsidRPr="00BD218E">
        <w:rPr>
          <w:b/>
          <w:bCs/>
        </w:rPr>
        <w:t xml:space="preserve"> </w:t>
      </w:r>
    </w:p>
    <w:p w14:paraId="620D7419" w14:textId="77777777" w:rsidR="00290A8A" w:rsidRPr="00BD218E" w:rsidRDefault="004A7A82" w:rsidP="00290A8A">
      <w:pPr>
        <w:jc w:val="both"/>
      </w:pPr>
      <w:r w:rsidRPr="00BD218E">
        <w:t xml:space="preserve">The 'authorised limit' is a prudent estimate of external debt but allows sufficient headroom for unusual cash flow movements.  </w:t>
      </w:r>
      <w:proofErr w:type="gramStart"/>
      <w:r w:rsidRPr="00BD218E">
        <w:t>Taking into account</w:t>
      </w:r>
      <w:proofErr w:type="gramEnd"/>
      <w:r w:rsidRPr="00BD218E">
        <w:t xml:space="preserve"> the capital plans and estimates of cash flow and its risks, the authorised limits for external debt are as follows:</w:t>
      </w:r>
    </w:p>
    <w:p w14:paraId="392BD5A6" w14:textId="77777777" w:rsidR="00290A8A" w:rsidRPr="00BD218E" w:rsidRDefault="00290A8A" w:rsidP="00290A8A">
      <w:pPr>
        <w:jc w:val="both"/>
      </w:pPr>
    </w:p>
    <w:tbl>
      <w:tblPr>
        <w:tblW w:w="8931" w:type="dxa"/>
        <w:tblLook w:val="04A0" w:firstRow="1" w:lastRow="0" w:firstColumn="1" w:lastColumn="0" w:noHBand="0" w:noVBand="1"/>
      </w:tblPr>
      <w:tblGrid>
        <w:gridCol w:w="2977"/>
        <w:gridCol w:w="1559"/>
        <w:gridCol w:w="1560"/>
        <w:gridCol w:w="1417"/>
        <w:gridCol w:w="1418"/>
      </w:tblGrid>
      <w:tr w:rsidR="00C92CD8" w14:paraId="29F3EE44" w14:textId="77777777">
        <w:trPr>
          <w:trHeight w:val="300"/>
        </w:trPr>
        <w:tc>
          <w:tcPr>
            <w:tcW w:w="2977" w:type="dxa"/>
            <w:tcBorders>
              <w:top w:val="nil"/>
              <w:left w:val="nil"/>
              <w:bottom w:val="nil"/>
              <w:right w:val="nil"/>
            </w:tcBorders>
            <w:shd w:val="clear" w:color="auto" w:fill="auto"/>
            <w:noWrap/>
            <w:vAlign w:val="bottom"/>
            <w:hideMark/>
          </w:tcPr>
          <w:p w14:paraId="61B010BA" w14:textId="77777777" w:rsidR="00290A8A" w:rsidRPr="00BD218E" w:rsidRDefault="00290A8A"/>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E9E17" w14:textId="77777777" w:rsidR="00290A8A" w:rsidRPr="00BD218E" w:rsidRDefault="004A7A82">
            <w:pPr>
              <w:jc w:val="center"/>
              <w:rPr>
                <w:color w:val="000000"/>
              </w:rPr>
            </w:pPr>
            <w:r w:rsidRPr="00BD218E">
              <w:rPr>
                <w:color w:val="000000"/>
              </w:rPr>
              <w:t>202</w:t>
            </w:r>
            <w:r>
              <w:rPr>
                <w:color w:val="000000"/>
              </w:rPr>
              <w:t>3</w:t>
            </w:r>
            <w:r w:rsidRPr="00BD218E">
              <w:rPr>
                <w:color w:val="000000"/>
              </w:rPr>
              <w:t>/2</w:t>
            </w:r>
            <w:r>
              <w:rPr>
                <w:color w:val="000000"/>
              </w:rPr>
              <w:t>4</w:t>
            </w:r>
            <w:r w:rsidRPr="00BD218E">
              <w:rPr>
                <w:color w:val="000000"/>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683AF20" w14:textId="77777777" w:rsidR="00290A8A" w:rsidRPr="00BD218E" w:rsidRDefault="004A7A82">
            <w:pPr>
              <w:jc w:val="center"/>
              <w:rPr>
                <w:color w:val="000000"/>
              </w:rPr>
            </w:pPr>
            <w:r w:rsidRPr="00BD218E">
              <w:rPr>
                <w:color w:val="000000"/>
              </w:rPr>
              <w:t>2024/25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E21F24" w14:textId="77777777" w:rsidR="00290A8A" w:rsidRPr="00BD218E" w:rsidRDefault="004A7A82">
            <w:pPr>
              <w:jc w:val="center"/>
              <w:rPr>
                <w:color w:val="000000"/>
              </w:rPr>
            </w:pPr>
            <w:r w:rsidRPr="00BD218E">
              <w:rPr>
                <w:color w:val="000000"/>
              </w:rPr>
              <w:t>202</w:t>
            </w:r>
            <w:r>
              <w:rPr>
                <w:color w:val="000000"/>
              </w:rPr>
              <w:t>5</w:t>
            </w:r>
            <w:r w:rsidRPr="00BD218E">
              <w:rPr>
                <w:color w:val="000000"/>
              </w:rPr>
              <w:t>/2</w:t>
            </w:r>
            <w:r>
              <w:rPr>
                <w:color w:val="000000"/>
              </w:rPr>
              <w:t>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D16A9E" w14:textId="77777777" w:rsidR="00290A8A" w:rsidRPr="00BD218E" w:rsidRDefault="004A7A82">
            <w:pPr>
              <w:jc w:val="center"/>
              <w:rPr>
                <w:color w:val="000000"/>
              </w:rPr>
            </w:pPr>
            <w:r w:rsidRPr="00BD218E">
              <w:rPr>
                <w:color w:val="000000"/>
              </w:rPr>
              <w:t>202</w:t>
            </w:r>
            <w:r>
              <w:rPr>
                <w:color w:val="000000"/>
              </w:rPr>
              <w:t>6</w:t>
            </w:r>
            <w:r w:rsidRPr="00BD218E">
              <w:rPr>
                <w:color w:val="000000"/>
              </w:rPr>
              <w:t>/2</w:t>
            </w:r>
            <w:r>
              <w:rPr>
                <w:color w:val="000000"/>
              </w:rPr>
              <w:t>7</w:t>
            </w:r>
          </w:p>
        </w:tc>
      </w:tr>
      <w:tr w:rsidR="00C92CD8" w14:paraId="5FAC4799" w14:textId="77777777">
        <w:trPr>
          <w:trHeight w:val="300"/>
        </w:trPr>
        <w:tc>
          <w:tcPr>
            <w:tcW w:w="2977" w:type="dxa"/>
            <w:tcBorders>
              <w:top w:val="nil"/>
              <w:left w:val="nil"/>
              <w:bottom w:val="nil"/>
              <w:right w:val="nil"/>
            </w:tcBorders>
            <w:shd w:val="clear" w:color="auto" w:fill="auto"/>
            <w:noWrap/>
            <w:vAlign w:val="bottom"/>
            <w:hideMark/>
          </w:tcPr>
          <w:p w14:paraId="0E086965" w14:textId="77777777" w:rsidR="00290A8A" w:rsidRPr="00BD218E" w:rsidRDefault="00290A8A">
            <w:pPr>
              <w:rPr>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3BFEE20" w14:textId="77777777" w:rsidR="00290A8A" w:rsidRPr="00BD218E" w:rsidRDefault="004A7A82">
            <w:pPr>
              <w:jc w:val="center"/>
              <w:rPr>
                <w:color w:val="000000"/>
              </w:rPr>
            </w:pPr>
            <w:r w:rsidRPr="00BD218E">
              <w:rPr>
                <w:color w:val="000000"/>
              </w:rPr>
              <w:t>£m</w:t>
            </w:r>
          </w:p>
        </w:tc>
        <w:tc>
          <w:tcPr>
            <w:tcW w:w="1560" w:type="dxa"/>
            <w:tcBorders>
              <w:top w:val="nil"/>
              <w:left w:val="nil"/>
              <w:bottom w:val="single" w:sz="4" w:space="0" w:color="auto"/>
              <w:right w:val="single" w:sz="4" w:space="0" w:color="auto"/>
            </w:tcBorders>
            <w:shd w:val="clear" w:color="auto" w:fill="auto"/>
            <w:noWrap/>
            <w:vAlign w:val="bottom"/>
            <w:hideMark/>
          </w:tcPr>
          <w:p w14:paraId="251F48CC" w14:textId="77777777" w:rsidR="00290A8A" w:rsidRPr="00BD218E" w:rsidRDefault="004A7A82">
            <w:pPr>
              <w:jc w:val="center"/>
              <w:rPr>
                <w:color w:val="000000"/>
              </w:rPr>
            </w:pPr>
            <w:r w:rsidRPr="00BD218E">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14:paraId="3C3887A9" w14:textId="77777777" w:rsidR="00290A8A" w:rsidRPr="00BD218E" w:rsidRDefault="004A7A82">
            <w:pPr>
              <w:jc w:val="center"/>
              <w:rPr>
                <w:color w:val="000000"/>
              </w:rPr>
            </w:pPr>
            <w:r w:rsidRPr="00BD218E">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14:paraId="5FB93828" w14:textId="77777777" w:rsidR="00290A8A" w:rsidRPr="00BD218E" w:rsidRDefault="004A7A82">
            <w:pPr>
              <w:jc w:val="center"/>
              <w:rPr>
                <w:color w:val="000000"/>
              </w:rPr>
            </w:pPr>
            <w:r w:rsidRPr="00BD218E">
              <w:rPr>
                <w:color w:val="000000"/>
              </w:rPr>
              <w:t>£m</w:t>
            </w:r>
          </w:p>
        </w:tc>
      </w:tr>
      <w:tr w:rsidR="00C92CD8" w14:paraId="4EB8F19B" w14:textId="77777777">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39617" w14:textId="77777777" w:rsidR="00290A8A" w:rsidRPr="00BD218E" w:rsidRDefault="004A7A82">
            <w:pPr>
              <w:rPr>
                <w:color w:val="000000"/>
              </w:rPr>
            </w:pPr>
            <w:r w:rsidRPr="00BD218E">
              <w:rPr>
                <w:color w:val="000000"/>
              </w:rPr>
              <w:t>Borrowing</w:t>
            </w:r>
          </w:p>
        </w:tc>
        <w:tc>
          <w:tcPr>
            <w:tcW w:w="1559" w:type="dxa"/>
            <w:tcBorders>
              <w:top w:val="nil"/>
              <w:left w:val="nil"/>
              <w:bottom w:val="single" w:sz="4" w:space="0" w:color="auto"/>
              <w:right w:val="single" w:sz="4" w:space="0" w:color="auto"/>
            </w:tcBorders>
            <w:shd w:val="clear" w:color="auto" w:fill="auto"/>
            <w:noWrap/>
            <w:vAlign w:val="bottom"/>
          </w:tcPr>
          <w:p w14:paraId="0EE1E493" w14:textId="77777777" w:rsidR="00290A8A" w:rsidRPr="00BD218E" w:rsidRDefault="004A7A82">
            <w:pPr>
              <w:jc w:val="center"/>
              <w:rPr>
                <w:color w:val="000000"/>
              </w:rPr>
            </w:pPr>
            <w:r w:rsidRPr="00BD218E">
              <w:rPr>
                <w:color w:val="000000"/>
              </w:rPr>
              <w:t>1,700</w:t>
            </w:r>
          </w:p>
        </w:tc>
        <w:tc>
          <w:tcPr>
            <w:tcW w:w="1560" w:type="dxa"/>
            <w:tcBorders>
              <w:top w:val="nil"/>
              <w:left w:val="nil"/>
              <w:bottom w:val="single" w:sz="4" w:space="0" w:color="auto"/>
              <w:right w:val="single" w:sz="4" w:space="0" w:color="auto"/>
            </w:tcBorders>
            <w:shd w:val="clear" w:color="auto" w:fill="auto"/>
            <w:noWrap/>
            <w:vAlign w:val="bottom"/>
          </w:tcPr>
          <w:p w14:paraId="0B0A8464" w14:textId="77777777" w:rsidR="00290A8A" w:rsidRPr="00BD218E" w:rsidRDefault="004A7A82">
            <w:pPr>
              <w:jc w:val="center"/>
              <w:rPr>
                <w:color w:val="000000"/>
              </w:rPr>
            </w:pPr>
            <w:r w:rsidRPr="00BD218E">
              <w:rPr>
                <w:color w:val="000000"/>
              </w:rPr>
              <w:t>1,700</w:t>
            </w:r>
          </w:p>
        </w:tc>
        <w:tc>
          <w:tcPr>
            <w:tcW w:w="1417" w:type="dxa"/>
            <w:tcBorders>
              <w:top w:val="nil"/>
              <w:left w:val="nil"/>
              <w:bottom w:val="single" w:sz="4" w:space="0" w:color="auto"/>
              <w:right w:val="single" w:sz="4" w:space="0" w:color="auto"/>
            </w:tcBorders>
            <w:shd w:val="clear" w:color="auto" w:fill="auto"/>
            <w:noWrap/>
            <w:vAlign w:val="bottom"/>
          </w:tcPr>
          <w:p w14:paraId="2D85B184" w14:textId="77777777" w:rsidR="00290A8A" w:rsidRPr="00BD218E" w:rsidRDefault="004A7A82">
            <w:pPr>
              <w:jc w:val="center"/>
              <w:rPr>
                <w:color w:val="000000"/>
              </w:rPr>
            </w:pPr>
            <w:r w:rsidRPr="00BD218E">
              <w:rPr>
                <w:color w:val="000000"/>
              </w:rPr>
              <w:t>1,700</w:t>
            </w:r>
          </w:p>
        </w:tc>
        <w:tc>
          <w:tcPr>
            <w:tcW w:w="1418" w:type="dxa"/>
            <w:tcBorders>
              <w:top w:val="nil"/>
              <w:left w:val="nil"/>
              <w:bottom w:val="single" w:sz="4" w:space="0" w:color="auto"/>
              <w:right w:val="single" w:sz="4" w:space="0" w:color="auto"/>
            </w:tcBorders>
            <w:shd w:val="clear" w:color="auto" w:fill="auto"/>
            <w:noWrap/>
            <w:vAlign w:val="bottom"/>
          </w:tcPr>
          <w:p w14:paraId="7CF7EFD6" w14:textId="77777777" w:rsidR="00290A8A" w:rsidRPr="00BD218E" w:rsidRDefault="004A7A82">
            <w:pPr>
              <w:jc w:val="center"/>
              <w:rPr>
                <w:color w:val="000000"/>
              </w:rPr>
            </w:pPr>
            <w:r w:rsidRPr="00BD218E">
              <w:rPr>
                <w:color w:val="000000"/>
              </w:rPr>
              <w:t>1,700</w:t>
            </w:r>
          </w:p>
        </w:tc>
      </w:tr>
      <w:tr w:rsidR="00C92CD8" w14:paraId="0E9947E0" w14:textId="77777777">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2819B3BB" w14:textId="77777777" w:rsidR="00290A8A" w:rsidRPr="00BD218E" w:rsidRDefault="004A7A82">
            <w:pPr>
              <w:rPr>
                <w:color w:val="000000"/>
              </w:rPr>
            </w:pPr>
            <w:r w:rsidRPr="00BD218E">
              <w:rPr>
                <w:color w:val="000000"/>
              </w:rPr>
              <w:t>Other long</w:t>
            </w:r>
            <w:r>
              <w:rPr>
                <w:color w:val="000000"/>
              </w:rPr>
              <w:t>-</w:t>
            </w:r>
            <w:r w:rsidRPr="00BD218E">
              <w:rPr>
                <w:color w:val="000000"/>
              </w:rPr>
              <w:t>term liabilities</w:t>
            </w:r>
          </w:p>
        </w:tc>
        <w:tc>
          <w:tcPr>
            <w:tcW w:w="1559" w:type="dxa"/>
            <w:tcBorders>
              <w:top w:val="nil"/>
              <w:left w:val="nil"/>
              <w:bottom w:val="single" w:sz="4" w:space="0" w:color="auto"/>
              <w:right w:val="single" w:sz="4" w:space="0" w:color="auto"/>
            </w:tcBorders>
            <w:shd w:val="clear" w:color="auto" w:fill="auto"/>
            <w:noWrap/>
            <w:vAlign w:val="bottom"/>
          </w:tcPr>
          <w:p w14:paraId="7D10E066" w14:textId="77777777" w:rsidR="00290A8A" w:rsidRPr="00BD218E" w:rsidRDefault="004A7A82">
            <w:pPr>
              <w:jc w:val="center"/>
              <w:rPr>
                <w:color w:val="000000"/>
              </w:rPr>
            </w:pPr>
            <w:r w:rsidRPr="00BD218E">
              <w:rPr>
                <w:color w:val="000000"/>
              </w:rPr>
              <w:t xml:space="preserve">   400</w:t>
            </w:r>
          </w:p>
        </w:tc>
        <w:tc>
          <w:tcPr>
            <w:tcW w:w="1560" w:type="dxa"/>
            <w:tcBorders>
              <w:top w:val="nil"/>
              <w:left w:val="nil"/>
              <w:bottom w:val="single" w:sz="4" w:space="0" w:color="auto"/>
              <w:right w:val="single" w:sz="4" w:space="0" w:color="auto"/>
            </w:tcBorders>
            <w:shd w:val="clear" w:color="auto" w:fill="auto"/>
            <w:noWrap/>
            <w:vAlign w:val="bottom"/>
          </w:tcPr>
          <w:p w14:paraId="0B7DB699" w14:textId="77777777" w:rsidR="00290A8A" w:rsidRPr="00BD218E" w:rsidRDefault="004A7A82">
            <w:pPr>
              <w:jc w:val="center"/>
              <w:rPr>
                <w:color w:val="000000"/>
              </w:rPr>
            </w:pPr>
            <w:r w:rsidRPr="00BD218E">
              <w:rPr>
                <w:color w:val="000000"/>
              </w:rPr>
              <w:t xml:space="preserve">   400</w:t>
            </w:r>
          </w:p>
        </w:tc>
        <w:tc>
          <w:tcPr>
            <w:tcW w:w="1417" w:type="dxa"/>
            <w:tcBorders>
              <w:top w:val="nil"/>
              <w:left w:val="nil"/>
              <w:bottom w:val="single" w:sz="4" w:space="0" w:color="auto"/>
              <w:right w:val="single" w:sz="4" w:space="0" w:color="auto"/>
            </w:tcBorders>
            <w:shd w:val="clear" w:color="auto" w:fill="auto"/>
            <w:noWrap/>
            <w:vAlign w:val="bottom"/>
          </w:tcPr>
          <w:p w14:paraId="70D2C3B3" w14:textId="77777777" w:rsidR="00290A8A" w:rsidRPr="00BD218E" w:rsidRDefault="004A7A82">
            <w:pPr>
              <w:jc w:val="center"/>
              <w:rPr>
                <w:color w:val="000000"/>
              </w:rPr>
            </w:pPr>
            <w:r w:rsidRPr="00BD218E">
              <w:rPr>
                <w:color w:val="000000"/>
              </w:rPr>
              <w:t xml:space="preserve">   400</w:t>
            </w:r>
          </w:p>
        </w:tc>
        <w:tc>
          <w:tcPr>
            <w:tcW w:w="1418" w:type="dxa"/>
            <w:tcBorders>
              <w:top w:val="nil"/>
              <w:left w:val="nil"/>
              <w:bottom w:val="single" w:sz="4" w:space="0" w:color="auto"/>
              <w:right w:val="single" w:sz="4" w:space="0" w:color="auto"/>
            </w:tcBorders>
            <w:shd w:val="clear" w:color="auto" w:fill="auto"/>
            <w:noWrap/>
            <w:vAlign w:val="bottom"/>
          </w:tcPr>
          <w:p w14:paraId="60AAAC1A" w14:textId="77777777" w:rsidR="00290A8A" w:rsidRPr="00BD218E" w:rsidRDefault="004A7A82">
            <w:pPr>
              <w:jc w:val="center"/>
              <w:rPr>
                <w:color w:val="000000"/>
              </w:rPr>
            </w:pPr>
            <w:r w:rsidRPr="00BD218E">
              <w:rPr>
                <w:color w:val="000000"/>
              </w:rPr>
              <w:t xml:space="preserve">   400</w:t>
            </w:r>
          </w:p>
        </w:tc>
      </w:tr>
      <w:tr w:rsidR="00C92CD8" w14:paraId="57803C79" w14:textId="77777777">
        <w:trPr>
          <w:trHeight w:val="300"/>
        </w:trPr>
        <w:tc>
          <w:tcPr>
            <w:tcW w:w="2977" w:type="dxa"/>
            <w:tcBorders>
              <w:top w:val="nil"/>
              <w:left w:val="single" w:sz="4" w:space="0" w:color="auto"/>
              <w:bottom w:val="single" w:sz="4" w:space="0" w:color="auto"/>
              <w:right w:val="single" w:sz="4" w:space="0" w:color="auto"/>
            </w:tcBorders>
            <w:shd w:val="clear" w:color="auto" w:fill="CCDFEC" w:themeFill="accent1" w:themeFillTint="33"/>
            <w:noWrap/>
            <w:vAlign w:val="bottom"/>
            <w:hideMark/>
          </w:tcPr>
          <w:p w14:paraId="29671B77" w14:textId="77777777" w:rsidR="00290A8A" w:rsidRPr="00BD218E" w:rsidRDefault="004A7A82">
            <w:pPr>
              <w:rPr>
                <w:color w:val="000000"/>
              </w:rPr>
            </w:pPr>
            <w:r w:rsidRPr="00BD218E">
              <w:rPr>
                <w:color w:val="000000"/>
              </w:rPr>
              <w:t>TOTAL</w:t>
            </w:r>
          </w:p>
        </w:tc>
        <w:tc>
          <w:tcPr>
            <w:tcW w:w="1559" w:type="dxa"/>
            <w:tcBorders>
              <w:top w:val="nil"/>
              <w:left w:val="nil"/>
              <w:bottom w:val="single" w:sz="4" w:space="0" w:color="auto"/>
              <w:right w:val="single" w:sz="4" w:space="0" w:color="auto"/>
            </w:tcBorders>
            <w:shd w:val="clear" w:color="auto" w:fill="CCDFEC" w:themeFill="accent1" w:themeFillTint="33"/>
            <w:noWrap/>
            <w:vAlign w:val="bottom"/>
          </w:tcPr>
          <w:p w14:paraId="73957BD2" w14:textId="77777777" w:rsidR="00290A8A" w:rsidRPr="00BD218E" w:rsidRDefault="004A7A82">
            <w:pPr>
              <w:jc w:val="center"/>
              <w:rPr>
                <w:color w:val="000000"/>
              </w:rPr>
            </w:pPr>
            <w:r w:rsidRPr="00BD218E">
              <w:rPr>
                <w:color w:val="000000"/>
              </w:rPr>
              <w:t>2,100</w:t>
            </w:r>
          </w:p>
        </w:tc>
        <w:tc>
          <w:tcPr>
            <w:tcW w:w="1560" w:type="dxa"/>
            <w:tcBorders>
              <w:top w:val="nil"/>
              <w:left w:val="nil"/>
              <w:bottom w:val="single" w:sz="4" w:space="0" w:color="auto"/>
              <w:right w:val="single" w:sz="4" w:space="0" w:color="auto"/>
            </w:tcBorders>
            <w:shd w:val="clear" w:color="auto" w:fill="CCDFEC" w:themeFill="accent1" w:themeFillTint="33"/>
            <w:noWrap/>
            <w:vAlign w:val="bottom"/>
          </w:tcPr>
          <w:p w14:paraId="48BC0E17" w14:textId="77777777" w:rsidR="00290A8A" w:rsidRPr="00BD218E" w:rsidRDefault="004A7A82">
            <w:pPr>
              <w:jc w:val="center"/>
              <w:rPr>
                <w:color w:val="000000"/>
              </w:rPr>
            </w:pPr>
            <w:r w:rsidRPr="00BD218E">
              <w:rPr>
                <w:color w:val="000000"/>
              </w:rPr>
              <w:t>2,100</w:t>
            </w:r>
          </w:p>
        </w:tc>
        <w:tc>
          <w:tcPr>
            <w:tcW w:w="1417" w:type="dxa"/>
            <w:tcBorders>
              <w:top w:val="nil"/>
              <w:left w:val="nil"/>
              <w:bottom w:val="single" w:sz="4" w:space="0" w:color="auto"/>
              <w:right w:val="single" w:sz="4" w:space="0" w:color="auto"/>
            </w:tcBorders>
            <w:shd w:val="clear" w:color="auto" w:fill="CCDFEC" w:themeFill="accent1" w:themeFillTint="33"/>
            <w:noWrap/>
            <w:vAlign w:val="bottom"/>
          </w:tcPr>
          <w:p w14:paraId="71756A49" w14:textId="77777777" w:rsidR="00290A8A" w:rsidRPr="00BD218E" w:rsidRDefault="004A7A82">
            <w:pPr>
              <w:jc w:val="center"/>
              <w:rPr>
                <w:color w:val="000000"/>
              </w:rPr>
            </w:pPr>
            <w:r w:rsidRPr="00BD218E">
              <w:rPr>
                <w:color w:val="000000"/>
              </w:rPr>
              <w:t>2,100</w:t>
            </w:r>
          </w:p>
        </w:tc>
        <w:tc>
          <w:tcPr>
            <w:tcW w:w="1418" w:type="dxa"/>
            <w:tcBorders>
              <w:top w:val="nil"/>
              <w:left w:val="nil"/>
              <w:bottom w:val="single" w:sz="4" w:space="0" w:color="auto"/>
              <w:right w:val="single" w:sz="4" w:space="0" w:color="auto"/>
            </w:tcBorders>
            <w:shd w:val="clear" w:color="auto" w:fill="CCDFEC" w:themeFill="accent1" w:themeFillTint="33"/>
            <w:noWrap/>
            <w:vAlign w:val="bottom"/>
          </w:tcPr>
          <w:p w14:paraId="407B5BDE" w14:textId="77777777" w:rsidR="00290A8A" w:rsidRPr="00BD218E" w:rsidRDefault="004A7A82">
            <w:pPr>
              <w:jc w:val="center"/>
              <w:rPr>
                <w:color w:val="000000"/>
              </w:rPr>
            </w:pPr>
            <w:r w:rsidRPr="00BD218E">
              <w:rPr>
                <w:color w:val="000000"/>
              </w:rPr>
              <w:t>2,100</w:t>
            </w:r>
          </w:p>
        </w:tc>
      </w:tr>
    </w:tbl>
    <w:p w14:paraId="6D9CCC37" w14:textId="77777777" w:rsidR="00290A8A" w:rsidRPr="00734E71" w:rsidRDefault="00290A8A" w:rsidP="00290A8A">
      <w:pPr>
        <w:jc w:val="both"/>
        <w:rPr>
          <w:highlight w:val="yellow"/>
        </w:rPr>
      </w:pPr>
    </w:p>
    <w:p w14:paraId="33534727" w14:textId="77777777" w:rsidR="00290A8A" w:rsidRPr="00BD218E" w:rsidRDefault="004A7A82" w:rsidP="00290A8A">
      <w:pPr>
        <w:jc w:val="both"/>
      </w:pPr>
      <w:r w:rsidRPr="00BD218E">
        <w:t xml:space="preserve">Changes to accounting standards in relation to recording leases are due to be implemented from 1 April 2024. In effect more leases will be included </w:t>
      </w:r>
      <w:r>
        <w:t xml:space="preserve">as a liability </w:t>
      </w:r>
      <w:r w:rsidRPr="00BD218E">
        <w:t xml:space="preserve">on the council's balance sheet and therefore will be included against the other long term </w:t>
      </w:r>
      <w:r w:rsidRPr="00BD218E">
        <w:lastRenderedPageBreak/>
        <w:t xml:space="preserve">liabilities indicators. At this stage work is on-going to quantify the impact of the change and therefore the </w:t>
      </w:r>
      <w:r>
        <w:t>'</w:t>
      </w:r>
      <w:r w:rsidRPr="00BD218E">
        <w:t>other long</w:t>
      </w:r>
      <w:r>
        <w:t>-</w:t>
      </w:r>
      <w:r w:rsidRPr="00BD218E">
        <w:t>term liabilities</w:t>
      </w:r>
      <w:r>
        <w:t>'</w:t>
      </w:r>
      <w:r w:rsidRPr="00BD218E">
        <w:t xml:space="preserve"> limits will be subject to change.</w:t>
      </w:r>
    </w:p>
    <w:p w14:paraId="1CDD6FAC" w14:textId="77777777" w:rsidR="00290A8A" w:rsidRPr="00BD218E" w:rsidRDefault="00290A8A" w:rsidP="00290A8A">
      <w:pPr>
        <w:jc w:val="both"/>
      </w:pPr>
    </w:p>
    <w:p w14:paraId="7611DE6A" w14:textId="77777777" w:rsidR="00290A8A" w:rsidRPr="00BD218E" w:rsidRDefault="004A7A82" w:rsidP="00290A8A">
      <w:pPr>
        <w:jc w:val="both"/>
      </w:pPr>
      <w:r w:rsidRPr="00BD218E">
        <w:t xml:space="preserve">The 'operational limit' for external debt is based on the same estimates as the authorised limit.  However, although it reflects a prudent estimate of debt, there is no provision for unusual cash flow movements.  In effect, it represents the estimated maximum external debt arising </w:t>
      </w:r>
      <w:proofErr w:type="gramStart"/>
      <w:r w:rsidRPr="00BD218E">
        <w:t>as a consequence of</w:t>
      </w:r>
      <w:proofErr w:type="gramEnd"/>
      <w:r w:rsidRPr="00BD218E">
        <w:t xml:space="preserve"> the council's current plans.  As required under the Code, this limit will be carefully monitored during the year.  The proposed operational limits for external debt are:</w:t>
      </w:r>
    </w:p>
    <w:p w14:paraId="268E8CE8" w14:textId="77777777" w:rsidR="00290A8A" w:rsidRPr="00BD218E" w:rsidRDefault="00290A8A" w:rsidP="00290A8A">
      <w:pPr>
        <w:jc w:val="both"/>
      </w:pPr>
    </w:p>
    <w:tbl>
      <w:tblPr>
        <w:tblW w:w="8936" w:type="dxa"/>
        <w:tblInd w:w="-5" w:type="dxa"/>
        <w:tblLayout w:type="fixed"/>
        <w:tblLook w:val="0000" w:firstRow="0" w:lastRow="0" w:firstColumn="0" w:lastColumn="0" w:noHBand="0" w:noVBand="0"/>
      </w:tblPr>
      <w:tblGrid>
        <w:gridCol w:w="2977"/>
        <w:gridCol w:w="1564"/>
        <w:gridCol w:w="1560"/>
        <w:gridCol w:w="1417"/>
        <w:gridCol w:w="1418"/>
      </w:tblGrid>
      <w:tr w:rsidR="00C92CD8" w14:paraId="02508DA7" w14:textId="77777777">
        <w:trPr>
          <w:trHeight w:val="300"/>
        </w:trPr>
        <w:tc>
          <w:tcPr>
            <w:tcW w:w="2977" w:type="dxa"/>
            <w:tcBorders>
              <w:top w:val="nil"/>
              <w:left w:val="nil"/>
              <w:bottom w:val="nil"/>
              <w:right w:val="nil"/>
            </w:tcBorders>
            <w:shd w:val="clear" w:color="auto" w:fill="auto"/>
            <w:noWrap/>
            <w:vAlign w:val="bottom"/>
            <w:hideMark/>
          </w:tcPr>
          <w:p w14:paraId="45C0789F" w14:textId="77777777" w:rsidR="00290A8A" w:rsidRPr="00BD218E" w:rsidRDefault="00290A8A"/>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04B86" w14:textId="77777777" w:rsidR="00290A8A" w:rsidRPr="00BD218E" w:rsidRDefault="004A7A82">
            <w:pPr>
              <w:jc w:val="center"/>
              <w:rPr>
                <w:color w:val="000000"/>
              </w:rPr>
            </w:pPr>
            <w:r w:rsidRPr="00BD218E">
              <w:rPr>
                <w:color w:val="000000"/>
              </w:rPr>
              <w:t>202</w:t>
            </w:r>
            <w:r>
              <w:rPr>
                <w:color w:val="000000"/>
              </w:rPr>
              <w:t>3</w:t>
            </w:r>
            <w:r w:rsidRPr="00BD218E">
              <w:rPr>
                <w:color w:val="000000"/>
              </w:rPr>
              <w:t>/2</w:t>
            </w:r>
            <w:r>
              <w:rPr>
                <w:color w:val="000000"/>
              </w:rPr>
              <w:t>4</w:t>
            </w:r>
            <w:r w:rsidRPr="00BD218E">
              <w:rPr>
                <w:color w:val="000000"/>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EBE0C66" w14:textId="77777777" w:rsidR="00290A8A" w:rsidRPr="00BD218E" w:rsidRDefault="004A7A82">
            <w:pPr>
              <w:jc w:val="center"/>
              <w:rPr>
                <w:color w:val="000000"/>
              </w:rPr>
            </w:pPr>
            <w:r w:rsidRPr="00BD218E">
              <w:rPr>
                <w:color w:val="000000"/>
              </w:rPr>
              <w:t>2024/25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EE9226" w14:textId="77777777" w:rsidR="00290A8A" w:rsidRPr="00BD218E" w:rsidRDefault="004A7A82">
            <w:pPr>
              <w:jc w:val="center"/>
              <w:rPr>
                <w:color w:val="000000"/>
              </w:rPr>
            </w:pPr>
            <w:r w:rsidRPr="00BD218E">
              <w:rPr>
                <w:color w:val="000000"/>
              </w:rPr>
              <w:t>202</w:t>
            </w:r>
            <w:r>
              <w:rPr>
                <w:color w:val="000000"/>
              </w:rPr>
              <w:t>5</w:t>
            </w:r>
            <w:r w:rsidRPr="00BD218E">
              <w:rPr>
                <w:color w:val="000000"/>
              </w:rPr>
              <w:t>/2</w:t>
            </w:r>
            <w:r>
              <w:rPr>
                <w:color w:val="000000"/>
              </w:rPr>
              <w:t>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69A7A1" w14:textId="77777777" w:rsidR="00290A8A" w:rsidRPr="00BD218E" w:rsidRDefault="004A7A82">
            <w:pPr>
              <w:jc w:val="center"/>
              <w:rPr>
                <w:color w:val="000000"/>
              </w:rPr>
            </w:pPr>
            <w:r w:rsidRPr="00BD218E">
              <w:rPr>
                <w:color w:val="000000"/>
              </w:rPr>
              <w:t>202</w:t>
            </w:r>
            <w:r>
              <w:rPr>
                <w:color w:val="000000"/>
              </w:rPr>
              <w:t>6</w:t>
            </w:r>
            <w:r w:rsidRPr="00BD218E">
              <w:rPr>
                <w:color w:val="000000"/>
              </w:rPr>
              <w:t>/2</w:t>
            </w:r>
            <w:r>
              <w:rPr>
                <w:color w:val="000000"/>
              </w:rPr>
              <w:t>7</w:t>
            </w:r>
          </w:p>
        </w:tc>
      </w:tr>
      <w:tr w:rsidR="00C92CD8" w14:paraId="47926AE4" w14:textId="77777777">
        <w:trPr>
          <w:trHeight w:val="300"/>
        </w:trPr>
        <w:tc>
          <w:tcPr>
            <w:tcW w:w="2977" w:type="dxa"/>
            <w:tcBorders>
              <w:top w:val="nil"/>
              <w:left w:val="nil"/>
              <w:bottom w:val="nil"/>
              <w:right w:val="nil"/>
            </w:tcBorders>
            <w:shd w:val="clear" w:color="auto" w:fill="auto"/>
            <w:noWrap/>
            <w:vAlign w:val="bottom"/>
            <w:hideMark/>
          </w:tcPr>
          <w:p w14:paraId="6757020D" w14:textId="77777777" w:rsidR="00290A8A" w:rsidRPr="00BD218E" w:rsidRDefault="00290A8A">
            <w:pPr>
              <w:rPr>
                <w:color w:val="000000"/>
              </w:rPr>
            </w:pP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14:paraId="0FF6AA62" w14:textId="77777777" w:rsidR="00290A8A" w:rsidRPr="00BD218E" w:rsidRDefault="004A7A82">
            <w:pPr>
              <w:jc w:val="center"/>
              <w:rPr>
                <w:color w:val="000000"/>
              </w:rPr>
            </w:pPr>
            <w:r w:rsidRPr="00BD218E">
              <w:rPr>
                <w:color w:val="000000"/>
              </w:rPr>
              <w:t>£m</w:t>
            </w:r>
          </w:p>
        </w:tc>
        <w:tc>
          <w:tcPr>
            <w:tcW w:w="1560" w:type="dxa"/>
            <w:tcBorders>
              <w:top w:val="nil"/>
              <w:left w:val="nil"/>
              <w:bottom w:val="single" w:sz="4" w:space="0" w:color="auto"/>
              <w:right w:val="single" w:sz="4" w:space="0" w:color="auto"/>
            </w:tcBorders>
            <w:shd w:val="clear" w:color="auto" w:fill="auto"/>
            <w:noWrap/>
            <w:vAlign w:val="bottom"/>
            <w:hideMark/>
          </w:tcPr>
          <w:p w14:paraId="04F32D2C" w14:textId="77777777" w:rsidR="00290A8A" w:rsidRPr="00BD218E" w:rsidRDefault="004A7A82">
            <w:pPr>
              <w:jc w:val="center"/>
              <w:rPr>
                <w:color w:val="000000"/>
              </w:rPr>
            </w:pPr>
            <w:r w:rsidRPr="00BD218E">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14:paraId="0018B3F9" w14:textId="77777777" w:rsidR="00290A8A" w:rsidRPr="00BD218E" w:rsidRDefault="004A7A82">
            <w:pPr>
              <w:jc w:val="center"/>
              <w:rPr>
                <w:color w:val="000000"/>
              </w:rPr>
            </w:pPr>
            <w:r w:rsidRPr="00BD218E">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14:paraId="4EBD19C5" w14:textId="77777777" w:rsidR="00290A8A" w:rsidRPr="00BD218E" w:rsidRDefault="004A7A82">
            <w:pPr>
              <w:jc w:val="center"/>
              <w:rPr>
                <w:color w:val="000000"/>
              </w:rPr>
            </w:pPr>
            <w:r w:rsidRPr="00BD218E">
              <w:rPr>
                <w:color w:val="000000"/>
              </w:rPr>
              <w:t>£m</w:t>
            </w:r>
          </w:p>
        </w:tc>
      </w:tr>
      <w:tr w:rsidR="00C92CD8" w14:paraId="6B2523C1" w14:textId="77777777">
        <w:trPr>
          <w:trHeight w:val="341"/>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B8983" w14:textId="77777777" w:rsidR="00290A8A" w:rsidRPr="00BD218E" w:rsidRDefault="004A7A82">
            <w:pPr>
              <w:rPr>
                <w:color w:val="000000"/>
              </w:rPr>
            </w:pPr>
            <w:r w:rsidRPr="00BD218E">
              <w:rPr>
                <w:color w:val="000000"/>
              </w:rPr>
              <w:t>Borrowing</w:t>
            </w:r>
          </w:p>
        </w:tc>
        <w:tc>
          <w:tcPr>
            <w:tcW w:w="1564" w:type="dxa"/>
            <w:tcBorders>
              <w:top w:val="nil"/>
              <w:left w:val="nil"/>
              <w:bottom w:val="single" w:sz="4" w:space="0" w:color="auto"/>
              <w:right w:val="single" w:sz="4" w:space="0" w:color="auto"/>
            </w:tcBorders>
            <w:shd w:val="clear" w:color="auto" w:fill="auto"/>
            <w:noWrap/>
            <w:vAlign w:val="bottom"/>
          </w:tcPr>
          <w:p w14:paraId="56775AE1" w14:textId="77777777" w:rsidR="00290A8A" w:rsidRPr="00BD218E" w:rsidRDefault="004A7A82">
            <w:pPr>
              <w:jc w:val="center"/>
              <w:rPr>
                <w:color w:val="000000"/>
              </w:rPr>
            </w:pPr>
            <w:r w:rsidRPr="00BD218E">
              <w:rPr>
                <w:color w:val="000000"/>
              </w:rPr>
              <w:t>1,</w:t>
            </w:r>
            <w:r>
              <w:rPr>
                <w:color w:val="000000"/>
              </w:rPr>
              <w:t>2</w:t>
            </w:r>
            <w:r w:rsidRPr="00BD218E">
              <w:rPr>
                <w:color w:val="000000"/>
              </w:rPr>
              <w:t>00</w:t>
            </w:r>
          </w:p>
        </w:tc>
        <w:tc>
          <w:tcPr>
            <w:tcW w:w="1560" w:type="dxa"/>
            <w:tcBorders>
              <w:top w:val="nil"/>
              <w:left w:val="nil"/>
              <w:bottom w:val="single" w:sz="4" w:space="0" w:color="auto"/>
              <w:right w:val="single" w:sz="4" w:space="0" w:color="auto"/>
            </w:tcBorders>
            <w:shd w:val="clear" w:color="auto" w:fill="auto"/>
            <w:noWrap/>
            <w:vAlign w:val="bottom"/>
          </w:tcPr>
          <w:p w14:paraId="3BE63FFB" w14:textId="77777777" w:rsidR="00290A8A" w:rsidRPr="00BD218E" w:rsidRDefault="004A7A82">
            <w:pPr>
              <w:jc w:val="center"/>
              <w:rPr>
                <w:color w:val="000000"/>
              </w:rPr>
            </w:pPr>
            <w:r w:rsidRPr="00BD218E">
              <w:rPr>
                <w:color w:val="000000"/>
              </w:rPr>
              <w:t>1,</w:t>
            </w:r>
            <w:r>
              <w:rPr>
                <w:color w:val="000000"/>
              </w:rPr>
              <w:t>2</w:t>
            </w:r>
            <w:r w:rsidRPr="00BD218E">
              <w:rPr>
                <w:color w:val="000000"/>
              </w:rPr>
              <w:t>00</w:t>
            </w:r>
          </w:p>
        </w:tc>
        <w:tc>
          <w:tcPr>
            <w:tcW w:w="1417" w:type="dxa"/>
            <w:tcBorders>
              <w:top w:val="nil"/>
              <w:left w:val="nil"/>
              <w:bottom w:val="single" w:sz="4" w:space="0" w:color="auto"/>
              <w:right w:val="single" w:sz="4" w:space="0" w:color="auto"/>
            </w:tcBorders>
            <w:shd w:val="clear" w:color="auto" w:fill="auto"/>
            <w:noWrap/>
            <w:vAlign w:val="bottom"/>
          </w:tcPr>
          <w:p w14:paraId="0B315CA6" w14:textId="77777777" w:rsidR="00290A8A" w:rsidRPr="00BD218E" w:rsidRDefault="004A7A82">
            <w:pPr>
              <w:jc w:val="center"/>
              <w:rPr>
                <w:color w:val="000000"/>
              </w:rPr>
            </w:pPr>
            <w:r w:rsidRPr="00BD218E">
              <w:rPr>
                <w:color w:val="000000"/>
              </w:rPr>
              <w:t>1,</w:t>
            </w:r>
            <w:r>
              <w:rPr>
                <w:color w:val="000000"/>
              </w:rPr>
              <w:t>2</w:t>
            </w:r>
            <w:r w:rsidRPr="00BD218E">
              <w:rPr>
                <w:color w:val="000000"/>
              </w:rPr>
              <w:t>00</w:t>
            </w:r>
          </w:p>
        </w:tc>
        <w:tc>
          <w:tcPr>
            <w:tcW w:w="1418" w:type="dxa"/>
            <w:tcBorders>
              <w:top w:val="nil"/>
              <w:left w:val="nil"/>
              <w:bottom w:val="single" w:sz="4" w:space="0" w:color="auto"/>
              <w:right w:val="single" w:sz="4" w:space="0" w:color="auto"/>
            </w:tcBorders>
            <w:shd w:val="clear" w:color="auto" w:fill="auto"/>
            <w:noWrap/>
            <w:vAlign w:val="bottom"/>
          </w:tcPr>
          <w:p w14:paraId="7FBC0552" w14:textId="77777777" w:rsidR="00290A8A" w:rsidRPr="00BD218E" w:rsidRDefault="004A7A82">
            <w:pPr>
              <w:jc w:val="center"/>
              <w:rPr>
                <w:color w:val="000000"/>
              </w:rPr>
            </w:pPr>
            <w:r w:rsidRPr="00BD218E">
              <w:rPr>
                <w:color w:val="000000"/>
              </w:rPr>
              <w:t>1,</w:t>
            </w:r>
            <w:r>
              <w:rPr>
                <w:color w:val="000000"/>
              </w:rPr>
              <w:t>2</w:t>
            </w:r>
            <w:r w:rsidRPr="00BD218E">
              <w:rPr>
                <w:color w:val="000000"/>
              </w:rPr>
              <w:t>00</w:t>
            </w:r>
          </w:p>
        </w:tc>
      </w:tr>
      <w:tr w:rsidR="00C92CD8" w14:paraId="7D73B47D" w14:textId="77777777">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0AD9A4D1" w14:textId="77777777" w:rsidR="00290A8A" w:rsidRPr="00BD218E" w:rsidRDefault="004A7A82">
            <w:pPr>
              <w:rPr>
                <w:color w:val="000000"/>
              </w:rPr>
            </w:pPr>
            <w:r w:rsidRPr="00BD218E">
              <w:rPr>
                <w:color w:val="000000"/>
              </w:rPr>
              <w:t>Other long-term liabilities</w:t>
            </w:r>
          </w:p>
        </w:tc>
        <w:tc>
          <w:tcPr>
            <w:tcW w:w="1564" w:type="dxa"/>
            <w:tcBorders>
              <w:top w:val="nil"/>
              <w:left w:val="nil"/>
              <w:bottom w:val="single" w:sz="4" w:space="0" w:color="auto"/>
              <w:right w:val="single" w:sz="4" w:space="0" w:color="auto"/>
            </w:tcBorders>
            <w:shd w:val="clear" w:color="auto" w:fill="auto"/>
            <w:noWrap/>
            <w:vAlign w:val="bottom"/>
          </w:tcPr>
          <w:p w14:paraId="5A94A996" w14:textId="77777777" w:rsidR="00290A8A" w:rsidRPr="00BD218E" w:rsidRDefault="004A7A82">
            <w:pPr>
              <w:jc w:val="center"/>
              <w:rPr>
                <w:color w:val="000000"/>
              </w:rPr>
            </w:pPr>
            <w:r w:rsidRPr="00BD218E">
              <w:rPr>
                <w:color w:val="000000"/>
              </w:rPr>
              <w:t xml:space="preserve">   160</w:t>
            </w:r>
          </w:p>
        </w:tc>
        <w:tc>
          <w:tcPr>
            <w:tcW w:w="1560" w:type="dxa"/>
            <w:tcBorders>
              <w:top w:val="nil"/>
              <w:left w:val="nil"/>
              <w:bottom w:val="single" w:sz="4" w:space="0" w:color="auto"/>
              <w:right w:val="single" w:sz="4" w:space="0" w:color="auto"/>
            </w:tcBorders>
            <w:shd w:val="clear" w:color="auto" w:fill="auto"/>
            <w:noWrap/>
            <w:vAlign w:val="bottom"/>
          </w:tcPr>
          <w:p w14:paraId="143ABA29" w14:textId="77777777" w:rsidR="00290A8A" w:rsidRPr="00BD218E" w:rsidRDefault="004A7A82">
            <w:pPr>
              <w:jc w:val="center"/>
              <w:rPr>
                <w:color w:val="000000"/>
              </w:rPr>
            </w:pPr>
            <w:r w:rsidRPr="00BD218E">
              <w:rPr>
                <w:color w:val="000000"/>
              </w:rPr>
              <w:t xml:space="preserve">   160</w:t>
            </w:r>
          </w:p>
        </w:tc>
        <w:tc>
          <w:tcPr>
            <w:tcW w:w="1417" w:type="dxa"/>
            <w:tcBorders>
              <w:top w:val="nil"/>
              <w:left w:val="nil"/>
              <w:bottom w:val="single" w:sz="4" w:space="0" w:color="auto"/>
              <w:right w:val="single" w:sz="4" w:space="0" w:color="auto"/>
            </w:tcBorders>
            <w:shd w:val="clear" w:color="auto" w:fill="auto"/>
            <w:noWrap/>
            <w:vAlign w:val="bottom"/>
          </w:tcPr>
          <w:p w14:paraId="2C046221" w14:textId="77777777" w:rsidR="00290A8A" w:rsidRPr="00BD218E" w:rsidRDefault="004A7A82">
            <w:pPr>
              <w:jc w:val="center"/>
              <w:rPr>
                <w:color w:val="000000"/>
              </w:rPr>
            </w:pPr>
            <w:r w:rsidRPr="00BD218E">
              <w:rPr>
                <w:color w:val="000000"/>
              </w:rPr>
              <w:t xml:space="preserve">   160</w:t>
            </w:r>
          </w:p>
        </w:tc>
        <w:tc>
          <w:tcPr>
            <w:tcW w:w="1418" w:type="dxa"/>
            <w:tcBorders>
              <w:top w:val="nil"/>
              <w:left w:val="nil"/>
              <w:bottom w:val="single" w:sz="4" w:space="0" w:color="auto"/>
              <w:right w:val="single" w:sz="4" w:space="0" w:color="auto"/>
            </w:tcBorders>
            <w:shd w:val="clear" w:color="auto" w:fill="auto"/>
            <w:noWrap/>
            <w:vAlign w:val="bottom"/>
          </w:tcPr>
          <w:p w14:paraId="3F355E69" w14:textId="77777777" w:rsidR="00290A8A" w:rsidRPr="00BD218E" w:rsidRDefault="004A7A82">
            <w:pPr>
              <w:jc w:val="center"/>
              <w:rPr>
                <w:color w:val="000000"/>
              </w:rPr>
            </w:pPr>
            <w:r w:rsidRPr="00BD218E">
              <w:rPr>
                <w:color w:val="000000"/>
              </w:rPr>
              <w:t xml:space="preserve">   160</w:t>
            </w:r>
          </w:p>
        </w:tc>
      </w:tr>
      <w:tr w:rsidR="00C92CD8" w14:paraId="67EFC325" w14:textId="77777777">
        <w:trPr>
          <w:trHeight w:val="300"/>
        </w:trPr>
        <w:tc>
          <w:tcPr>
            <w:tcW w:w="2977" w:type="dxa"/>
            <w:tcBorders>
              <w:top w:val="nil"/>
              <w:left w:val="single" w:sz="4" w:space="0" w:color="auto"/>
              <w:bottom w:val="single" w:sz="4" w:space="0" w:color="auto"/>
              <w:right w:val="single" w:sz="4" w:space="0" w:color="auto"/>
            </w:tcBorders>
            <w:shd w:val="clear" w:color="auto" w:fill="CCDFEC" w:themeFill="accent1" w:themeFillTint="33"/>
            <w:noWrap/>
            <w:vAlign w:val="bottom"/>
            <w:hideMark/>
          </w:tcPr>
          <w:p w14:paraId="5AE01126" w14:textId="77777777" w:rsidR="00290A8A" w:rsidRPr="00BD218E" w:rsidRDefault="004A7A82">
            <w:pPr>
              <w:rPr>
                <w:color w:val="000000"/>
              </w:rPr>
            </w:pPr>
            <w:r w:rsidRPr="00BD218E">
              <w:rPr>
                <w:color w:val="000000"/>
              </w:rPr>
              <w:t>TOTAL</w:t>
            </w:r>
          </w:p>
        </w:tc>
        <w:tc>
          <w:tcPr>
            <w:tcW w:w="1564" w:type="dxa"/>
            <w:tcBorders>
              <w:top w:val="nil"/>
              <w:left w:val="nil"/>
              <w:bottom w:val="single" w:sz="4" w:space="0" w:color="auto"/>
              <w:right w:val="single" w:sz="4" w:space="0" w:color="auto"/>
            </w:tcBorders>
            <w:shd w:val="clear" w:color="auto" w:fill="CCDFEC" w:themeFill="accent1" w:themeFillTint="33"/>
            <w:noWrap/>
            <w:vAlign w:val="bottom"/>
          </w:tcPr>
          <w:p w14:paraId="60FED4D1" w14:textId="77777777" w:rsidR="00290A8A" w:rsidRPr="00BD218E" w:rsidRDefault="004A7A82">
            <w:pPr>
              <w:jc w:val="center"/>
              <w:rPr>
                <w:color w:val="000000"/>
              </w:rPr>
            </w:pPr>
            <w:r w:rsidRPr="00BD218E">
              <w:rPr>
                <w:color w:val="000000"/>
              </w:rPr>
              <w:t>1,</w:t>
            </w:r>
            <w:r>
              <w:rPr>
                <w:color w:val="000000"/>
              </w:rPr>
              <w:t>3</w:t>
            </w:r>
            <w:r w:rsidRPr="00BD218E">
              <w:rPr>
                <w:color w:val="000000"/>
              </w:rPr>
              <w:t>60</w:t>
            </w:r>
          </w:p>
        </w:tc>
        <w:tc>
          <w:tcPr>
            <w:tcW w:w="1560" w:type="dxa"/>
            <w:tcBorders>
              <w:top w:val="nil"/>
              <w:left w:val="nil"/>
              <w:bottom w:val="single" w:sz="4" w:space="0" w:color="auto"/>
              <w:right w:val="single" w:sz="4" w:space="0" w:color="auto"/>
            </w:tcBorders>
            <w:shd w:val="clear" w:color="auto" w:fill="CCDFEC" w:themeFill="accent1" w:themeFillTint="33"/>
            <w:noWrap/>
            <w:vAlign w:val="bottom"/>
          </w:tcPr>
          <w:p w14:paraId="2B3732FD" w14:textId="77777777" w:rsidR="00290A8A" w:rsidRPr="00BD218E" w:rsidRDefault="004A7A82">
            <w:pPr>
              <w:jc w:val="center"/>
              <w:rPr>
                <w:color w:val="000000"/>
              </w:rPr>
            </w:pPr>
            <w:r w:rsidRPr="00BD218E">
              <w:rPr>
                <w:color w:val="000000"/>
              </w:rPr>
              <w:t>1,</w:t>
            </w:r>
            <w:r>
              <w:rPr>
                <w:color w:val="000000"/>
              </w:rPr>
              <w:t>3</w:t>
            </w:r>
            <w:r w:rsidRPr="00BD218E">
              <w:rPr>
                <w:color w:val="000000"/>
              </w:rPr>
              <w:t>60</w:t>
            </w:r>
          </w:p>
        </w:tc>
        <w:tc>
          <w:tcPr>
            <w:tcW w:w="1417" w:type="dxa"/>
            <w:tcBorders>
              <w:top w:val="nil"/>
              <w:left w:val="nil"/>
              <w:bottom w:val="single" w:sz="4" w:space="0" w:color="auto"/>
              <w:right w:val="single" w:sz="4" w:space="0" w:color="auto"/>
            </w:tcBorders>
            <w:shd w:val="clear" w:color="auto" w:fill="CCDFEC" w:themeFill="accent1" w:themeFillTint="33"/>
            <w:noWrap/>
            <w:vAlign w:val="bottom"/>
          </w:tcPr>
          <w:p w14:paraId="7FABDE4F" w14:textId="77777777" w:rsidR="00290A8A" w:rsidRPr="00BD218E" w:rsidRDefault="004A7A82">
            <w:pPr>
              <w:jc w:val="center"/>
              <w:rPr>
                <w:color w:val="000000"/>
              </w:rPr>
            </w:pPr>
            <w:r w:rsidRPr="00BD218E">
              <w:rPr>
                <w:color w:val="000000"/>
              </w:rPr>
              <w:t>1,</w:t>
            </w:r>
            <w:r>
              <w:rPr>
                <w:color w:val="000000"/>
              </w:rPr>
              <w:t>3</w:t>
            </w:r>
            <w:r w:rsidRPr="00BD218E">
              <w:rPr>
                <w:color w:val="000000"/>
              </w:rPr>
              <w:t>60</w:t>
            </w:r>
          </w:p>
        </w:tc>
        <w:tc>
          <w:tcPr>
            <w:tcW w:w="1418" w:type="dxa"/>
            <w:tcBorders>
              <w:top w:val="nil"/>
              <w:left w:val="nil"/>
              <w:bottom w:val="single" w:sz="4" w:space="0" w:color="auto"/>
              <w:right w:val="single" w:sz="4" w:space="0" w:color="auto"/>
            </w:tcBorders>
            <w:shd w:val="clear" w:color="auto" w:fill="CCDFEC" w:themeFill="accent1" w:themeFillTint="33"/>
            <w:noWrap/>
            <w:vAlign w:val="bottom"/>
          </w:tcPr>
          <w:p w14:paraId="7F7C8B0F" w14:textId="77777777" w:rsidR="00290A8A" w:rsidRPr="00BD218E" w:rsidRDefault="004A7A82">
            <w:pPr>
              <w:jc w:val="center"/>
              <w:rPr>
                <w:color w:val="000000"/>
              </w:rPr>
            </w:pPr>
            <w:r w:rsidRPr="00BD218E">
              <w:rPr>
                <w:color w:val="000000"/>
              </w:rPr>
              <w:t>1,</w:t>
            </w:r>
            <w:r>
              <w:rPr>
                <w:color w:val="000000"/>
              </w:rPr>
              <w:t>3</w:t>
            </w:r>
            <w:r w:rsidRPr="00BD218E">
              <w:rPr>
                <w:color w:val="000000"/>
              </w:rPr>
              <w:t>60</w:t>
            </w:r>
          </w:p>
        </w:tc>
      </w:tr>
    </w:tbl>
    <w:p w14:paraId="741E56A7" w14:textId="77777777" w:rsidR="00290A8A" w:rsidRPr="00BD218E" w:rsidRDefault="00290A8A" w:rsidP="00290A8A">
      <w:pPr>
        <w:jc w:val="both"/>
        <w:rPr>
          <w:bCs/>
        </w:rPr>
      </w:pPr>
    </w:p>
    <w:p w14:paraId="4AEF3A4E" w14:textId="77777777" w:rsidR="00290A8A" w:rsidRPr="00BD218E" w:rsidRDefault="004A7A82" w:rsidP="00290A8A">
      <w:pPr>
        <w:jc w:val="both"/>
        <w:rPr>
          <w:bCs/>
        </w:rPr>
      </w:pPr>
      <w:r w:rsidRPr="00BD218E">
        <w:rPr>
          <w:bCs/>
        </w:rPr>
        <w:t xml:space="preserve">The actual external debt as </w:t>
      </w:r>
      <w:proofErr w:type="gramStart"/>
      <w:r w:rsidRPr="00BD218E">
        <w:rPr>
          <w:bCs/>
        </w:rPr>
        <w:t>at</w:t>
      </w:r>
      <w:proofErr w:type="gramEnd"/>
      <w:r w:rsidRPr="00BD218E">
        <w:rPr>
          <w:bCs/>
        </w:rPr>
        <w:t xml:space="preserve"> 31 March 2023 was £1,176m.</w:t>
      </w:r>
      <w:r>
        <w:rPr>
          <w:bCs/>
        </w:rPr>
        <w:t xml:space="preserve"> </w:t>
      </w:r>
    </w:p>
    <w:p w14:paraId="569CA311" w14:textId="77777777" w:rsidR="00290A8A" w:rsidRPr="00BD218E" w:rsidRDefault="00290A8A" w:rsidP="00290A8A">
      <w:pPr>
        <w:jc w:val="both"/>
        <w:rPr>
          <w:bCs/>
        </w:rPr>
      </w:pPr>
    </w:p>
    <w:p w14:paraId="5228B01F" w14:textId="77777777" w:rsidR="00290A8A" w:rsidRPr="00B62DDC" w:rsidRDefault="004A7A82" w:rsidP="00290A8A">
      <w:pPr>
        <w:jc w:val="both"/>
        <w:rPr>
          <w:b/>
          <w:bCs/>
          <w:iCs/>
        </w:rPr>
      </w:pPr>
      <w:r w:rsidRPr="00B62DDC">
        <w:rPr>
          <w:b/>
          <w:bCs/>
          <w:iCs/>
        </w:rPr>
        <w:t xml:space="preserve">Gross debt and the capital financing requirement (capital financing requirement) </w:t>
      </w:r>
    </w:p>
    <w:p w14:paraId="7DF97325" w14:textId="77777777" w:rsidR="00290A8A" w:rsidRPr="00BD218E" w:rsidRDefault="00290A8A" w:rsidP="00290A8A">
      <w:pPr>
        <w:jc w:val="both"/>
        <w:rPr>
          <w:b/>
          <w:bCs/>
          <w:i/>
        </w:rPr>
      </w:pPr>
    </w:p>
    <w:p w14:paraId="65C34322" w14:textId="77777777" w:rsidR="00290A8A" w:rsidRPr="00BD218E" w:rsidRDefault="004A7A82" w:rsidP="00290A8A">
      <w:pPr>
        <w:jc w:val="both"/>
        <w:rPr>
          <w:bCs/>
        </w:rPr>
      </w:pPr>
      <w:r w:rsidRPr="00BD218E">
        <w:rPr>
          <w:bCs/>
        </w:rPr>
        <w:t xml:space="preserve">CIPFA’s Prudential Code for Capital Finance in Local Authorities recommends that the authority’s total debt should be lower than its highest forecast capital financing requirement over the next three years. The county council's borrowing is </w:t>
      </w:r>
      <w:proofErr w:type="gramStart"/>
      <w:r w:rsidRPr="00BD218E">
        <w:rPr>
          <w:bCs/>
        </w:rPr>
        <w:t>in excess of</w:t>
      </w:r>
      <w:proofErr w:type="gramEnd"/>
      <w:r w:rsidRPr="00BD218E">
        <w:rPr>
          <w:bCs/>
        </w:rPr>
        <w:t xml:space="preserve"> the capital financing requirement however, in making this comparison certain borrowing is included in the total borrowing but does not count against the capital financing requirement. These include the premiums paid and the transferred debt.</w:t>
      </w:r>
    </w:p>
    <w:p w14:paraId="0EF35063" w14:textId="77777777" w:rsidR="00290A8A" w:rsidRPr="00BD218E" w:rsidRDefault="00290A8A" w:rsidP="00290A8A">
      <w:pPr>
        <w:jc w:val="both"/>
        <w:rPr>
          <w:bCs/>
        </w:rPr>
      </w:pPr>
    </w:p>
    <w:tbl>
      <w:tblPr>
        <w:tblW w:w="8953" w:type="dxa"/>
        <w:tblLayout w:type="fixed"/>
        <w:tblCellMar>
          <w:left w:w="0" w:type="dxa"/>
          <w:right w:w="0" w:type="dxa"/>
        </w:tblCellMar>
        <w:tblLook w:val="04A0" w:firstRow="1" w:lastRow="0" w:firstColumn="1" w:lastColumn="0" w:noHBand="0" w:noVBand="1"/>
      </w:tblPr>
      <w:tblGrid>
        <w:gridCol w:w="4192"/>
        <w:gridCol w:w="1478"/>
        <w:gridCol w:w="1134"/>
        <w:gridCol w:w="1157"/>
        <w:gridCol w:w="992"/>
      </w:tblGrid>
      <w:tr w:rsidR="00C92CD8" w14:paraId="0E1D0507" w14:textId="77777777">
        <w:trPr>
          <w:trHeight w:val="304"/>
        </w:trPr>
        <w:tc>
          <w:tcPr>
            <w:tcW w:w="4192" w:type="dxa"/>
            <w:tcBorders>
              <w:top w:val="nil"/>
              <w:left w:val="nil"/>
              <w:bottom w:val="nil"/>
              <w:right w:val="nil"/>
            </w:tcBorders>
            <w:shd w:val="clear" w:color="auto" w:fill="auto"/>
            <w:noWrap/>
            <w:vAlign w:val="center"/>
            <w:hideMark/>
          </w:tcPr>
          <w:p w14:paraId="275FA20F" w14:textId="77777777" w:rsidR="00290A8A" w:rsidRPr="00BD218E" w:rsidRDefault="00290A8A">
            <w:pPr>
              <w:rPr>
                <w:rFonts w:ascii="Times New Roman" w:hAnsi="Times New Roman"/>
                <w:sz w:val="20"/>
                <w:szCs w:val="20"/>
              </w:rPr>
            </w:pPr>
          </w:p>
        </w:tc>
        <w:tc>
          <w:tcPr>
            <w:tcW w:w="476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AD8E6DA" w14:textId="77777777" w:rsidR="00290A8A" w:rsidRPr="00BD218E" w:rsidRDefault="004A7A82">
            <w:pPr>
              <w:jc w:val="center"/>
              <w:rPr>
                <w:color w:val="000000"/>
              </w:rPr>
            </w:pPr>
            <w:r w:rsidRPr="00BD218E">
              <w:rPr>
                <w:color w:val="000000"/>
              </w:rPr>
              <w:t xml:space="preserve">As </w:t>
            </w:r>
            <w:proofErr w:type="gramStart"/>
            <w:r w:rsidRPr="00BD218E">
              <w:rPr>
                <w:color w:val="000000"/>
              </w:rPr>
              <w:t>at</w:t>
            </w:r>
            <w:proofErr w:type="gramEnd"/>
            <w:r w:rsidRPr="00BD218E">
              <w:rPr>
                <w:color w:val="000000"/>
              </w:rPr>
              <w:t xml:space="preserve"> 31 March</w:t>
            </w:r>
          </w:p>
        </w:tc>
      </w:tr>
      <w:tr w:rsidR="00C92CD8" w14:paraId="53A5D73D" w14:textId="77777777">
        <w:trPr>
          <w:trHeight w:val="304"/>
        </w:trPr>
        <w:tc>
          <w:tcPr>
            <w:tcW w:w="4192" w:type="dxa"/>
            <w:tcBorders>
              <w:top w:val="nil"/>
              <w:left w:val="nil"/>
              <w:bottom w:val="nil"/>
              <w:right w:val="nil"/>
            </w:tcBorders>
            <w:shd w:val="clear" w:color="auto" w:fill="auto"/>
            <w:noWrap/>
            <w:vAlign w:val="bottom"/>
            <w:hideMark/>
          </w:tcPr>
          <w:p w14:paraId="0A568A21" w14:textId="77777777" w:rsidR="00290A8A" w:rsidRPr="00BD218E" w:rsidRDefault="00290A8A">
            <w:pPr>
              <w:jc w:val="center"/>
              <w:rPr>
                <w:color w:val="000000"/>
              </w:rPr>
            </w:pPr>
          </w:p>
        </w:tc>
        <w:tc>
          <w:tcPr>
            <w:tcW w:w="1478" w:type="dxa"/>
            <w:tcBorders>
              <w:top w:val="nil"/>
              <w:left w:val="single" w:sz="8" w:space="0" w:color="auto"/>
              <w:bottom w:val="single" w:sz="8" w:space="0" w:color="auto"/>
              <w:right w:val="single" w:sz="8" w:space="0" w:color="auto"/>
            </w:tcBorders>
            <w:shd w:val="clear" w:color="auto" w:fill="auto"/>
            <w:noWrap/>
            <w:vAlign w:val="center"/>
            <w:hideMark/>
          </w:tcPr>
          <w:p w14:paraId="34FDCA63" w14:textId="77777777" w:rsidR="00290A8A" w:rsidRPr="00BD218E" w:rsidRDefault="004A7A82">
            <w:pPr>
              <w:jc w:val="center"/>
              <w:rPr>
                <w:color w:val="000000"/>
              </w:rPr>
            </w:pPr>
            <w:r w:rsidRPr="00BD218E">
              <w:rPr>
                <w:color w:val="000000"/>
              </w:rPr>
              <w:t>202</w:t>
            </w:r>
            <w:r>
              <w:rPr>
                <w:color w:val="000000"/>
              </w:rPr>
              <w:t>4</w:t>
            </w:r>
          </w:p>
        </w:tc>
        <w:tc>
          <w:tcPr>
            <w:tcW w:w="1134" w:type="dxa"/>
            <w:tcBorders>
              <w:top w:val="nil"/>
              <w:left w:val="nil"/>
              <w:bottom w:val="single" w:sz="8" w:space="0" w:color="auto"/>
              <w:right w:val="single" w:sz="8" w:space="0" w:color="auto"/>
            </w:tcBorders>
            <w:shd w:val="clear" w:color="auto" w:fill="auto"/>
            <w:noWrap/>
            <w:vAlign w:val="center"/>
            <w:hideMark/>
          </w:tcPr>
          <w:p w14:paraId="074A0CDD" w14:textId="77777777" w:rsidR="00290A8A" w:rsidRPr="00BD218E" w:rsidRDefault="004A7A82">
            <w:pPr>
              <w:jc w:val="center"/>
              <w:rPr>
                <w:color w:val="000000"/>
              </w:rPr>
            </w:pPr>
            <w:r w:rsidRPr="00BD218E">
              <w:rPr>
                <w:color w:val="000000"/>
              </w:rPr>
              <w:t>202</w:t>
            </w:r>
            <w:r>
              <w:rPr>
                <w:color w:val="000000"/>
              </w:rPr>
              <w:t>5</w:t>
            </w:r>
          </w:p>
        </w:tc>
        <w:tc>
          <w:tcPr>
            <w:tcW w:w="1157" w:type="dxa"/>
            <w:tcBorders>
              <w:top w:val="nil"/>
              <w:left w:val="nil"/>
              <w:bottom w:val="single" w:sz="8" w:space="0" w:color="auto"/>
              <w:right w:val="single" w:sz="8" w:space="0" w:color="auto"/>
            </w:tcBorders>
            <w:shd w:val="clear" w:color="auto" w:fill="auto"/>
            <w:noWrap/>
            <w:vAlign w:val="center"/>
            <w:hideMark/>
          </w:tcPr>
          <w:p w14:paraId="3EDC260B" w14:textId="77777777" w:rsidR="00290A8A" w:rsidRPr="00BD218E" w:rsidRDefault="004A7A82">
            <w:pPr>
              <w:jc w:val="center"/>
              <w:rPr>
                <w:color w:val="000000"/>
              </w:rPr>
            </w:pPr>
            <w:r w:rsidRPr="00BD218E">
              <w:rPr>
                <w:color w:val="000000"/>
              </w:rPr>
              <w:t>202</w:t>
            </w:r>
            <w:r>
              <w:rPr>
                <w:color w:val="000000"/>
              </w:rPr>
              <w:t>6</w:t>
            </w:r>
          </w:p>
        </w:tc>
        <w:tc>
          <w:tcPr>
            <w:tcW w:w="992" w:type="dxa"/>
            <w:tcBorders>
              <w:top w:val="nil"/>
              <w:left w:val="nil"/>
              <w:bottom w:val="single" w:sz="8" w:space="0" w:color="auto"/>
              <w:right w:val="single" w:sz="8" w:space="0" w:color="auto"/>
            </w:tcBorders>
            <w:shd w:val="clear" w:color="auto" w:fill="auto"/>
            <w:noWrap/>
            <w:vAlign w:val="center"/>
            <w:hideMark/>
          </w:tcPr>
          <w:p w14:paraId="1EAC50D6" w14:textId="77777777" w:rsidR="00290A8A" w:rsidRPr="00BD218E" w:rsidRDefault="004A7A82">
            <w:pPr>
              <w:jc w:val="center"/>
              <w:rPr>
                <w:color w:val="000000"/>
              </w:rPr>
            </w:pPr>
            <w:r w:rsidRPr="00BD218E">
              <w:rPr>
                <w:color w:val="000000"/>
              </w:rPr>
              <w:t>202</w:t>
            </w:r>
            <w:r>
              <w:rPr>
                <w:color w:val="000000"/>
              </w:rPr>
              <w:t>7</w:t>
            </w:r>
          </w:p>
        </w:tc>
      </w:tr>
      <w:tr w:rsidR="00C92CD8" w14:paraId="758A9EE2" w14:textId="77777777">
        <w:trPr>
          <w:trHeight w:val="304"/>
        </w:trPr>
        <w:tc>
          <w:tcPr>
            <w:tcW w:w="4192" w:type="dxa"/>
            <w:tcBorders>
              <w:top w:val="nil"/>
              <w:left w:val="nil"/>
              <w:bottom w:val="nil"/>
              <w:right w:val="nil"/>
            </w:tcBorders>
            <w:shd w:val="clear" w:color="auto" w:fill="auto"/>
            <w:noWrap/>
            <w:vAlign w:val="bottom"/>
            <w:hideMark/>
          </w:tcPr>
          <w:p w14:paraId="1C3F3387" w14:textId="77777777" w:rsidR="00290A8A" w:rsidRPr="00BD218E" w:rsidRDefault="00290A8A">
            <w:pPr>
              <w:jc w:val="center"/>
              <w:rPr>
                <w:color w:val="000000"/>
              </w:rPr>
            </w:pPr>
          </w:p>
        </w:tc>
        <w:tc>
          <w:tcPr>
            <w:tcW w:w="1478" w:type="dxa"/>
            <w:tcBorders>
              <w:top w:val="nil"/>
              <w:left w:val="single" w:sz="8" w:space="0" w:color="auto"/>
              <w:bottom w:val="single" w:sz="8" w:space="0" w:color="auto"/>
              <w:right w:val="single" w:sz="8" w:space="0" w:color="auto"/>
            </w:tcBorders>
            <w:shd w:val="clear" w:color="auto" w:fill="auto"/>
            <w:noWrap/>
            <w:vAlign w:val="center"/>
            <w:hideMark/>
          </w:tcPr>
          <w:p w14:paraId="3FA878E4" w14:textId="77777777" w:rsidR="00290A8A" w:rsidRPr="00BD218E" w:rsidRDefault="004A7A82">
            <w:pPr>
              <w:jc w:val="right"/>
              <w:rPr>
                <w:color w:val="000000"/>
              </w:rPr>
            </w:pPr>
            <w:r w:rsidRPr="00BD218E">
              <w:rPr>
                <w:color w:val="000000"/>
              </w:rPr>
              <w:t>£m</w:t>
            </w:r>
          </w:p>
        </w:tc>
        <w:tc>
          <w:tcPr>
            <w:tcW w:w="1134" w:type="dxa"/>
            <w:tcBorders>
              <w:top w:val="nil"/>
              <w:left w:val="nil"/>
              <w:bottom w:val="single" w:sz="8" w:space="0" w:color="auto"/>
              <w:right w:val="single" w:sz="8" w:space="0" w:color="auto"/>
            </w:tcBorders>
            <w:shd w:val="clear" w:color="auto" w:fill="auto"/>
            <w:noWrap/>
            <w:vAlign w:val="center"/>
            <w:hideMark/>
          </w:tcPr>
          <w:p w14:paraId="3D329B2B" w14:textId="77777777" w:rsidR="00290A8A" w:rsidRPr="00BD218E" w:rsidRDefault="004A7A82">
            <w:pPr>
              <w:jc w:val="right"/>
              <w:rPr>
                <w:color w:val="000000"/>
              </w:rPr>
            </w:pPr>
            <w:r w:rsidRPr="00BD218E">
              <w:rPr>
                <w:color w:val="000000"/>
              </w:rPr>
              <w:t>£m</w:t>
            </w:r>
          </w:p>
        </w:tc>
        <w:tc>
          <w:tcPr>
            <w:tcW w:w="1157" w:type="dxa"/>
            <w:tcBorders>
              <w:top w:val="nil"/>
              <w:left w:val="nil"/>
              <w:bottom w:val="single" w:sz="8" w:space="0" w:color="auto"/>
              <w:right w:val="single" w:sz="8" w:space="0" w:color="auto"/>
            </w:tcBorders>
            <w:shd w:val="clear" w:color="auto" w:fill="auto"/>
            <w:noWrap/>
            <w:vAlign w:val="center"/>
            <w:hideMark/>
          </w:tcPr>
          <w:p w14:paraId="5977A061" w14:textId="77777777" w:rsidR="00290A8A" w:rsidRPr="00BD218E" w:rsidRDefault="004A7A82">
            <w:pPr>
              <w:jc w:val="right"/>
              <w:rPr>
                <w:color w:val="000000"/>
              </w:rPr>
            </w:pPr>
            <w:r w:rsidRPr="00BD218E">
              <w:rPr>
                <w:color w:val="000000"/>
              </w:rPr>
              <w:t>£m</w:t>
            </w:r>
          </w:p>
        </w:tc>
        <w:tc>
          <w:tcPr>
            <w:tcW w:w="992" w:type="dxa"/>
            <w:tcBorders>
              <w:top w:val="nil"/>
              <w:left w:val="nil"/>
              <w:bottom w:val="single" w:sz="8" w:space="0" w:color="auto"/>
              <w:right w:val="single" w:sz="8" w:space="0" w:color="auto"/>
            </w:tcBorders>
            <w:shd w:val="clear" w:color="auto" w:fill="auto"/>
            <w:noWrap/>
            <w:vAlign w:val="center"/>
            <w:hideMark/>
          </w:tcPr>
          <w:p w14:paraId="5D508852" w14:textId="77777777" w:rsidR="00290A8A" w:rsidRPr="00BD218E" w:rsidRDefault="004A7A82">
            <w:pPr>
              <w:jc w:val="right"/>
              <w:rPr>
                <w:color w:val="000000"/>
              </w:rPr>
            </w:pPr>
            <w:r w:rsidRPr="00BD218E">
              <w:rPr>
                <w:color w:val="000000"/>
              </w:rPr>
              <w:t>£m</w:t>
            </w:r>
          </w:p>
        </w:tc>
      </w:tr>
      <w:tr w:rsidR="00C92CD8" w14:paraId="01750DD1" w14:textId="77777777">
        <w:trPr>
          <w:trHeight w:val="304"/>
        </w:trPr>
        <w:tc>
          <w:tcPr>
            <w:tcW w:w="41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FE2FEC" w14:textId="77777777" w:rsidR="00290A8A" w:rsidRPr="00C87F31" w:rsidRDefault="004A7A82">
            <w:pPr>
              <w:rPr>
                <w:color w:val="000000"/>
              </w:rPr>
            </w:pPr>
            <w:r w:rsidRPr="00C87F31">
              <w:rPr>
                <w:color w:val="000000"/>
              </w:rPr>
              <w:t>Borrowing capital financing requirement</w:t>
            </w:r>
          </w:p>
        </w:tc>
        <w:tc>
          <w:tcPr>
            <w:tcW w:w="1478" w:type="dxa"/>
            <w:tcBorders>
              <w:top w:val="nil"/>
              <w:left w:val="nil"/>
              <w:bottom w:val="single" w:sz="8" w:space="0" w:color="auto"/>
              <w:right w:val="single" w:sz="8" w:space="0" w:color="auto"/>
            </w:tcBorders>
            <w:shd w:val="clear" w:color="auto" w:fill="auto"/>
            <w:noWrap/>
            <w:vAlign w:val="center"/>
          </w:tcPr>
          <w:p w14:paraId="6F815942" w14:textId="77777777" w:rsidR="00290A8A" w:rsidRPr="00FA5528" w:rsidRDefault="004A7A82">
            <w:pPr>
              <w:jc w:val="right"/>
              <w:rPr>
                <w:color w:val="000000"/>
              </w:rPr>
            </w:pPr>
            <w:r w:rsidRPr="00FA5528">
              <w:rPr>
                <w:color w:val="000000"/>
              </w:rPr>
              <w:t>1,046</w:t>
            </w:r>
          </w:p>
        </w:tc>
        <w:tc>
          <w:tcPr>
            <w:tcW w:w="1134" w:type="dxa"/>
            <w:tcBorders>
              <w:top w:val="nil"/>
              <w:left w:val="nil"/>
              <w:bottom w:val="single" w:sz="8" w:space="0" w:color="auto"/>
              <w:right w:val="single" w:sz="8" w:space="0" w:color="auto"/>
            </w:tcBorders>
            <w:shd w:val="clear" w:color="auto" w:fill="auto"/>
            <w:noWrap/>
            <w:vAlign w:val="center"/>
          </w:tcPr>
          <w:p w14:paraId="504A21BA" w14:textId="77777777" w:rsidR="00290A8A" w:rsidRPr="00FA5528" w:rsidRDefault="004A7A82">
            <w:pPr>
              <w:jc w:val="right"/>
              <w:rPr>
                <w:color w:val="000000"/>
              </w:rPr>
            </w:pPr>
            <w:r w:rsidRPr="00FA5528">
              <w:rPr>
                <w:color w:val="000000"/>
              </w:rPr>
              <w:t>1,062</w:t>
            </w:r>
          </w:p>
        </w:tc>
        <w:tc>
          <w:tcPr>
            <w:tcW w:w="1157" w:type="dxa"/>
            <w:tcBorders>
              <w:top w:val="nil"/>
              <w:left w:val="nil"/>
              <w:bottom w:val="single" w:sz="8" w:space="0" w:color="auto"/>
              <w:right w:val="single" w:sz="8" w:space="0" w:color="auto"/>
            </w:tcBorders>
            <w:shd w:val="clear" w:color="auto" w:fill="auto"/>
            <w:noWrap/>
            <w:vAlign w:val="center"/>
          </w:tcPr>
          <w:p w14:paraId="46FCB403" w14:textId="77777777" w:rsidR="00290A8A" w:rsidRPr="00FA5528" w:rsidRDefault="004A7A82">
            <w:pPr>
              <w:jc w:val="right"/>
              <w:rPr>
                <w:color w:val="000000"/>
              </w:rPr>
            </w:pPr>
            <w:r w:rsidRPr="00FA5528">
              <w:rPr>
                <w:color w:val="000000"/>
              </w:rPr>
              <w:t>1,076</w:t>
            </w:r>
          </w:p>
        </w:tc>
        <w:tc>
          <w:tcPr>
            <w:tcW w:w="992" w:type="dxa"/>
            <w:tcBorders>
              <w:top w:val="nil"/>
              <w:left w:val="nil"/>
              <w:bottom w:val="single" w:sz="8" w:space="0" w:color="auto"/>
              <w:right w:val="single" w:sz="8" w:space="0" w:color="auto"/>
            </w:tcBorders>
            <w:shd w:val="clear" w:color="auto" w:fill="auto"/>
            <w:noWrap/>
            <w:vAlign w:val="center"/>
          </w:tcPr>
          <w:p w14:paraId="6792AFF4" w14:textId="77777777" w:rsidR="00290A8A" w:rsidRPr="00FA5528" w:rsidRDefault="004A7A82">
            <w:pPr>
              <w:jc w:val="right"/>
              <w:rPr>
                <w:color w:val="000000"/>
              </w:rPr>
            </w:pPr>
            <w:r w:rsidRPr="00FA5528">
              <w:rPr>
                <w:color w:val="000000"/>
              </w:rPr>
              <w:t>1,092</w:t>
            </w:r>
          </w:p>
        </w:tc>
      </w:tr>
      <w:tr w:rsidR="00C92CD8" w14:paraId="15BAAAA5" w14:textId="77777777">
        <w:trPr>
          <w:trHeight w:val="304"/>
        </w:trPr>
        <w:tc>
          <w:tcPr>
            <w:tcW w:w="4192" w:type="dxa"/>
            <w:tcBorders>
              <w:top w:val="nil"/>
              <w:left w:val="single" w:sz="8" w:space="0" w:color="auto"/>
              <w:bottom w:val="single" w:sz="8" w:space="0" w:color="auto"/>
              <w:right w:val="single" w:sz="8" w:space="0" w:color="auto"/>
            </w:tcBorders>
            <w:shd w:val="clear" w:color="auto" w:fill="auto"/>
            <w:noWrap/>
            <w:vAlign w:val="center"/>
            <w:hideMark/>
          </w:tcPr>
          <w:p w14:paraId="029FCD2B" w14:textId="77777777" w:rsidR="00290A8A" w:rsidRPr="00C87F31" w:rsidRDefault="004A7A82">
            <w:pPr>
              <w:rPr>
                <w:color w:val="000000"/>
              </w:rPr>
            </w:pPr>
            <w:r w:rsidRPr="00C87F31">
              <w:rPr>
                <w:color w:val="000000"/>
              </w:rPr>
              <w:t>Estimated total borrowing</w:t>
            </w:r>
          </w:p>
        </w:tc>
        <w:tc>
          <w:tcPr>
            <w:tcW w:w="1478" w:type="dxa"/>
            <w:tcBorders>
              <w:top w:val="nil"/>
              <w:left w:val="nil"/>
              <w:bottom w:val="single" w:sz="8" w:space="0" w:color="auto"/>
              <w:right w:val="single" w:sz="8" w:space="0" w:color="auto"/>
            </w:tcBorders>
            <w:shd w:val="clear" w:color="auto" w:fill="auto"/>
            <w:noWrap/>
            <w:vAlign w:val="center"/>
          </w:tcPr>
          <w:p w14:paraId="478E8D9D" w14:textId="77777777" w:rsidR="00290A8A" w:rsidRPr="00FA5528" w:rsidRDefault="004A7A82">
            <w:pPr>
              <w:jc w:val="right"/>
              <w:rPr>
                <w:color w:val="000000"/>
              </w:rPr>
            </w:pPr>
            <w:r w:rsidRPr="00FA5528">
              <w:rPr>
                <w:color w:val="000000"/>
              </w:rPr>
              <w:t>1,119</w:t>
            </w:r>
          </w:p>
        </w:tc>
        <w:tc>
          <w:tcPr>
            <w:tcW w:w="1134" w:type="dxa"/>
            <w:tcBorders>
              <w:top w:val="nil"/>
              <w:left w:val="nil"/>
              <w:bottom w:val="single" w:sz="8" w:space="0" w:color="auto"/>
              <w:right w:val="single" w:sz="8" w:space="0" w:color="auto"/>
            </w:tcBorders>
            <w:shd w:val="clear" w:color="auto" w:fill="auto"/>
            <w:noWrap/>
            <w:vAlign w:val="center"/>
          </w:tcPr>
          <w:p w14:paraId="42DB9EB4" w14:textId="77777777" w:rsidR="00290A8A" w:rsidRPr="00FA5528" w:rsidRDefault="004A7A82">
            <w:pPr>
              <w:jc w:val="right"/>
              <w:rPr>
                <w:color w:val="000000"/>
              </w:rPr>
            </w:pPr>
            <w:r w:rsidRPr="00FA5528">
              <w:rPr>
                <w:color w:val="000000"/>
              </w:rPr>
              <w:t>1,131</w:t>
            </w:r>
          </w:p>
        </w:tc>
        <w:tc>
          <w:tcPr>
            <w:tcW w:w="1157" w:type="dxa"/>
            <w:tcBorders>
              <w:top w:val="nil"/>
              <w:left w:val="nil"/>
              <w:bottom w:val="single" w:sz="8" w:space="0" w:color="auto"/>
              <w:right w:val="single" w:sz="8" w:space="0" w:color="auto"/>
            </w:tcBorders>
            <w:shd w:val="clear" w:color="auto" w:fill="auto"/>
            <w:noWrap/>
            <w:vAlign w:val="center"/>
          </w:tcPr>
          <w:p w14:paraId="7E6448BC" w14:textId="77777777" w:rsidR="00290A8A" w:rsidRPr="00FA5528" w:rsidRDefault="004A7A82">
            <w:pPr>
              <w:jc w:val="right"/>
              <w:rPr>
                <w:color w:val="000000"/>
              </w:rPr>
            </w:pPr>
            <w:r w:rsidRPr="00FA5528">
              <w:rPr>
                <w:color w:val="000000"/>
              </w:rPr>
              <w:t>1,141</w:t>
            </w:r>
          </w:p>
        </w:tc>
        <w:tc>
          <w:tcPr>
            <w:tcW w:w="992" w:type="dxa"/>
            <w:tcBorders>
              <w:top w:val="nil"/>
              <w:left w:val="nil"/>
              <w:bottom w:val="single" w:sz="8" w:space="0" w:color="auto"/>
              <w:right w:val="single" w:sz="8" w:space="0" w:color="auto"/>
            </w:tcBorders>
            <w:shd w:val="clear" w:color="auto" w:fill="auto"/>
            <w:noWrap/>
            <w:vAlign w:val="center"/>
          </w:tcPr>
          <w:p w14:paraId="68476355" w14:textId="77777777" w:rsidR="00290A8A" w:rsidRPr="00FA5528" w:rsidRDefault="004A7A82">
            <w:pPr>
              <w:jc w:val="right"/>
              <w:rPr>
                <w:color w:val="000000"/>
              </w:rPr>
            </w:pPr>
            <w:r w:rsidRPr="00FA5528">
              <w:rPr>
                <w:color w:val="000000"/>
              </w:rPr>
              <w:t>1,153</w:t>
            </w:r>
          </w:p>
        </w:tc>
      </w:tr>
      <w:tr w:rsidR="00C92CD8" w14:paraId="34121AD6" w14:textId="77777777">
        <w:trPr>
          <w:trHeight w:val="304"/>
        </w:trPr>
        <w:tc>
          <w:tcPr>
            <w:tcW w:w="4192" w:type="dxa"/>
            <w:tcBorders>
              <w:top w:val="nil"/>
              <w:left w:val="single" w:sz="8" w:space="0" w:color="auto"/>
              <w:bottom w:val="single" w:sz="8" w:space="0" w:color="auto"/>
              <w:right w:val="single" w:sz="8" w:space="0" w:color="auto"/>
            </w:tcBorders>
            <w:shd w:val="clear" w:color="auto" w:fill="auto"/>
            <w:noWrap/>
            <w:vAlign w:val="center"/>
            <w:hideMark/>
          </w:tcPr>
          <w:p w14:paraId="35312B99" w14:textId="77777777" w:rsidR="00290A8A" w:rsidRPr="00C87F31" w:rsidRDefault="004A7A82">
            <w:pPr>
              <w:rPr>
                <w:color w:val="000000"/>
              </w:rPr>
            </w:pPr>
            <w:r w:rsidRPr="00C87F31">
              <w:rPr>
                <w:color w:val="000000"/>
              </w:rPr>
              <w:t xml:space="preserve">Borrowing </w:t>
            </w:r>
            <w:proofErr w:type="gramStart"/>
            <w:r w:rsidRPr="00C87F31">
              <w:rPr>
                <w:color w:val="000000"/>
              </w:rPr>
              <w:t>in excess of</w:t>
            </w:r>
            <w:proofErr w:type="gramEnd"/>
            <w:r w:rsidRPr="00C87F31">
              <w:rPr>
                <w:color w:val="000000"/>
              </w:rPr>
              <w:t xml:space="preserve"> capital financing requirement</w:t>
            </w:r>
          </w:p>
        </w:tc>
        <w:tc>
          <w:tcPr>
            <w:tcW w:w="1478" w:type="dxa"/>
            <w:tcBorders>
              <w:top w:val="nil"/>
              <w:left w:val="nil"/>
              <w:bottom w:val="single" w:sz="8" w:space="0" w:color="auto"/>
              <w:right w:val="single" w:sz="8" w:space="0" w:color="auto"/>
            </w:tcBorders>
            <w:shd w:val="clear" w:color="auto" w:fill="auto"/>
            <w:noWrap/>
            <w:vAlign w:val="center"/>
          </w:tcPr>
          <w:p w14:paraId="3A625424" w14:textId="77777777" w:rsidR="00290A8A" w:rsidRPr="00FA5528" w:rsidRDefault="004A7A82">
            <w:pPr>
              <w:jc w:val="right"/>
              <w:rPr>
                <w:color w:val="000000"/>
              </w:rPr>
            </w:pPr>
            <w:r w:rsidRPr="00FA5528">
              <w:rPr>
                <w:color w:val="000000"/>
              </w:rPr>
              <w:t>73</w:t>
            </w:r>
          </w:p>
        </w:tc>
        <w:tc>
          <w:tcPr>
            <w:tcW w:w="1134" w:type="dxa"/>
            <w:tcBorders>
              <w:top w:val="nil"/>
              <w:left w:val="nil"/>
              <w:bottom w:val="single" w:sz="8" w:space="0" w:color="auto"/>
              <w:right w:val="single" w:sz="8" w:space="0" w:color="auto"/>
            </w:tcBorders>
            <w:shd w:val="clear" w:color="auto" w:fill="auto"/>
            <w:noWrap/>
            <w:vAlign w:val="center"/>
          </w:tcPr>
          <w:p w14:paraId="6942AE76" w14:textId="77777777" w:rsidR="00290A8A" w:rsidRPr="00FA5528" w:rsidRDefault="004A7A82">
            <w:pPr>
              <w:jc w:val="right"/>
              <w:rPr>
                <w:color w:val="000000"/>
              </w:rPr>
            </w:pPr>
            <w:r w:rsidRPr="00FA5528">
              <w:rPr>
                <w:color w:val="000000"/>
              </w:rPr>
              <w:t>69</w:t>
            </w:r>
          </w:p>
        </w:tc>
        <w:tc>
          <w:tcPr>
            <w:tcW w:w="1157" w:type="dxa"/>
            <w:tcBorders>
              <w:top w:val="nil"/>
              <w:left w:val="nil"/>
              <w:bottom w:val="single" w:sz="8" w:space="0" w:color="auto"/>
              <w:right w:val="single" w:sz="8" w:space="0" w:color="auto"/>
            </w:tcBorders>
            <w:shd w:val="clear" w:color="auto" w:fill="auto"/>
            <w:noWrap/>
            <w:vAlign w:val="center"/>
          </w:tcPr>
          <w:p w14:paraId="3E2BC659" w14:textId="77777777" w:rsidR="00290A8A" w:rsidRPr="00FA5528" w:rsidRDefault="004A7A82">
            <w:pPr>
              <w:jc w:val="right"/>
              <w:rPr>
                <w:color w:val="000000"/>
              </w:rPr>
            </w:pPr>
            <w:r w:rsidRPr="00FA5528">
              <w:rPr>
                <w:color w:val="000000"/>
              </w:rPr>
              <w:t>65</w:t>
            </w:r>
          </w:p>
        </w:tc>
        <w:tc>
          <w:tcPr>
            <w:tcW w:w="992" w:type="dxa"/>
            <w:tcBorders>
              <w:top w:val="nil"/>
              <w:left w:val="nil"/>
              <w:bottom w:val="single" w:sz="8" w:space="0" w:color="auto"/>
              <w:right w:val="single" w:sz="8" w:space="0" w:color="auto"/>
            </w:tcBorders>
            <w:shd w:val="clear" w:color="auto" w:fill="auto"/>
            <w:noWrap/>
            <w:vAlign w:val="center"/>
          </w:tcPr>
          <w:p w14:paraId="30652A3C" w14:textId="77777777" w:rsidR="00290A8A" w:rsidRPr="00FA5528" w:rsidRDefault="004A7A82">
            <w:pPr>
              <w:jc w:val="right"/>
              <w:rPr>
                <w:color w:val="000000"/>
              </w:rPr>
            </w:pPr>
            <w:r w:rsidRPr="00FA5528">
              <w:rPr>
                <w:color w:val="000000"/>
              </w:rPr>
              <w:t>61</w:t>
            </w:r>
          </w:p>
        </w:tc>
      </w:tr>
      <w:tr w:rsidR="00C92CD8" w14:paraId="5D69DB81" w14:textId="77777777">
        <w:trPr>
          <w:trHeight w:val="304"/>
        </w:trPr>
        <w:tc>
          <w:tcPr>
            <w:tcW w:w="4192" w:type="dxa"/>
            <w:tcBorders>
              <w:top w:val="nil"/>
              <w:left w:val="single" w:sz="8" w:space="0" w:color="auto"/>
              <w:bottom w:val="single" w:sz="8" w:space="0" w:color="auto"/>
              <w:right w:val="single" w:sz="8" w:space="0" w:color="auto"/>
            </w:tcBorders>
            <w:shd w:val="clear" w:color="auto" w:fill="auto"/>
            <w:noWrap/>
            <w:vAlign w:val="center"/>
            <w:hideMark/>
          </w:tcPr>
          <w:p w14:paraId="359C51D2" w14:textId="77777777" w:rsidR="00290A8A" w:rsidRPr="00C87F31" w:rsidRDefault="004A7A82">
            <w:pPr>
              <w:rPr>
                <w:color w:val="000000"/>
                <w:u w:val="single"/>
              </w:rPr>
            </w:pPr>
            <w:r w:rsidRPr="00C87F31">
              <w:rPr>
                <w:color w:val="000000"/>
                <w:u w:val="single"/>
              </w:rPr>
              <w:t>Represented by:</w:t>
            </w:r>
          </w:p>
        </w:tc>
        <w:tc>
          <w:tcPr>
            <w:tcW w:w="1478" w:type="dxa"/>
            <w:tcBorders>
              <w:top w:val="nil"/>
              <w:left w:val="nil"/>
              <w:bottom w:val="single" w:sz="8" w:space="0" w:color="auto"/>
              <w:right w:val="single" w:sz="8" w:space="0" w:color="auto"/>
            </w:tcBorders>
            <w:shd w:val="clear" w:color="auto" w:fill="auto"/>
            <w:noWrap/>
            <w:vAlign w:val="center"/>
          </w:tcPr>
          <w:p w14:paraId="48FBA31B" w14:textId="77777777" w:rsidR="00290A8A" w:rsidRPr="00FA5528" w:rsidRDefault="00290A8A">
            <w:pPr>
              <w:jc w:val="right"/>
              <w:rPr>
                <w:color w:val="000000"/>
              </w:rPr>
            </w:pPr>
          </w:p>
        </w:tc>
        <w:tc>
          <w:tcPr>
            <w:tcW w:w="1134" w:type="dxa"/>
            <w:tcBorders>
              <w:top w:val="nil"/>
              <w:left w:val="nil"/>
              <w:bottom w:val="single" w:sz="8" w:space="0" w:color="auto"/>
              <w:right w:val="single" w:sz="8" w:space="0" w:color="auto"/>
            </w:tcBorders>
            <w:shd w:val="clear" w:color="auto" w:fill="auto"/>
            <w:noWrap/>
            <w:vAlign w:val="center"/>
          </w:tcPr>
          <w:p w14:paraId="78AD1706" w14:textId="77777777" w:rsidR="00290A8A" w:rsidRPr="00FA5528" w:rsidRDefault="00290A8A">
            <w:pPr>
              <w:jc w:val="right"/>
              <w:rPr>
                <w:color w:val="000000"/>
              </w:rPr>
            </w:pPr>
          </w:p>
        </w:tc>
        <w:tc>
          <w:tcPr>
            <w:tcW w:w="1157" w:type="dxa"/>
            <w:tcBorders>
              <w:top w:val="nil"/>
              <w:left w:val="nil"/>
              <w:bottom w:val="single" w:sz="8" w:space="0" w:color="auto"/>
              <w:right w:val="single" w:sz="8" w:space="0" w:color="auto"/>
            </w:tcBorders>
            <w:shd w:val="clear" w:color="auto" w:fill="auto"/>
            <w:noWrap/>
            <w:vAlign w:val="center"/>
          </w:tcPr>
          <w:p w14:paraId="235947AE" w14:textId="77777777" w:rsidR="00290A8A" w:rsidRPr="00FA5528" w:rsidRDefault="00290A8A">
            <w:pPr>
              <w:jc w:val="right"/>
              <w:rPr>
                <w:color w:val="000000"/>
              </w:rPr>
            </w:pPr>
          </w:p>
        </w:tc>
        <w:tc>
          <w:tcPr>
            <w:tcW w:w="992" w:type="dxa"/>
            <w:tcBorders>
              <w:top w:val="nil"/>
              <w:left w:val="nil"/>
              <w:bottom w:val="single" w:sz="8" w:space="0" w:color="auto"/>
              <w:right w:val="single" w:sz="8" w:space="0" w:color="auto"/>
            </w:tcBorders>
            <w:shd w:val="clear" w:color="auto" w:fill="auto"/>
            <w:noWrap/>
            <w:vAlign w:val="center"/>
          </w:tcPr>
          <w:p w14:paraId="331F937C" w14:textId="77777777" w:rsidR="00290A8A" w:rsidRPr="00FA5528" w:rsidRDefault="00290A8A">
            <w:pPr>
              <w:jc w:val="right"/>
              <w:rPr>
                <w:color w:val="000000"/>
              </w:rPr>
            </w:pPr>
          </w:p>
        </w:tc>
      </w:tr>
      <w:tr w:rsidR="00C92CD8" w14:paraId="5AF4A6FF" w14:textId="77777777">
        <w:trPr>
          <w:trHeight w:val="304"/>
        </w:trPr>
        <w:tc>
          <w:tcPr>
            <w:tcW w:w="4192" w:type="dxa"/>
            <w:tcBorders>
              <w:top w:val="nil"/>
              <w:left w:val="single" w:sz="8" w:space="0" w:color="auto"/>
              <w:bottom w:val="single" w:sz="8" w:space="0" w:color="auto"/>
              <w:right w:val="single" w:sz="8" w:space="0" w:color="auto"/>
            </w:tcBorders>
            <w:shd w:val="clear" w:color="auto" w:fill="auto"/>
            <w:noWrap/>
            <w:vAlign w:val="center"/>
            <w:hideMark/>
          </w:tcPr>
          <w:p w14:paraId="4116CD70" w14:textId="77777777" w:rsidR="00290A8A" w:rsidRPr="00C87F31" w:rsidRDefault="004A7A82">
            <w:pPr>
              <w:rPr>
                <w:color w:val="000000"/>
              </w:rPr>
            </w:pPr>
            <w:r w:rsidRPr="00C87F31">
              <w:rPr>
                <w:color w:val="000000"/>
              </w:rPr>
              <w:t>Premiums</w:t>
            </w:r>
          </w:p>
        </w:tc>
        <w:tc>
          <w:tcPr>
            <w:tcW w:w="1478" w:type="dxa"/>
            <w:tcBorders>
              <w:top w:val="nil"/>
              <w:left w:val="nil"/>
              <w:bottom w:val="single" w:sz="8" w:space="0" w:color="auto"/>
              <w:right w:val="single" w:sz="8" w:space="0" w:color="auto"/>
            </w:tcBorders>
            <w:shd w:val="clear" w:color="auto" w:fill="auto"/>
            <w:noWrap/>
            <w:vAlign w:val="center"/>
          </w:tcPr>
          <w:p w14:paraId="22D418E8" w14:textId="77777777" w:rsidR="00290A8A" w:rsidRPr="00FA5528" w:rsidRDefault="004A7A82">
            <w:pPr>
              <w:jc w:val="right"/>
              <w:rPr>
                <w:color w:val="000000"/>
              </w:rPr>
            </w:pPr>
            <w:r w:rsidRPr="00FA5528">
              <w:rPr>
                <w:color w:val="000000"/>
              </w:rPr>
              <w:t>35</w:t>
            </w:r>
          </w:p>
        </w:tc>
        <w:tc>
          <w:tcPr>
            <w:tcW w:w="1134" w:type="dxa"/>
            <w:tcBorders>
              <w:top w:val="nil"/>
              <w:left w:val="nil"/>
              <w:bottom w:val="single" w:sz="8" w:space="0" w:color="auto"/>
              <w:right w:val="single" w:sz="8" w:space="0" w:color="auto"/>
            </w:tcBorders>
            <w:shd w:val="clear" w:color="auto" w:fill="auto"/>
            <w:noWrap/>
            <w:vAlign w:val="center"/>
          </w:tcPr>
          <w:p w14:paraId="3DCC403E" w14:textId="77777777" w:rsidR="00290A8A" w:rsidRPr="00FA5528" w:rsidRDefault="004A7A82">
            <w:pPr>
              <w:jc w:val="right"/>
              <w:rPr>
                <w:color w:val="000000"/>
              </w:rPr>
            </w:pPr>
            <w:r w:rsidRPr="00FA5528">
              <w:rPr>
                <w:color w:val="000000"/>
              </w:rPr>
              <w:t>33</w:t>
            </w:r>
          </w:p>
        </w:tc>
        <w:tc>
          <w:tcPr>
            <w:tcW w:w="1157" w:type="dxa"/>
            <w:tcBorders>
              <w:top w:val="nil"/>
              <w:left w:val="nil"/>
              <w:bottom w:val="single" w:sz="8" w:space="0" w:color="auto"/>
              <w:right w:val="single" w:sz="8" w:space="0" w:color="auto"/>
            </w:tcBorders>
            <w:shd w:val="clear" w:color="auto" w:fill="auto"/>
            <w:noWrap/>
            <w:vAlign w:val="center"/>
          </w:tcPr>
          <w:p w14:paraId="5FC95AB2" w14:textId="77777777" w:rsidR="00290A8A" w:rsidRPr="00FA5528" w:rsidRDefault="004A7A82">
            <w:pPr>
              <w:jc w:val="right"/>
              <w:rPr>
                <w:color w:val="000000"/>
              </w:rPr>
            </w:pPr>
            <w:r w:rsidRPr="00FA5528">
              <w:rPr>
                <w:color w:val="000000"/>
              </w:rPr>
              <w:t>31</w:t>
            </w:r>
          </w:p>
        </w:tc>
        <w:tc>
          <w:tcPr>
            <w:tcW w:w="992" w:type="dxa"/>
            <w:tcBorders>
              <w:top w:val="nil"/>
              <w:left w:val="nil"/>
              <w:bottom w:val="single" w:sz="8" w:space="0" w:color="auto"/>
              <w:right w:val="single" w:sz="8" w:space="0" w:color="auto"/>
            </w:tcBorders>
            <w:shd w:val="clear" w:color="auto" w:fill="auto"/>
            <w:noWrap/>
            <w:vAlign w:val="center"/>
          </w:tcPr>
          <w:p w14:paraId="4AA94624" w14:textId="77777777" w:rsidR="00290A8A" w:rsidRPr="00FA5528" w:rsidRDefault="004A7A82">
            <w:pPr>
              <w:jc w:val="right"/>
              <w:rPr>
                <w:color w:val="000000"/>
              </w:rPr>
            </w:pPr>
            <w:r w:rsidRPr="00FA5528">
              <w:rPr>
                <w:color w:val="000000"/>
              </w:rPr>
              <w:t>29</w:t>
            </w:r>
          </w:p>
        </w:tc>
      </w:tr>
      <w:tr w:rsidR="00C92CD8" w14:paraId="6DC59949" w14:textId="77777777">
        <w:trPr>
          <w:trHeight w:val="304"/>
        </w:trPr>
        <w:tc>
          <w:tcPr>
            <w:tcW w:w="4192" w:type="dxa"/>
            <w:tcBorders>
              <w:top w:val="nil"/>
              <w:left w:val="single" w:sz="8" w:space="0" w:color="auto"/>
              <w:bottom w:val="single" w:sz="8" w:space="0" w:color="auto"/>
              <w:right w:val="single" w:sz="8" w:space="0" w:color="auto"/>
            </w:tcBorders>
            <w:shd w:val="clear" w:color="auto" w:fill="auto"/>
            <w:noWrap/>
            <w:vAlign w:val="center"/>
            <w:hideMark/>
          </w:tcPr>
          <w:p w14:paraId="76B76F42" w14:textId="77777777" w:rsidR="00290A8A" w:rsidRPr="00C87F31" w:rsidRDefault="004A7A82">
            <w:pPr>
              <w:rPr>
                <w:color w:val="000000"/>
              </w:rPr>
            </w:pPr>
            <w:r w:rsidRPr="00C87F31">
              <w:rPr>
                <w:color w:val="000000"/>
              </w:rPr>
              <w:t xml:space="preserve">Borrowing relating to other authorities </w:t>
            </w:r>
          </w:p>
        </w:tc>
        <w:tc>
          <w:tcPr>
            <w:tcW w:w="1478" w:type="dxa"/>
            <w:tcBorders>
              <w:top w:val="nil"/>
              <w:left w:val="nil"/>
              <w:bottom w:val="single" w:sz="8" w:space="0" w:color="auto"/>
              <w:right w:val="single" w:sz="8" w:space="0" w:color="auto"/>
            </w:tcBorders>
            <w:shd w:val="clear" w:color="auto" w:fill="auto"/>
            <w:noWrap/>
            <w:vAlign w:val="center"/>
          </w:tcPr>
          <w:p w14:paraId="76342305" w14:textId="77777777" w:rsidR="00290A8A" w:rsidRPr="00FA5528" w:rsidRDefault="004A7A82">
            <w:pPr>
              <w:jc w:val="right"/>
              <w:rPr>
                <w:color w:val="000000"/>
              </w:rPr>
            </w:pPr>
            <w:r w:rsidRPr="00FA5528">
              <w:rPr>
                <w:color w:val="000000"/>
              </w:rPr>
              <w:t>38</w:t>
            </w:r>
          </w:p>
        </w:tc>
        <w:tc>
          <w:tcPr>
            <w:tcW w:w="1134" w:type="dxa"/>
            <w:tcBorders>
              <w:top w:val="nil"/>
              <w:left w:val="nil"/>
              <w:bottom w:val="single" w:sz="8" w:space="0" w:color="auto"/>
              <w:right w:val="single" w:sz="8" w:space="0" w:color="auto"/>
            </w:tcBorders>
            <w:shd w:val="clear" w:color="auto" w:fill="auto"/>
            <w:noWrap/>
            <w:vAlign w:val="center"/>
          </w:tcPr>
          <w:p w14:paraId="49307452" w14:textId="77777777" w:rsidR="00290A8A" w:rsidRPr="00FA5528" w:rsidRDefault="004A7A82">
            <w:pPr>
              <w:jc w:val="right"/>
              <w:rPr>
                <w:color w:val="000000"/>
              </w:rPr>
            </w:pPr>
            <w:r w:rsidRPr="00FA5528">
              <w:rPr>
                <w:color w:val="000000"/>
              </w:rPr>
              <w:t>36</w:t>
            </w:r>
          </w:p>
        </w:tc>
        <w:tc>
          <w:tcPr>
            <w:tcW w:w="1157" w:type="dxa"/>
            <w:tcBorders>
              <w:top w:val="nil"/>
              <w:left w:val="nil"/>
              <w:bottom w:val="single" w:sz="8" w:space="0" w:color="auto"/>
              <w:right w:val="single" w:sz="8" w:space="0" w:color="auto"/>
            </w:tcBorders>
            <w:shd w:val="clear" w:color="auto" w:fill="auto"/>
            <w:noWrap/>
            <w:vAlign w:val="center"/>
          </w:tcPr>
          <w:p w14:paraId="62EB5138" w14:textId="77777777" w:rsidR="00290A8A" w:rsidRPr="00FA5528" w:rsidRDefault="004A7A82">
            <w:pPr>
              <w:jc w:val="right"/>
              <w:rPr>
                <w:color w:val="000000"/>
              </w:rPr>
            </w:pPr>
            <w:r w:rsidRPr="00FA5528">
              <w:rPr>
                <w:color w:val="000000"/>
              </w:rPr>
              <w:t>34</w:t>
            </w:r>
          </w:p>
        </w:tc>
        <w:tc>
          <w:tcPr>
            <w:tcW w:w="992" w:type="dxa"/>
            <w:tcBorders>
              <w:top w:val="nil"/>
              <w:left w:val="nil"/>
              <w:bottom w:val="single" w:sz="8" w:space="0" w:color="auto"/>
              <w:right w:val="single" w:sz="8" w:space="0" w:color="auto"/>
            </w:tcBorders>
            <w:shd w:val="clear" w:color="auto" w:fill="auto"/>
            <w:noWrap/>
            <w:vAlign w:val="center"/>
          </w:tcPr>
          <w:p w14:paraId="7897AC9A" w14:textId="77777777" w:rsidR="00290A8A" w:rsidRPr="00FA5528" w:rsidRDefault="004A7A82">
            <w:pPr>
              <w:jc w:val="right"/>
              <w:rPr>
                <w:color w:val="000000"/>
              </w:rPr>
            </w:pPr>
            <w:r w:rsidRPr="00FA5528">
              <w:rPr>
                <w:color w:val="000000"/>
              </w:rPr>
              <w:t>32</w:t>
            </w:r>
          </w:p>
        </w:tc>
      </w:tr>
    </w:tbl>
    <w:p w14:paraId="509683C6" w14:textId="77777777" w:rsidR="00290A8A" w:rsidRPr="00BD218E" w:rsidRDefault="00290A8A" w:rsidP="00290A8A">
      <w:pPr>
        <w:jc w:val="both"/>
        <w:rPr>
          <w:bCs/>
        </w:rPr>
      </w:pPr>
    </w:p>
    <w:p w14:paraId="394A1F51" w14:textId="77777777" w:rsidR="00290A8A" w:rsidRPr="00BD218E" w:rsidRDefault="004A7A82" w:rsidP="00290A8A">
      <w:pPr>
        <w:jc w:val="both"/>
      </w:pPr>
      <w:r w:rsidRPr="00BD218E">
        <w:t>The indicators and limits relating to specific treasury management activities are set out as follows.</w:t>
      </w:r>
    </w:p>
    <w:p w14:paraId="6BA03ED7" w14:textId="77777777" w:rsidR="00290A8A" w:rsidRPr="00BD218E" w:rsidRDefault="00290A8A" w:rsidP="00290A8A">
      <w:pPr>
        <w:pStyle w:val="ListParagraph"/>
        <w:spacing w:line="276" w:lineRule="auto"/>
        <w:ind w:left="0"/>
        <w:rPr>
          <w:b/>
          <w:i/>
          <w:color w:val="000000"/>
        </w:rPr>
      </w:pPr>
    </w:p>
    <w:p w14:paraId="7D97A4D4" w14:textId="77777777" w:rsidR="00290A8A" w:rsidRPr="00B62DDC" w:rsidRDefault="004A7A82" w:rsidP="00290A8A">
      <w:pPr>
        <w:pStyle w:val="ListParagraph"/>
        <w:spacing w:line="276" w:lineRule="auto"/>
        <w:ind w:left="0"/>
        <w:rPr>
          <w:b/>
          <w:iCs/>
          <w:color w:val="000000"/>
        </w:rPr>
      </w:pPr>
      <w:r w:rsidRPr="00B62DDC">
        <w:rPr>
          <w:b/>
          <w:iCs/>
          <w:color w:val="000000"/>
        </w:rPr>
        <w:t>Interest rate exposure</w:t>
      </w:r>
    </w:p>
    <w:p w14:paraId="3D9B5A6B" w14:textId="77777777" w:rsidR="00290A8A" w:rsidRPr="00BD218E" w:rsidRDefault="00290A8A" w:rsidP="00290A8A">
      <w:pPr>
        <w:pStyle w:val="ListParagraph"/>
        <w:spacing w:line="276" w:lineRule="auto"/>
        <w:ind w:left="0"/>
        <w:rPr>
          <w:b/>
          <w:i/>
          <w:color w:val="000000"/>
        </w:rPr>
      </w:pPr>
    </w:p>
    <w:p w14:paraId="0BE88906" w14:textId="77777777" w:rsidR="00290A8A" w:rsidRPr="00BD218E" w:rsidRDefault="004A7A82" w:rsidP="00290A8A">
      <w:pPr>
        <w:jc w:val="both"/>
      </w:pPr>
      <w:r w:rsidRPr="00BD218E">
        <w:t xml:space="preserve">In order to control interest rate </w:t>
      </w:r>
      <w:proofErr w:type="gramStart"/>
      <w:r w:rsidRPr="00BD218E">
        <w:t>risk</w:t>
      </w:r>
      <w:proofErr w:type="gramEnd"/>
      <w:r w:rsidRPr="00BD218E">
        <w:t xml:space="preserve"> the council measures its exposure to interest rate movements. These indicators place limits on the overall amount of risk the council is exposed to. The one-year impact indicator calculates the theoretical impact on the revenue account of an immediate 1% rise in all interest rates over the course of one </w:t>
      </w:r>
      <w:r w:rsidRPr="00BD218E">
        <w:lastRenderedPageBreak/>
        <w:t>financial year. The indicator excludes the impact of any estimated fair value movements.</w:t>
      </w:r>
    </w:p>
    <w:p w14:paraId="72DD6FF6" w14:textId="77777777" w:rsidR="00290A8A" w:rsidRPr="00BD218E" w:rsidRDefault="00290A8A" w:rsidP="00290A8A">
      <w:pPr>
        <w:jc w:val="both"/>
      </w:pPr>
    </w:p>
    <w:tbl>
      <w:tblPr>
        <w:tblStyle w:val="TableGrid"/>
        <w:tblW w:w="9067" w:type="dxa"/>
        <w:tblLook w:val="04A0" w:firstRow="1" w:lastRow="0" w:firstColumn="1" w:lastColumn="0" w:noHBand="0" w:noVBand="1"/>
      </w:tblPr>
      <w:tblGrid>
        <w:gridCol w:w="7225"/>
        <w:gridCol w:w="1842"/>
      </w:tblGrid>
      <w:tr w:rsidR="00C92CD8" w14:paraId="64CA9397" w14:textId="77777777" w:rsidTr="00C92CD8">
        <w:trPr>
          <w:cnfStyle w:val="100000000000" w:firstRow="1" w:lastRow="0" w:firstColumn="0" w:lastColumn="0" w:oddVBand="0" w:evenVBand="0" w:oddHBand="0" w:evenHBand="0" w:firstRowFirstColumn="0" w:firstRowLastColumn="0" w:lastRowFirstColumn="0" w:lastRowLastColumn="0"/>
        </w:trPr>
        <w:tc>
          <w:tcPr>
            <w:tcW w:w="7225" w:type="dxa"/>
          </w:tcPr>
          <w:p w14:paraId="341D26D4" w14:textId="77777777" w:rsidR="00290A8A" w:rsidRPr="00BD218E" w:rsidRDefault="00290A8A">
            <w:pPr>
              <w:rPr>
                <w:b/>
              </w:rPr>
            </w:pPr>
          </w:p>
        </w:tc>
        <w:tc>
          <w:tcPr>
            <w:tcW w:w="1842" w:type="dxa"/>
            <w:vAlign w:val="center"/>
          </w:tcPr>
          <w:p w14:paraId="5D677399" w14:textId="77777777" w:rsidR="00290A8A" w:rsidRPr="00BD218E" w:rsidRDefault="004A7A82">
            <w:pPr>
              <w:jc w:val="center"/>
            </w:pPr>
            <w:r w:rsidRPr="00BD218E">
              <w:t>Upper Limit</w:t>
            </w:r>
          </w:p>
        </w:tc>
      </w:tr>
      <w:tr w:rsidR="00C92CD8" w14:paraId="63FC01B3" w14:textId="77777777" w:rsidTr="00C92CD8">
        <w:trPr>
          <w:cnfStyle w:val="000000100000" w:firstRow="0" w:lastRow="0" w:firstColumn="0" w:lastColumn="0" w:oddVBand="0" w:evenVBand="0" w:oddHBand="1" w:evenHBand="0" w:firstRowFirstColumn="0" w:firstRowLastColumn="0" w:lastRowFirstColumn="0" w:lastRowLastColumn="0"/>
        </w:trPr>
        <w:tc>
          <w:tcPr>
            <w:tcW w:w="7225" w:type="dxa"/>
          </w:tcPr>
          <w:p w14:paraId="4A8CEDFB" w14:textId="77777777" w:rsidR="00290A8A" w:rsidRPr="00BD218E" w:rsidRDefault="004A7A82">
            <w:r w:rsidRPr="00BD218E">
              <w:t xml:space="preserve">Upper limit on one-year revenue impact of a 1% rise in interest rates </w:t>
            </w:r>
          </w:p>
        </w:tc>
        <w:tc>
          <w:tcPr>
            <w:tcW w:w="1842" w:type="dxa"/>
            <w:vAlign w:val="center"/>
          </w:tcPr>
          <w:p w14:paraId="1B92A621" w14:textId="77777777" w:rsidR="00290A8A" w:rsidRPr="00BD218E" w:rsidRDefault="004A7A82">
            <w:pPr>
              <w:jc w:val="right"/>
            </w:pPr>
            <w:r w:rsidRPr="00BD218E">
              <w:t>£50m</w:t>
            </w:r>
          </w:p>
        </w:tc>
      </w:tr>
    </w:tbl>
    <w:p w14:paraId="55DA1554" w14:textId="77777777" w:rsidR="00290A8A" w:rsidRPr="00BD218E" w:rsidRDefault="00290A8A" w:rsidP="00290A8A">
      <w:pPr>
        <w:pStyle w:val="ListParagraph"/>
        <w:tabs>
          <w:tab w:val="left" w:pos="3285"/>
        </w:tabs>
        <w:spacing w:line="276" w:lineRule="auto"/>
        <w:ind w:left="-108" w:firstLine="108"/>
        <w:rPr>
          <w:b/>
          <w:i/>
        </w:rPr>
      </w:pPr>
    </w:p>
    <w:p w14:paraId="2A712789" w14:textId="77777777" w:rsidR="00290A8A" w:rsidRPr="00B62DDC" w:rsidRDefault="004A7A82" w:rsidP="00290A8A">
      <w:pPr>
        <w:pStyle w:val="ListParagraph"/>
        <w:tabs>
          <w:tab w:val="left" w:pos="3285"/>
        </w:tabs>
        <w:spacing w:line="276" w:lineRule="auto"/>
        <w:ind w:left="-108" w:firstLine="108"/>
        <w:rPr>
          <w:b/>
          <w:iCs/>
        </w:rPr>
      </w:pPr>
      <w:r w:rsidRPr="00B62DDC">
        <w:rPr>
          <w:b/>
          <w:iCs/>
        </w:rPr>
        <w:t>Maturity structure of debt</w:t>
      </w:r>
    </w:p>
    <w:p w14:paraId="52067B73" w14:textId="77777777" w:rsidR="00290A8A" w:rsidRPr="00BD218E" w:rsidRDefault="00290A8A" w:rsidP="00290A8A">
      <w:pPr>
        <w:pStyle w:val="ListParagraph"/>
        <w:tabs>
          <w:tab w:val="left" w:pos="3285"/>
        </w:tabs>
        <w:spacing w:line="276" w:lineRule="auto"/>
        <w:ind w:left="-108" w:firstLine="108"/>
        <w:rPr>
          <w:b/>
          <w:i/>
        </w:rPr>
      </w:pPr>
    </w:p>
    <w:p w14:paraId="5DBACBF5" w14:textId="77777777" w:rsidR="00290A8A" w:rsidRDefault="004A7A82" w:rsidP="00290A8A">
      <w:pPr>
        <w:pStyle w:val="ListParagraph"/>
        <w:tabs>
          <w:tab w:val="left" w:pos="3285"/>
        </w:tabs>
        <w:spacing w:line="276" w:lineRule="auto"/>
        <w:ind w:left="-108" w:firstLine="108"/>
      </w:pPr>
      <w:r w:rsidRPr="00BD218E">
        <w:t>Limits on the maturity structure of debt help control refinancing risk.</w:t>
      </w:r>
    </w:p>
    <w:p w14:paraId="622F6665" w14:textId="77777777" w:rsidR="00290A8A" w:rsidRPr="00BD218E" w:rsidRDefault="00290A8A" w:rsidP="00290A8A">
      <w:pPr>
        <w:pStyle w:val="ListParagraph"/>
        <w:tabs>
          <w:tab w:val="left" w:pos="3285"/>
        </w:tabs>
        <w:spacing w:line="276" w:lineRule="auto"/>
        <w:ind w:left="-108" w:firstLine="108"/>
      </w:pPr>
    </w:p>
    <w:tbl>
      <w:tblPr>
        <w:tblW w:w="9072" w:type="dxa"/>
        <w:tblInd w:w="-5" w:type="dxa"/>
        <w:tblLook w:val="04A0" w:firstRow="1" w:lastRow="0" w:firstColumn="1" w:lastColumn="0" w:noHBand="0" w:noVBand="1"/>
      </w:tblPr>
      <w:tblGrid>
        <w:gridCol w:w="5387"/>
        <w:gridCol w:w="1843"/>
        <w:gridCol w:w="1842"/>
      </w:tblGrid>
      <w:tr w:rsidR="00C92CD8" w14:paraId="4431A01C" w14:textId="77777777">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81C36" w14:textId="77777777" w:rsidR="00290A8A" w:rsidRPr="00BD218E" w:rsidRDefault="004A7A82">
            <w:pPr>
              <w:rPr>
                <w:color w:val="000000"/>
              </w:rPr>
            </w:pPr>
            <w:r w:rsidRPr="00BD218E">
              <w:rPr>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DDF368F" w14:textId="77777777" w:rsidR="00290A8A" w:rsidRPr="00BD218E" w:rsidRDefault="004A7A82">
            <w:pPr>
              <w:jc w:val="center"/>
              <w:rPr>
                <w:color w:val="000000"/>
              </w:rPr>
            </w:pPr>
            <w:r w:rsidRPr="00BD218E">
              <w:rPr>
                <w:color w:val="000000"/>
              </w:rPr>
              <w:t>Upper Limit</w:t>
            </w:r>
          </w:p>
        </w:tc>
        <w:tc>
          <w:tcPr>
            <w:tcW w:w="1842" w:type="dxa"/>
            <w:tcBorders>
              <w:top w:val="single" w:sz="4" w:space="0" w:color="auto"/>
              <w:left w:val="nil"/>
              <w:bottom w:val="single" w:sz="4" w:space="0" w:color="auto"/>
              <w:right w:val="single" w:sz="4" w:space="0" w:color="auto"/>
            </w:tcBorders>
          </w:tcPr>
          <w:p w14:paraId="073CD7DB" w14:textId="77777777" w:rsidR="00290A8A" w:rsidRPr="00BD218E" w:rsidRDefault="004A7A82">
            <w:pPr>
              <w:jc w:val="center"/>
              <w:rPr>
                <w:color w:val="000000"/>
              </w:rPr>
            </w:pPr>
            <w:r w:rsidRPr="00BD218E">
              <w:rPr>
                <w:color w:val="000000"/>
              </w:rPr>
              <w:t>Lower limit</w:t>
            </w:r>
          </w:p>
        </w:tc>
      </w:tr>
      <w:tr w:rsidR="00C92CD8" w14:paraId="287C6C6B" w14:textId="77777777">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3ED82AD0" w14:textId="77777777" w:rsidR="00290A8A" w:rsidRPr="00BD218E" w:rsidRDefault="004A7A82">
            <w:pPr>
              <w:rPr>
                <w:color w:val="000000"/>
              </w:rPr>
            </w:pPr>
            <w:r w:rsidRPr="00BD218E">
              <w:rPr>
                <w:color w:val="000000"/>
              </w:rPr>
              <w:t>Under 12 months</w:t>
            </w:r>
          </w:p>
        </w:tc>
        <w:tc>
          <w:tcPr>
            <w:tcW w:w="1843" w:type="dxa"/>
            <w:tcBorders>
              <w:top w:val="nil"/>
              <w:left w:val="nil"/>
              <w:bottom w:val="single" w:sz="4" w:space="0" w:color="auto"/>
              <w:right w:val="single" w:sz="4" w:space="0" w:color="auto"/>
            </w:tcBorders>
            <w:shd w:val="clear" w:color="auto" w:fill="auto"/>
            <w:noWrap/>
            <w:vAlign w:val="bottom"/>
            <w:hideMark/>
          </w:tcPr>
          <w:p w14:paraId="05EF42D6" w14:textId="77777777" w:rsidR="00290A8A" w:rsidRPr="00BD218E" w:rsidRDefault="004A7A82">
            <w:pPr>
              <w:jc w:val="right"/>
              <w:rPr>
                <w:color w:val="000000"/>
              </w:rPr>
            </w:pPr>
            <w:r w:rsidRPr="00BD218E">
              <w:rPr>
                <w:color w:val="000000"/>
              </w:rPr>
              <w:t>75%</w:t>
            </w:r>
          </w:p>
        </w:tc>
        <w:tc>
          <w:tcPr>
            <w:tcW w:w="1842" w:type="dxa"/>
            <w:tcBorders>
              <w:top w:val="nil"/>
              <w:left w:val="nil"/>
              <w:bottom w:val="single" w:sz="4" w:space="0" w:color="auto"/>
              <w:right w:val="single" w:sz="4" w:space="0" w:color="auto"/>
            </w:tcBorders>
          </w:tcPr>
          <w:p w14:paraId="46E3B3FB" w14:textId="77777777" w:rsidR="00290A8A" w:rsidRPr="00BD218E" w:rsidRDefault="004A7A82">
            <w:pPr>
              <w:jc w:val="right"/>
              <w:rPr>
                <w:color w:val="000000"/>
              </w:rPr>
            </w:pPr>
            <w:r w:rsidRPr="00BD218E">
              <w:rPr>
                <w:color w:val="000000"/>
              </w:rPr>
              <w:t>0%</w:t>
            </w:r>
          </w:p>
        </w:tc>
      </w:tr>
      <w:tr w:rsidR="00C92CD8" w14:paraId="02C5E7F6" w14:textId="77777777">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4857FC3E" w14:textId="77777777" w:rsidR="00290A8A" w:rsidRPr="00BD218E" w:rsidRDefault="004A7A82">
            <w:pPr>
              <w:rPr>
                <w:color w:val="000000"/>
              </w:rPr>
            </w:pPr>
            <w:r w:rsidRPr="00BD218E">
              <w:rPr>
                <w:color w:val="000000"/>
              </w:rPr>
              <w:t>12 months and within 2 years</w:t>
            </w:r>
          </w:p>
        </w:tc>
        <w:tc>
          <w:tcPr>
            <w:tcW w:w="1843" w:type="dxa"/>
            <w:tcBorders>
              <w:top w:val="nil"/>
              <w:left w:val="nil"/>
              <w:bottom w:val="single" w:sz="4" w:space="0" w:color="auto"/>
              <w:right w:val="single" w:sz="4" w:space="0" w:color="auto"/>
            </w:tcBorders>
            <w:shd w:val="clear" w:color="auto" w:fill="auto"/>
            <w:noWrap/>
            <w:vAlign w:val="bottom"/>
            <w:hideMark/>
          </w:tcPr>
          <w:p w14:paraId="7274B947" w14:textId="77777777" w:rsidR="00290A8A" w:rsidRPr="00BD218E" w:rsidRDefault="004A7A82">
            <w:pPr>
              <w:jc w:val="right"/>
              <w:rPr>
                <w:color w:val="000000"/>
              </w:rPr>
            </w:pPr>
            <w:r w:rsidRPr="00BD218E">
              <w:rPr>
                <w:color w:val="000000"/>
              </w:rPr>
              <w:t>75%</w:t>
            </w:r>
          </w:p>
        </w:tc>
        <w:tc>
          <w:tcPr>
            <w:tcW w:w="1842" w:type="dxa"/>
            <w:tcBorders>
              <w:top w:val="nil"/>
              <w:left w:val="nil"/>
              <w:bottom w:val="single" w:sz="4" w:space="0" w:color="auto"/>
              <w:right w:val="single" w:sz="4" w:space="0" w:color="auto"/>
            </w:tcBorders>
          </w:tcPr>
          <w:p w14:paraId="02F4C212" w14:textId="77777777" w:rsidR="00290A8A" w:rsidRPr="00BD218E" w:rsidRDefault="004A7A82">
            <w:pPr>
              <w:jc w:val="right"/>
              <w:rPr>
                <w:color w:val="000000"/>
              </w:rPr>
            </w:pPr>
            <w:r w:rsidRPr="00BD218E">
              <w:rPr>
                <w:color w:val="000000"/>
              </w:rPr>
              <w:t>0%</w:t>
            </w:r>
          </w:p>
        </w:tc>
      </w:tr>
      <w:tr w:rsidR="00C92CD8" w14:paraId="59ACC6BB" w14:textId="77777777">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7D607D6A" w14:textId="77777777" w:rsidR="00290A8A" w:rsidRPr="00BD218E" w:rsidRDefault="004A7A82">
            <w:pPr>
              <w:rPr>
                <w:color w:val="000000"/>
              </w:rPr>
            </w:pPr>
            <w:r w:rsidRPr="00BD218E">
              <w:rPr>
                <w:color w:val="000000"/>
              </w:rPr>
              <w:t>2 years and within 5 years</w:t>
            </w:r>
          </w:p>
        </w:tc>
        <w:tc>
          <w:tcPr>
            <w:tcW w:w="1843" w:type="dxa"/>
            <w:tcBorders>
              <w:top w:val="nil"/>
              <w:left w:val="nil"/>
              <w:bottom w:val="single" w:sz="4" w:space="0" w:color="auto"/>
              <w:right w:val="single" w:sz="4" w:space="0" w:color="auto"/>
            </w:tcBorders>
            <w:shd w:val="clear" w:color="auto" w:fill="auto"/>
            <w:noWrap/>
            <w:vAlign w:val="bottom"/>
            <w:hideMark/>
          </w:tcPr>
          <w:p w14:paraId="79B8536B" w14:textId="77777777" w:rsidR="00290A8A" w:rsidRPr="00BD218E" w:rsidRDefault="004A7A82">
            <w:pPr>
              <w:jc w:val="right"/>
              <w:rPr>
                <w:color w:val="000000"/>
              </w:rPr>
            </w:pPr>
            <w:r w:rsidRPr="00BD218E">
              <w:rPr>
                <w:color w:val="000000"/>
              </w:rPr>
              <w:t>75%</w:t>
            </w:r>
          </w:p>
        </w:tc>
        <w:tc>
          <w:tcPr>
            <w:tcW w:w="1842" w:type="dxa"/>
            <w:tcBorders>
              <w:top w:val="nil"/>
              <w:left w:val="nil"/>
              <w:bottom w:val="single" w:sz="4" w:space="0" w:color="auto"/>
              <w:right w:val="single" w:sz="4" w:space="0" w:color="auto"/>
            </w:tcBorders>
          </w:tcPr>
          <w:p w14:paraId="2F653B9D" w14:textId="77777777" w:rsidR="00290A8A" w:rsidRPr="00BD218E" w:rsidRDefault="004A7A82">
            <w:pPr>
              <w:jc w:val="right"/>
              <w:rPr>
                <w:color w:val="000000"/>
              </w:rPr>
            </w:pPr>
            <w:r w:rsidRPr="00BD218E">
              <w:rPr>
                <w:color w:val="000000"/>
              </w:rPr>
              <w:t>0%</w:t>
            </w:r>
          </w:p>
        </w:tc>
      </w:tr>
      <w:tr w:rsidR="00C92CD8" w14:paraId="2166818F" w14:textId="77777777">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5450E5D3" w14:textId="77777777" w:rsidR="00290A8A" w:rsidRPr="00BD218E" w:rsidRDefault="004A7A82">
            <w:pPr>
              <w:rPr>
                <w:color w:val="000000"/>
              </w:rPr>
            </w:pPr>
            <w:r w:rsidRPr="00BD218E">
              <w:rPr>
                <w:color w:val="000000"/>
              </w:rPr>
              <w:t>5 years and within 10 years</w:t>
            </w:r>
          </w:p>
        </w:tc>
        <w:tc>
          <w:tcPr>
            <w:tcW w:w="1843" w:type="dxa"/>
            <w:tcBorders>
              <w:top w:val="nil"/>
              <w:left w:val="nil"/>
              <w:bottom w:val="single" w:sz="4" w:space="0" w:color="auto"/>
              <w:right w:val="single" w:sz="4" w:space="0" w:color="auto"/>
            </w:tcBorders>
            <w:shd w:val="clear" w:color="auto" w:fill="auto"/>
            <w:noWrap/>
            <w:vAlign w:val="bottom"/>
            <w:hideMark/>
          </w:tcPr>
          <w:p w14:paraId="3E8DAD17" w14:textId="77777777" w:rsidR="00290A8A" w:rsidRPr="00BD218E" w:rsidRDefault="004A7A82">
            <w:pPr>
              <w:jc w:val="right"/>
              <w:rPr>
                <w:color w:val="000000"/>
              </w:rPr>
            </w:pPr>
            <w:r w:rsidRPr="00BD218E">
              <w:rPr>
                <w:color w:val="000000"/>
              </w:rPr>
              <w:t>75%</w:t>
            </w:r>
          </w:p>
        </w:tc>
        <w:tc>
          <w:tcPr>
            <w:tcW w:w="1842" w:type="dxa"/>
            <w:tcBorders>
              <w:top w:val="nil"/>
              <w:left w:val="nil"/>
              <w:bottom w:val="single" w:sz="4" w:space="0" w:color="auto"/>
              <w:right w:val="single" w:sz="4" w:space="0" w:color="auto"/>
            </w:tcBorders>
          </w:tcPr>
          <w:p w14:paraId="5C36123C" w14:textId="77777777" w:rsidR="00290A8A" w:rsidRPr="00BD218E" w:rsidRDefault="004A7A82">
            <w:pPr>
              <w:jc w:val="right"/>
              <w:rPr>
                <w:color w:val="000000"/>
              </w:rPr>
            </w:pPr>
            <w:r w:rsidRPr="00BD218E">
              <w:rPr>
                <w:color w:val="000000"/>
              </w:rPr>
              <w:t>0%</w:t>
            </w:r>
          </w:p>
        </w:tc>
      </w:tr>
      <w:tr w:rsidR="00C92CD8" w14:paraId="6BBBDCD5" w14:textId="77777777">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748504CA" w14:textId="77777777" w:rsidR="00290A8A" w:rsidRPr="00BD218E" w:rsidRDefault="004A7A82">
            <w:pPr>
              <w:rPr>
                <w:color w:val="000000"/>
              </w:rPr>
            </w:pPr>
            <w:r w:rsidRPr="00BD218E">
              <w:rPr>
                <w:color w:val="000000"/>
              </w:rPr>
              <w:t>10 years and above</w:t>
            </w:r>
          </w:p>
        </w:tc>
        <w:tc>
          <w:tcPr>
            <w:tcW w:w="1843" w:type="dxa"/>
            <w:tcBorders>
              <w:top w:val="nil"/>
              <w:left w:val="nil"/>
              <w:bottom w:val="single" w:sz="4" w:space="0" w:color="auto"/>
              <w:right w:val="single" w:sz="4" w:space="0" w:color="auto"/>
            </w:tcBorders>
            <w:shd w:val="clear" w:color="auto" w:fill="auto"/>
            <w:noWrap/>
            <w:vAlign w:val="bottom"/>
            <w:hideMark/>
          </w:tcPr>
          <w:p w14:paraId="2E15C247" w14:textId="77777777" w:rsidR="00290A8A" w:rsidRPr="00BD218E" w:rsidRDefault="004A7A82">
            <w:pPr>
              <w:jc w:val="right"/>
              <w:rPr>
                <w:color w:val="000000"/>
              </w:rPr>
            </w:pPr>
            <w:r w:rsidRPr="00BD218E">
              <w:rPr>
                <w:color w:val="000000"/>
              </w:rPr>
              <w:t>75%</w:t>
            </w:r>
          </w:p>
        </w:tc>
        <w:tc>
          <w:tcPr>
            <w:tcW w:w="1842" w:type="dxa"/>
            <w:tcBorders>
              <w:top w:val="nil"/>
              <w:left w:val="nil"/>
              <w:bottom w:val="single" w:sz="4" w:space="0" w:color="auto"/>
              <w:right w:val="single" w:sz="4" w:space="0" w:color="auto"/>
            </w:tcBorders>
          </w:tcPr>
          <w:p w14:paraId="13CAF23D" w14:textId="77777777" w:rsidR="00290A8A" w:rsidRPr="00BD218E" w:rsidRDefault="004A7A82">
            <w:pPr>
              <w:jc w:val="right"/>
              <w:rPr>
                <w:color w:val="000000"/>
              </w:rPr>
            </w:pPr>
            <w:r w:rsidRPr="00BD218E">
              <w:rPr>
                <w:color w:val="000000"/>
              </w:rPr>
              <w:t>25%</w:t>
            </w:r>
          </w:p>
        </w:tc>
      </w:tr>
    </w:tbl>
    <w:p w14:paraId="2113CCF2" w14:textId="77777777" w:rsidR="00290A8A" w:rsidRDefault="00290A8A" w:rsidP="00290A8A">
      <w:pPr>
        <w:pStyle w:val="ListParagraph"/>
        <w:tabs>
          <w:tab w:val="left" w:pos="0"/>
        </w:tabs>
        <w:spacing w:line="276" w:lineRule="auto"/>
        <w:ind w:left="0"/>
        <w:rPr>
          <w:b/>
          <w:i/>
          <w:color w:val="000000"/>
        </w:rPr>
      </w:pPr>
    </w:p>
    <w:p w14:paraId="0FAA133E" w14:textId="77777777" w:rsidR="00290A8A" w:rsidRPr="00B62DDC" w:rsidRDefault="004A7A82" w:rsidP="00290A8A">
      <w:pPr>
        <w:pStyle w:val="ListParagraph"/>
        <w:tabs>
          <w:tab w:val="left" w:pos="0"/>
        </w:tabs>
        <w:spacing w:line="276" w:lineRule="auto"/>
        <w:ind w:left="0"/>
        <w:rPr>
          <w:b/>
          <w:iCs/>
          <w:color w:val="000000"/>
        </w:rPr>
      </w:pPr>
      <w:r w:rsidRPr="00B62DDC">
        <w:rPr>
          <w:b/>
          <w:iCs/>
          <w:color w:val="000000"/>
        </w:rPr>
        <w:t>Investments over 1 year</w:t>
      </w:r>
    </w:p>
    <w:p w14:paraId="0AB0F543" w14:textId="77777777" w:rsidR="00290A8A" w:rsidRPr="00BD218E" w:rsidRDefault="00290A8A" w:rsidP="00290A8A">
      <w:pPr>
        <w:pStyle w:val="ListParagraph"/>
        <w:tabs>
          <w:tab w:val="left" w:pos="0"/>
        </w:tabs>
        <w:spacing w:line="276" w:lineRule="auto"/>
        <w:ind w:left="0"/>
        <w:rPr>
          <w:b/>
          <w:i/>
          <w:color w:val="000000"/>
        </w:rPr>
      </w:pPr>
    </w:p>
    <w:p w14:paraId="41BDC69C" w14:textId="77777777" w:rsidR="00290A8A" w:rsidRPr="00BD218E" w:rsidRDefault="004A7A82" w:rsidP="00290A8A">
      <w:pPr>
        <w:tabs>
          <w:tab w:val="left" w:pos="0"/>
        </w:tabs>
        <w:jc w:val="both"/>
        <w:rPr>
          <w:color w:val="000000"/>
        </w:rPr>
      </w:pPr>
      <w:r w:rsidRPr="00BD218E">
        <w:rPr>
          <w:color w:val="000000"/>
        </w:rPr>
        <w:t xml:space="preserve">Limit on the level of long-term investments helps to control liquidity, although </w:t>
      </w:r>
      <w:proofErr w:type="gramStart"/>
      <w:r w:rsidRPr="00BD218E">
        <w:rPr>
          <w:color w:val="000000"/>
        </w:rPr>
        <w:t>the majority</w:t>
      </w:r>
      <w:r>
        <w:rPr>
          <w:color w:val="000000"/>
        </w:rPr>
        <w:t xml:space="preserve"> </w:t>
      </w:r>
      <w:r w:rsidRPr="00BD218E">
        <w:rPr>
          <w:color w:val="000000"/>
        </w:rPr>
        <w:t>of</w:t>
      </w:r>
      <w:proofErr w:type="gramEnd"/>
      <w:r w:rsidRPr="00BD218E">
        <w:rPr>
          <w:color w:val="000000"/>
        </w:rPr>
        <w:t xml:space="preserve"> these investments are currently held in securities which are readily saleable. The limit is largely determined by the forecast of reserves and balances held at the year-end (currently forecast to be £800m). The level of investments will be managed to be in line with the estimated reserves and balances and cash flow </w:t>
      </w:r>
      <w:proofErr w:type="gramStart"/>
      <w:r w:rsidRPr="00BD218E">
        <w:rPr>
          <w:color w:val="000000"/>
        </w:rPr>
        <w:t>at</w:t>
      </w:r>
      <w:proofErr w:type="gramEnd"/>
      <w:r w:rsidRPr="00BD218E">
        <w:rPr>
          <w:color w:val="000000"/>
        </w:rPr>
        <w:t xml:space="preserve"> 31 March 2024 (deemed an operational limit which will be reviewed during the year). However, it is anticipated that there will be positive cash-flows in year which will require a higher level of investments to be held including bonds held specifically for liquidity purposes. Therefore, it is proposed that the limit for maturities </w:t>
      </w:r>
      <w:proofErr w:type="gramStart"/>
      <w:r w:rsidRPr="00BD218E">
        <w:rPr>
          <w:color w:val="000000"/>
        </w:rPr>
        <w:t>in excess of</w:t>
      </w:r>
      <w:proofErr w:type="gramEnd"/>
      <w:r w:rsidRPr="00BD218E">
        <w:rPr>
          <w:color w:val="000000"/>
        </w:rPr>
        <w:t xml:space="preserve"> one year is £1,200m for each of the years.</w:t>
      </w:r>
    </w:p>
    <w:p w14:paraId="28791C26" w14:textId="77777777" w:rsidR="00290A8A" w:rsidRPr="00BD218E" w:rsidRDefault="00290A8A" w:rsidP="00290A8A">
      <w:pPr>
        <w:tabs>
          <w:tab w:val="left" w:pos="0"/>
        </w:tabs>
        <w:jc w:val="both"/>
        <w:rPr>
          <w:color w:val="000000"/>
        </w:rPr>
      </w:pPr>
    </w:p>
    <w:tbl>
      <w:tblPr>
        <w:tblStyle w:val="TableGrid"/>
        <w:tblW w:w="9067" w:type="dxa"/>
        <w:tblLook w:val="04A0" w:firstRow="1" w:lastRow="0" w:firstColumn="1" w:lastColumn="0" w:noHBand="0" w:noVBand="1"/>
      </w:tblPr>
      <w:tblGrid>
        <w:gridCol w:w="7225"/>
        <w:gridCol w:w="1842"/>
      </w:tblGrid>
      <w:tr w:rsidR="00C92CD8" w14:paraId="2FFAACB4" w14:textId="77777777" w:rsidTr="00C92CD8">
        <w:trPr>
          <w:cnfStyle w:val="100000000000" w:firstRow="1" w:lastRow="0" w:firstColumn="0" w:lastColumn="0" w:oddVBand="0" w:evenVBand="0" w:oddHBand="0" w:evenHBand="0" w:firstRowFirstColumn="0" w:firstRowLastColumn="0" w:lastRowFirstColumn="0" w:lastRowLastColumn="0"/>
          <w:trHeight w:val="300"/>
        </w:trPr>
        <w:tc>
          <w:tcPr>
            <w:tcW w:w="7225" w:type="dxa"/>
            <w:noWrap/>
            <w:hideMark/>
          </w:tcPr>
          <w:p w14:paraId="4939B09A" w14:textId="77777777" w:rsidR="00290A8A" w:rsidRPr="00BD218E" w:rsidRDefault="004A7A82">
            <w:pPr>
              <w:rPr>
                <w:color w:val="000000"/>
              </w:rPr>
            </w:pPr>
            <w:r w:rsidRPr="00BD218E">
              <w:rPr>
                <w:color w:val="000000"/>
              </w:rPr>
              <w:t> </w:t>
            </w:r>
          </w:p>
        </w:tc>
        <w:tc>
          <w:tcPr>
            <w:tcW w:w="1842" w:type="dxa"/>
            <w:noWrap/>
            <w:hideMark/>
          </w:tcPr>
          <w:p w14:paraId="4538D2C5" w14:textId="77777777" w:rsidR="00290A8A" w:rsidRPr="00BD218E" w:rsidRDefault="004A7A82">
            <w:pPr>
              <w:jc w:val="center"/>
              <w:rPr>
                <w:color w:val="000000"/>
              </w:rPr>
            </w:pPr>
            <w:r w:rsidRPr="00BD218E">
              <w:rPr>
                <w:color w:val="000000"/>
              </w:rPr>
              <w:t>Upper limit</w:t>
            </w:r>
          </w:p>
        </w:tc>
      </w:tr>
      <w:tr w:rsidR="00C92CD8" w14:paraId="2C41938E" w14:textId="77777777" w:rsidTr="00C92CD8">
        <w:trPr>
          <w:cnfStyle w:val="000000100000" w:firstRow="0" w:lastRow="0" w:firstColumn="0" w:lastColumn="0" w:oddVBand="0" w:evenVBand="0" w:oddHBand="1" w:evenHBand="0" w:firstRowFirstColumn="0" w:firstRowLastColumn="0" w:lastRowFirstColumn="0" w:lastRowLastColumn="0"/>
          <w:trHeight w:val="300"/>
        </w:trPr>
        <w:tc>
          <w:tcPr>
            <w:tcW w:w="7225" w:type="dxa"/>
            <w:noWrap/>
            <w:hideMark/>
          </w:tcPr>
          <w:p w14:paraId="3EC046C3" w14:textId="77777777" w:rsidR="00290A8A" w:rsidRPr="00BD218E" w:rsidRDefault="004A7A82">
            <w:pPr>
              <w:rPr>
                <w:color w:val="000000"/>
              </w:rPr>
            </w:pPr>
            <w:r w:rsidRPr="00BD218E">
              <w:rPr>
                <w:color w:val="000000"/>
              </w:rPr>
              <w:t>Total invested over 1 year</w:t>
            </w:r>
          </w:p>
        </w:tc>
        <w:tc>
          <w:tcPr>
            <w:tcW w:w="1842" w:type="dxa"/>
            <w:noWrap/>
            <w:hideMark/>
          </w:tcPr>
          <w:p w14:paraId="71678AB7" w14:textId="77777777" w:rsidR="00290A8A" w:rsidRPr="00BD218E" w:rsidRDefault="004A7A82">
            <w:pPr>
              <w:jc w:val="center"/>
              <w:rPr>
                <w:color w:val="000000"/>
              </w:rPr>
            </w:pPr>
            <w:r w:rsidRPr="00BD218E">
              <w:rPr>
                <w:color w:val="000000"/>
              </w:rPr>
              <w:t>£1,200m</w:t>
            </w:r>
          </w:p>
        </w:tc>
      </w:tr>
      <w:tr w:rsidR="00C92CD8" w14:paraId="0F8B1A5A" w14:textId="77777777" w:rsidTr="00C92CD8">
        <w:trPr>
          <w:cnfStyle w:val="000000010000" w:firstRow="0" w:lastRow="0" w:firstColumn="0" w:lastColumn="0" w:oddVBand="0" w:evenVBand="0" w:oddHBand="0" w:evenHBand="1" w:firstRowFirstColumn="0" w:firstRowLastColumn="0" w:lastRowFirstColumn="0" w:lastRowLastColumn="0"/>
          <w:trHeight w:val="300"/>
        </w:trPr>
        <w:tc>
          <w:tcPr>
            <w:tcW w:w="7225" w:type="dxa"/>
            <w:noWrap/>
          </w:tcPr>
          <w:p w14:paraId="6AC678D6" w14:textId="77777777" w:rsidR="00290A8A" w:rsidRPr="00BD218E" w:rsidRDefault="004A7A82">
            <w:pPr>
              <w:rPr>
                <w:color w:val="000000"/>
              </w:rPr>
            </w:pPr>
            <w:r w:rsidRPr="00BD218E">
              <w:rPr>
                <w:color w:val="000000"/>
              </w:rPr>
              <w:t xml:space="preserve">Forecast </w:t>
            </w:r>
            <w:proofErr w:type="gramStart"/>
            <w:r w:rsidRPr="00BD218E">
              <w:rPr>
                <w:color w:val="000000"/>
              </w:rPr>
              <w:t>at</w:t>
            </w:r>
            <w:proofErr w:type="gramEnd"/>
            <w:r w:rsidRPr="00BD218E">
              <w:rPr>
                <w:color w:val="000000"/>
              </w:rPr>
              <w:t xml:space="preserve"> 31 March 202</w:t>
            </w:r>
            <w:r>
              <w:rPr>
                <w:color w:val="000000"/>
              </w:rPr>
              <w:t>5</w:t>
            </w:r>
          </w:p>
        </w:tc>
        <w:tc>
          <w:tcPr>
            <w:tcW w:w="1842" w:type="dxa"/>
            <w:noWrap/>
          </w:tcPr>
          <w:p w14:paraId="5B16AA2B" w14:textId="77777777" w:rsidR="00290A8A" w:rsidRPr="00BD218E" w:rsidRDefault="004A7A82">
            <w:pPr>
              <w:jc w:val="center"/>
              <w:rPr>
                <w:color w:val="000000"/>
              </w:rPr>
            </w:pPr>
            <w:r w:rsidRPr="00BD218E">
              <w:rPr>
                <w:color w:val="000000"/>
              </w:rPr>
              <w:t>£800m</w:t>
            </w:r>
          </w:p>
        </w:tc>
      </w:tr>
    </w:tbl>
    <w:p w14:paraId="667EA34B" w14:textId="77777777" w:rsidR="00290A8A" w:rsidRPr="00BD218E" w:rsidRDefault="00290A8A" w:rsidP="00290A8A">
      <w:pPr>
        <w:rPr>
          <w:b/>
          <w:i/>
          <w:color w:val="000000"/>
        </w:rPr>
      </w:pPr>
    </w:p>
    <w:p w14:paraId="234B61B8" w14:textId="77777777" w:rsidR="00290A8A" w:rsidRPr="00B62DDC" w:rsidRDefault="004A7A82" w:rsidP="00290A8A">
      <w:pPr>
        <w:rPr>
          <w:b/>
          <w:iCs/>
          <w:color w:val="000000"/>
        </w:rPr>
      </w:pPr>
      <w:r w:rsidRPr="00B62DDC">
        <w:rPr>
          <w:b/>
          <w:iCs/>
          <w:color w:val="000000"/>
        </w:rPr>
        <w:t>Minimum average credit rating</w:t>
      </w:r>
    </w:p>
    <w:p w14:paraId="1DF091C8" w14:textId="77777777" w:rsidR="00290A8A" w:rsidRPr="00BD218E" w:rsidRDefault="00290A8A" w:rsidP="00290A8A">
      <w:pPr>
        <w:rPr>
          <w:b/>
          <w:i/>
          <w:color w:val="000000"/>
        </w:rPr>
      </w:pPr>
    </w:p>
    <w:p w14:paraId="31157981" w14:textId="77777777" w:rsidR="00290A8A" w:rsidRPr="00BD218E" w:rsidRDefault="004A7A82" w:rsidP="00290A8A">
      <w:pPr>
        <w:jc w:val="both"/>
      </w:pPr>
      <w:r w:rsidRPr="00BD218E">
        <w:t>To control credit risk the council requires a very high credit rating from its treasury counterparties.</w:t>
      </w:r>
    </w:p>
    <w:p w14:paraId="1FE30728" w14:textId="77777777" w:rsidR="00290A8A" w:rsidRPr="00BD218E" w:rsidRDefault="00290A8A" w:rsidP="00290A8A">
      <w:pPr>
        <w:jc w:val="both"/>
      </w:pPr>
    </w:p>
    <w:tbl>
      <w:tblPr>
        <w:tblW w:w="9072" w:type="dxa"/>
        <w:tblInd w:w="-5" w:type="dxa"/>
        <w:tblLook w:val="04A0" w:firstRow="1" w:lastRow="0" w:firstColumn="1" w:lastColumn="0" w:noHBand="0" w:noVBand="1"/>
      </w:tblPr>
      <w:tblGrid>
        <w:gridCol w:w="7230"/>
        <w:gridCol w:w="1842"/>
      </w:tblGrid>
      <w:tr w:rsidR="00C92CD8" w14:paraId="5E4A30DC" w14:textId="77777777">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65355" w14:textId="77777777" w:rsidR="00290A8A" w:rsidRPr="00BD218E" w:rsidRDefault="00290A8A">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907E0DD" w14:textId="77777777" w:rsidR="00290A8A" w:rsidRPr="00BD218E" w:rsidRDefault="004A7A82">
            <w:pPr>
              <w:jc w:val="center"/>
              <w:rPr>
                <w:color w:val="000000"/>
              </w:rPr>
            </w:pPr>
            <w:r w:rsidRPr="00BD218E">
              <w:rPr>
                <w:color w:val="000000"/>
              </w:rPr>
              <w:t>Benchmark</w:t>
            </w:r>
          </w:p>
        </w:tc>
      </w:tr>
      <w:tr w:rsidR="00C92CD8" w14:paraId="24A5C9FA" w14:textId="77777777">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5F415910" w14:textId="77777777" w:rsidR="00290A8A" w:rsidRPr="00BD218E" w:rsidRDefault="004A7A82">
            <w:pPr>
              <w:rPr>
                <w:color w:val="000000"/>
              </w:rPr>
            </w:pPr>
            <w:r w:rsidRPr="00BD218E">
              <w:rPr>
                <w:color w:val="000000"/>
              </w:rPr>
              <w:t>Average counterparty credit rating</w:t>
            </w:r>
          </w:p>
        </w:tc>
        <w:tc>
          <w:tcPr>
            <w:tcW w:w="1842" w:type="dxa"/>
            <w:tcBorders>
              <w:top w:val="nil"/>
              <w:left w:val="nil"/>
              <w:bottom w:val="single" w:sz="4" w:space="0" w:color="auto"/>
              <w:right w:val="single" w:sz="4" w:space="0" w:color="auto"/>
            </w:tcBorders>
            <w:shd w:val="clear" w:color="auto" w:fill="auto"/>
            <w:noWrap/>
            <w:vAlign w:val="bottom"/>
          </w:tcPr>
          <w:p w14:paraId="69029F4A" w14:textId="77777777" w:rsidR="00290A8A" w:rsidRPr="00BD218E" w:rsidRDefault="004A7A82">
            <w:pPr>
              <w:jc w:val="center"/>
              <w:rPr>
                <w:color w:val="000000"/>
              </w:rPr>
            </w:pPr>
            <w:r w:rsidRPr="00BD218E">
              <w:rPr>
                <w:color w:val="000000"/>
              </w:rPr>
              <w:t>A</w:t>
            </w:r>
          </w:p>
        </w:tc>
      </w:tr>
    </w:tbl>
    <w:p w14:paraId="07424B79" w14:textId="77777777" w:rsidR="00290A8A" w:rsidRDefault="00290A8A" w:rsidP="00290A8A">
      <w:pPr>
        <w:spacing w:after="240"/>
        <w:jc w:val="both"/>
        <w:rPr>
          <w:b/>
          <w:iCs/>
          <w:color w:val="000000"/>
        </w:rPr>
      </w:pPr>
    </w:p>
    <w:p w14:paraId="76439A9A" w14:textId="77777777" w:rsidR="007C3DCE" w:rsidRDefault="007C3DCE" w:rsidP="00290A8A">
      <w:pPr>
        <w:spacing w:after="240"/>
        <w:jc w:val="both"/>
        <w:rPr>
          <w:b/>
          <w:iCs/>
          <w:color w:val="000000"/>
        </w:rPr>
      </w:pPr>
    </w:p>
    <w:p w14:paraId="7C252EF6" w14:textId="77777777" w:rsidR="007C3DCE" w:rsidRDefault="007C3DCE" w:rsidP="00290A8A">
      <w:pPr>
        <w:spacing w:after="240"/>
        <w:jc w:val="both"/>
        <w:rPr>
          <w:b/>
          <w:iCs/>
          <w:color w:val="000000"/>
        </w:rPr>
      </w:pPr>
    </w:p>
    <w:p w14:paraId="155617A8" w14:textId="77777777" w:rsidR="00290A8A" w:rsidRPr="00B62DDC" w:rsidRDefault="004A7A82" w:rsidP="00290A8A">
      <w:pPr>
        <w:spacing w:after="240"/>
        <w:jc w:val="both"/>
        <w:rPr>
          <w:b/>
          <w:bCs/>
          <w:iCs/>
          <w:sz w:val="28"/>
          <w:szCs w:val="28"/>
        </w:rPr>
      </w:pPr>
      <w:r w:rsidRPr="00B62DDC">
        <w:rPr>
          <w:b/>
          <w:iCs/>
          <w:color w:val="000000"/>
        </w:rPr>
        <w:lastRenderedPageBreak/>
        <w:t>Liquidity Risk Indicator</w:t>
      </w:r>
    </w:p>
    <w:tbl>
      <w:tblPr>
        <w:tblW w:w="9072" w:type="dxa"/>
        <w:tblInd w:w="-5" w:type="dxa"/>
        <w:tblLook w:val="04A0" w:firstRow="1" w:lastRow="0" w:firstColumn="1" w:lastColumn="0" w:noHBand="0" w:noVBand="1"/>
      </w:tblPr>
      <w:tblGrid>
        <w:gridCol w:w="7230"/>
        <w:gridCol w:w="1842"/>
      </w:tblGrid>
      <w:tr w:rsidR="00C92CD8" w14:paraId="1A20D27D" w14:textId="77777777">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65270" w14:textId="77777777" w:rsidR="00290A8A" w:rsidRPr="00BD218E" w:rsidRDefault="00290A8A">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3255454" w14:textId="77777777" w:rsidR="00290A8A" w:rsidRPr="00BD218E" w:rsidRDefault="004A7A82">
            <w:pPr>
              <w:jc w:val="center"/>
              <w:rPr>
                <w:color w:val="000000"/>
              </w:rPr>
            </w:pPr>
            <w:r w:rsidRPr="00BD218E">
              <w:rPr>
                <w:color w:val="000000"/>
              </w:rPr>
              <w:t>Target</w:t>
            </w:r>
          </w:p>
        </w:tc>
      </w:tr>
      <w:tr w:rsidR="00C92CD8" w14:paraId="6FFC7DCD" w14:textId="77777777">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7837D32F" w14:textId="77777777" w:rsidR="00290A8A" w:rsidRPr="00BD218E" w:rsidRDefault="004A7A82">
            <w:pPr>
              <w:rPr>
                <w:color w:val="000000"/>
              </w:rPr>
            </w:pPr>
            <w:r w:rsidRPr="00BD218E">
              <w:rPr>
                <w:color w:val="000000"/>
              </w:rPr>
              <w:t>Total sum borrowed in past 3 months without prior notice</w:t>
            </w:r>
          </w:p>
        </w:tc>
        <w:tc>
          <w:tcPr>
            <w:tcW w:w="1842" w:type="dxa"/>
            <w:tcBorders>
              <w:top w:val="nil"/>
              <w:left w:val="nil"/>
              <w:bottom w:val="single" w:sz="4" w:space="0" w:color="auto"/>
              <w:right w:val="single" w:sz="4" w:space="0" w:color="auto"/>
            </w:tcBorders>
            <w:shd w:val="clear" w:color="auto" w:fill="auto"/>
            <w:noWrap/>
            <w:vAlign w:val="bottom"/>
          </w:tcPr>
          <w:p w14:paraId="10ADA0BF" w14:textId="77777777" w:rsidR="00290A8A" w:rsidRPr="00BD218E" w:rsidRDefault="004A7A82">
            <w:pPr>
              <w:jc w:val="center"/>
              <w:rPr>
                <w:color w:val="000000"/>
              </w:rPr>
            </w:pPr>
            <w:r w:rsidRPr="00BD218E">
              <w:rPr>
                <w:color w:val="000000"/>
              </w:rPr>
              <w:t>£50m</w:t>
            </w:r>
          </w:p>
        </w:tc>
      </w:tr>
    </w:tbl>
    <w:p w14:paraId="44730713" w14:textId="77777777" w:rsidR="00290A8A" w:rsidRDefault="00290A8A" w:rsidP="00290A8A">
      <w:pPr>
        <w:jc w:val="both"/>
      </w:pPr>
    </w:p>
    <w:p w14:paraId="0BE3496F" w14:textId="77777777" w:rsidR="00290A8A" w:rsidRPr="006E3845" w:rsidRDefault="004A7A82" w:rsidP="00290A8A">
      <w:pPr>
        <w:jc w:val="both"/>
      </w:pPr>
      <w:r w:rsidRPr="00BD218E">
        <w:t>The council has adopted a voluntary measure of its exposure to liquidity risk by monitoring the amount it can borrow each quarter without giving prior notice.</w:t>
      </w:r>
    </w:p>
    <w:p w14:paraId="2984DF86" w14:textId="77777777" w:rsidR="00290A8A" w:rsidRDefault="00290A8A" w:rsidP="00290A8A">
      <w:pPr>
        <w:spacing w:after="240"/>
        <w:jc w:val="both"/>
        <w:rPr>
          <w:b/>
          <w:bCs/>
          <w:sz w:val="28"/>
          <w:szCs w:val="28"/>
        </w:rPr>
      </w:pPr>
    </w:p>
    <w:p w14:paraId="56508D9E" w14:textId="77777777" w:rsidR="00290A8A" w:rsidRDefault="00290A8A" w:rsidP="007A3349">
      <w:pPr>
        <w:autoSpaceDE w:val="0"/>
        <w:autoSpaceDN w:val="0"/>
        <w:adjustRightInd w:val="0"/>
        <w:jc w:val="both"/>
        <w:rPr>
          <w:rFonts w:eastAsia="Calibri" w:cs="Helvetica-Light"/>
          <w:b/>
          <w:bCs/>
          <w:color w:val="000000"/>
          <w:u w:val="single"/>
        </w:rPr>
      </w:pPr>
    </w:p>
    <w:p w14:paraId="20CDA89E" w14:textId="77777777" w:rsidR="00607344" w:rsidRDefault="00607344" w:rsidP="00320643">
      <w:pPr>
        <w:autoSpaceDE w:val="0"/>
        <w:autoSpaceDN w:val="0"/>
        <w:adjustRightInd w:val="0"/>
        <w:jc w:val="both"/>
        <w:rPr>
          <w:rFonts w:eastAsia="Calibri" w:cs="Helvetica-Light"/>
          <w:color w:val="000000"/>
        </w:rPr>
      </w:pPr>
    </w:p>
    <w:p w14:paraId="0C91CB2A" w14:textId="77777777" w:rsidR="004D2BE2" w:rsidRDefault="004D2BE2" w:rsidP="00320643">
      <w:pPr>
        <w:autoSpaceDE w:val="0"/>
        <w:autoSpaceDN w:val="0"/>
        <w:adjustRightInd w:val="0"/>
        <w:jc w:val="both"/>
        <w:rPr>
          <w:rFonts w:eastAsia="Calibri" w:cs="Helvetica-Light"/>
          <w:color w:val="000000"/>
        </w:rPr>
      </w:pPr>
    </w:p>
    <w:p w14:paraId="47BCDA0A" w14:textId="77777777" w:rsidR="007C3DCE" w:rsidRDefault="007C3DCE" w:rsidP="00320643">
      <w:pPr>
        <w:autoSpaceDE w:val="0"/>
        <w:autoSpaceDN w:val="0"/>
        <w:adjustRightInd w:val="0"/>
        <w:jc w:val="both"/>
        <w:rPr>
          <w:rFonts w:eastAsia="Calibri" w:cs="Helvetica-Light"/>
          <w:color w:val="000000"/>
        </w:rPr>
      </w:pPr>
    </w:p>
    <w:p w14:paraId="75D2FD7D" w14:textId="77777777" w:rsidR="007C3DCE" w:rsidRDefault="007C3DCE" w:rsidP="00320643">
      <w:pPr>
        <w:autoSpaceDE w:val="0"/>
        <w:autoSpaceDN w:val="0"/>
        <w:adjustRightInd w:val="0"/>
        <w:jc w:val="both"/>
        <w:rPr>
          <w:rFonts w:eastAsia="Calibri" w:cs="Helvetica-Light"/>
          <w:color w:val="000000"/>
        </w:rPr>
      </w:pPr>
    </w:p>
    <w:p w14:paraId="35F02C02" w14:textId="77777777" w:rsidR="007C3DCE" w:rsidRDefault="007C3DCE" w:rsidP="00320643">
      <w:pPr>
        <w:autoSpaceDE w:val="0"/>
        <w:autoSpaceDN w:val="0"/>
        <w:adjustRightInd w:val="0"/>
        <w:jc w:val="both"/>
        <w:rPr>
          <w:rFonts w:eastAsia="Calibri" w:cs="Helvetica-Light"/>
          <w:color w:val="000000"/>
        </w:rPr>
      </w:pPr>
    </w:p>
    <w:p w14:paraId="5DE165C6" w14:textId="77777777" w:rsidR="007C3DCE" w:rsidRDefault="007C3DCE" w:rsidP="00320643">
      <w:pPr>
        <w:autoSpaceDE w:val="0"/>
        <w:autoSpaceDN w:val="0"/>
        <w:adjustRightInd w:val="0"/>
        <w:jc w:val="both"/>
        <w:rPr>
          <w:rFonts w:eastAsia="Calibri" w:cs="Helvetica-Light"/>
          <w:color w:val="000000"/>
        </w:rPr>
      </w:pPr>
    </w:p>
    <w:p w14:paraId="426B0F29" w14:textId="77777777" w:rsidR="007C3DCE" w:rsidRDefault="007C3DCE" w:rsidP="00320643">
      <w:pPr>
        <w:autoSpaceDE w:val="0"/>
        <w:autoSpaceDN w:val="0"/>
        <w:adjustRightInd w:val="0"/>
        <w:jc w:val="both"/>
        <w:rPr>
          <w:rFonts w:eastAsia="Calibri" w:cs="Helvetica-Light"/>
          <w:color w:val="000000"/>
        </w:rPr>
      </w:pPr>
    </w:p>
    <w:p w14:paraId="238BEEFB" w14:textId="77777777" w:rsidR="007C3DCE" w:rsidRDefault="007C3DCE" w:rsidP="00320643">
      <w:pPr>
        <w:autoSpaceDE w:val="0"/>
        <w:autoSpaceDN w:val="0"/>
        <w:adjustRightInd w:val="0"/>
        <w:jc w:val="both"/>
        <w:rPr>
          <w:rFonts w:eastAsia="Calibri" w:cs="Helvetica-Light"/>
          <w:color w:val="000000"/>
        </w:rPr>
      </w:pPr>
    </w:p>
    <w:p w14:paraId="3FB59DFD" w14:textId="77777777" w:rsidR="007C3DCE" w:rsidRDefault="007C3DCE" w:rsidP="00320643">
      <w:pPr>
        <w:autoSpaceDE w:val="0"/>
        <w:autoSpaceDN w:val="0"/>
        <w:adjustRightInd w:val="0"/>
        <w:jc w:val="both"/>
        <w:rPr>
          <w:rFonts w:eastAsia="Calibri" w:cs="Helvetica-Light"/>
          <w:color w:val="000000"/>
        </w:rPr>
      </w:pPr>
    </w:p>
    <w:p w14:paraId="400E35F4" w14:textId="77777777" w:rsidR="007C3DCE" w:rsidRDefault="007C3DCE" w:rsidP="00320643">
      <w:pPr>
        <w:autoSpaceDE w:val="0"/>
        <w:autoSpaceDN w:val="0"/>
        <w:adjustRightInd w:val="0"/>
        <w:jc w:val="both"/>
        <w:rPr>
          <w:rFonts w:eastAsia="Calibri" w:cs="Helvetica-Light"/>
          <w:color w:val="000000"/>
        </w:rPr>
      </w:pPr>
    </w:p>
    <w:p w14:paraId="23319537" w14:textId="77777777" w:rsidR="007C3DCE" w:rsidRDefault="007C3DCE" w:rsidP="00320643">
      <w:pPr>
        <w:autoSpaceDE w:val="0"/>
        <w:autoSpaceDN w:val="0"/>
        <w:adjustRightInd w:val="0"/>
        <w:jc w:val="both"/>
        <w:rPr>
          <w:rFonts w:eastAsia="Calibri" w:cs="Helvetica-Light"/>
          <w:color w:val="000000"/>
        </w:rPr>
      </w:pPr>
    </w:p>
    <w:p w14:paraId="2154B871" w14:textId="77777777" w:rsidR="007C3DCE" w:rsidRDefault="007C3DCE" w:rsidP="00320643">
      <w:pPr>
        <w:autoSpaceDE w:val="0"/>
        <w:autoSpaceDN w:val="0"/>
        <w:adjustRightInd w:val="0"/>
        <w:jc w:val="both"/>
        <w:rPr>
          <w:rFonts w:eastAsia="Calibri" w:cs="Helvetica-Light"/>
          <w:color w:val="000000"/>
        </w:rPr>
      </w:pPr>
    </w:p>
    <w:p w14:paraId="5B477376" w14:textId="77777777" w:rsidR="007C3DCE" w:rsidRDefault="007C3DCE" w:rsidP="00320643">
      <w:pPr>
        <w:autoSpaceDE w:val="0"/>
        <w:autoSpaceDN w:val="0"/>
        <w:adjustRightInd w:val="0"/>
        <w:jc w:val="both"/>
        <w:rPr>
          <w:rFonts w:eastAsia="Calibri" w:cs="Helvetica-Light"/>
          <w:color w:val="000000"/>
        </w:rPr>
      </w:pPr>
    </w:p>
    <w:p w14:paraId="392159E1" w14:textId="77777777" w:rsidR="007C3DCE" w:rsidRDefault="007C3DCE" w:rsidP="00320643">
      <w:pPr>
        <w:autoSpaceDE w:val="0"/>
        <w:autoSpaceDN w:val="0"/>
        <w:adjustRightInd w:val="0"/>
        <w:jc w:val="both"/>
        <w:rPr>
          <w:rFonts w:eastAsia="Calibri" w:cs="Helvetica-Light"/>
          <w:color w:val="000000"/>
        </w:rPr>
      </w:pPr>
    </w:p>
    <w:p w14:paraId="436F44D8" w14:textId="77777777" w:rsidR="007C3DCE" w:rsidRDefault="007C3DCE" w:rsidP="00320643">
      <w:pPr>
        <w:autoSpaceDE w:val="0"/>
        <w:autoSpaceDN w:val="0"/>
        <w:adjustRightInd w:val="0"/>
        <w:jc w:val="both"/>
        <w:rPr>
          <w:rFonts w:eastAsia="Calibri" w:cs="Helvetica-Light"/>
          <w:color w:val="000000"/>
        </w:rPr>
      </w:pPr>
    </w:p>
    <w:p w14:paraId="06E1A7CB" w14:textId="77777777" w:rsidR="007C3DCE" w:rsidRDefault="007C3DCE" w:rsidP="00320643">
      <w:pPr>
        <w:autoSpaceDE w:val="0"/>
        <w:autoSpaceDN w:val="0"/>
        <w:adjustRightInd w:val="0"/>
        <w:jc w:val="both"/>
        <w:rPr>
          <w:rFonts w:eastAsia="Calibri" w:cs="Helvetica-Light"/>
          <w:color w:val="000000"/>
        </w:rPr>
      </w:pPr>
    </w:p>
    <w:p w14:paraId="7A3DCDF4" w14:textId="77777777" w:rsidR="007C3DCE" w:rsidRDefault="007C3DCE" w:rsidP="00320643">
      <w:pPr>
        <w:autoSpaceDE w:val="0"/>
        <w:autoSpaceDN w:val="0"/>
        <w:adjustRightInd w:val="0"/>
        <w:jc w:val="both"/>
        <w:rPr>
          <w:rFonts w:eastAsia="Calibri" w:cs="Helvetica-Light"/>
          <w:color w:val="000000"/>
        </w:rPr>
      </w:pPr>
    </w:p>
    <w:p w14:paraId="61AA8077" w14:textId="77777777" w:rsidR="007C3DCE" w:rsidRDefault="007C3DCE" w:rsidP="00320643">
      <w:pPr>
        <w:autoSpaceDE w:val="0"/>
        <w:autoSpaceDN w:val="0"/>
        <w:adjustRightInd w:val="0"/>
        <w:jc w:val="both"/>
        <w:rPr>
          <w:rFonts w:eastAsia="Calibri" w:cs="Helvetica-Light"/>
          <w:color w:val="000000"/>
        </w:rPr>
      </w:pPr>
    </w:p>
    <w:p w14:paraId="126838E5" w14:textId="77777777" w:rsidR="007C3DCE" w:rsidRDefault="007C3DCE" w:rsidP="00320643">
      <w:pPr>
        <w:autoSpaceDE w:val="0"/>
        <w:autoSpaceDN w:val="0"/>
        <w:adjustRightInd w:val="0"/>
        <w:jc w:val="both"/>
        <w:rPr>
          <w:rFonts w:eastAsia="Calibri" w:cs="Helvetica-Light"/>
          <w:color w:val="000000"/>
        </w:rPr>
      </w:pPr>
    </w:p>
    <w:p w14:paraId="25352451" w14:textId="77777777" w:rsidR="007C3DCE" w:rsidRDefault="007C3DCE" w:rsidP="00320643">
      <w:pPr>
        <w:autoSpaceDE w:val="0"/>
        <w:autoSpaceDN w:val="0"/>
        <w:adjustRightInd w:val="0"/>
        <w:jc w:val="both"/>
        <w:rPr>
          <w:rFonts w:eastAsia="Calibri" w:cs="Helvetica-Light"/>
          <w:color w:val="000000"/>
        </w:rPr>
      </w:pPr>
    </w:p>
    <w:p w14:paraId="76065AE2" w14:textId="77777777" w:rsidR="007C3DCE" w:rsidRDefault="007C3DCE" w:rsidP="00320643">
      <w:pPr>
        <w:autoSpaceDE w:val="0"/>
        <w:autoSpaceDN w:val="0"/>
        <w:adjustRightInd w:val="0"/>
        <w:jc w:val="both"/>
        <w:rPr>
          <w:rFonts w:eastAsia="Calibri" w:cs="Helvetica-Light"/>
          <w:color w:val="000000"/>
        </w:rPr>
      </w:pPr>
    </w:p>
    <w:p w14:paraId="6EE9E6F5" w14:textId="77777777" w:rsidR="007C3DCE" w:rsidRDefault="007C3DCE" w:rsidP="00320643">
      <w:pPr>
        <w:autoSpaceDE w:val="0"/>
        <w:autoSpaceDN w:val="0"/>
        <w:adjustRightInd w:val="0"/>
        <w:jc w:val="both"/>
        <w:rPr>
          <w:rFonts w:eastAsia="Calibri" w:cs="Helvetica-Light"/>
          <w:color w:val="000000"/>
        </w:rPr>
      </w:pPr>
    </w:p>
    <w:p w14:paraId="3A51E48E" w14:textId="77777777" w:rsidR="007C3DCE" w:rsidRDefault="007C3DCE" w:rsidP="00320643">
      <w:pPr>
        <w:autoSpaceDE w:val="0"/>
        <w:autoSpaceDN w:val="0"/>
        <w:adjustRightInd w:val="0"/>
        <w:jc w:val="both"/>
        <w:rPr>
          <w:rFonts w:eastAsia="Calibri" w:cs="Helvetica-Light"/>
          <w:color w:val="000000"/>
        </w:rPr>
      </w:pPr>
    </w:p>
    <w:p w14:paraId="62934D92" w14:textId="77777777" w:rsidR="007C3DCE" w:rsidRDefault="007C3DCE" w:rsidP="00320643">
      <w:pPr>
        <w:autoSpaceDE w:val="0"/>
        <w:autoSpaceDN w:val="0"/>
        <w:adjustRightInd w:val="0"/>
        <w:jc w:val="both"/>
        <w:rPr>
          <w:rFonts w:eastAsia="Calibri" w:cs="Helvetica-Light"/>
          <w:color w:val="000000"/>
        </w:rPr>
      </w:pPr>
    </w:p>
    <w:p w14:paraId="392D3649" w14:textId="77777777" w:rsidR="007C3DCE" w:rsidRDefault="007C3DCE" w:rsidP="00320643">
      <w:pPr>
        <w:autoSpaceDE w:val="0"/>
        <w:autoSpaceDN w:val="0"/>
        <w:adjustRightInd w:val="0"/>
        <w:jc w:val="both"/>
        <w:rPr>
          <w:rFonts w:eastAsia="Calibri" w:cs="Helvetica-Light"/>
          <w:color w:val="000000"/>
        </w:rPr>
      </w:pPr>
    </w:p>
    <w:p w14:paraId="0BC1CFF5" w14:textId="77777777" w:rsidR="007C3DCE" w:rsidRDefault="007C3DCE" w:rsidP="00320643">
      <w:pPr>
        <w:autoSpaceDE w:val="0"/>
        <w:autoSpaceDN w:val="0"/>
        <w:adjustRightInd w:val="0"/>
        <w:jc w:val="both"/>
        <w:rPr>
          <w:rFonts w:eastAsia="Calibri" w:cs="Helvetica-Light"/>
          <w:color w:val="000000"/>
        </w:rPr>
      </w:pPr>
    </w:p>
    <w:p w14:paraId="14518369" w14:textId="77777777" w:rsidR="007C3DCE" w:rsidRDefault="007C3DCE" w:rsidP="00320643">
      <w:pPr>
        <w:autoSpaceDE w:val="0"/>
        <w:autoSpaceDN w:val="0"/>
        <w:adjustRightInd w:val="0"/>
        <w:jc w:val="both"/>
        <w:rPr>
          <w:rFonts w:eastAsia="Calibri" w:cs="Helvetica-Light"/>
          <w:color w:val="000000"/>
        </w:rPr>
      </w:pPr>
    </w:p>
    <w:p w14:paraId="0BEED055" w14:textId="77777777" w:rsidR="007C3DCE" w:rsidRDefault="007C3DCE" w:rsidP="00320643">
      <w:pPr>
        <w:autoSpaceDE w:val="0"/>
        <w:autoSpaceDN w:val="0"/>
        <w:adjustRightInd w:val="0"/>
        <w:jc w:val="both"/>
        <w:rPr>
          <w:rFonts w:eastAsia="Calibri" w:cs="Helvetica-Light"/>
          <w:color w:val="000000"/>
        </w:rPr>
      </w:pPr>
    </w:p>
    <w:p w14:paraId="1A651993" w14:textId="77777777" w:rsidR="007C3DCE" w:rsidRDefault="007C3DCE" w:rsidP="00320643">
      <w:pPr>
        <w:autoSpaceDE w:val="0"/>
        <w:autoSpaceDN w:val="0"/>
        <w:adjustRightInd w:val="0"/>
        <w:jc w:val="both"/>
        <w:rPr>
          <w:rFonts w:eastAsia="Calibri" w:cs="Helvetica-Light"/>
          <w:color w:val="000000"/>
        </w:rPr>
      </w:pPr>
    </w:p>
    <w:p w14:paraId="24B61FF6" w14:textId="77777777" w:rsidR="007C3DCE" w:rsidRDefault="007C3DCE" w:rsidP="00320643">
      <w:pPr>
        <w:autoSpaceDE w:val="0"/>
        <w:autoSpaceDN w:val="0"/>
        <w:adjustRightInd w:val="0"/>
        <w:jc w:val="both"/>
        <w:rPr>
          <w:rFonts w:eastAsia="Calibri" w:cs="Helvetica-Light"/>
          <w:color w:val="000000"/>
        </w:rPr>
      </w:pPr>
    </w:p>
    <w:p w14:paraId="427AFF9A" w14:textId="77777777" w:rsidR="007C3DCE" w:rsidRDefault="007C3DCE" w:rsidP="00320643">
      <w:pPr>
        <w:autoSpaceDE w:val="0"/>
        <w:autoSpaceDN w:val="0"/>
        <w:adjustRightInd w:val="0"/>
        <w:jc w:val="both"/>
        <w:rPr>
          <w:rFonts w:eastAsia="Calibri" w:cs="Helvetica-Light"/>
          <w:color w:val="000000"/>
        </w:rPr>
      </w:pPr>
    </w:p>
    <w:p w14:paraId="10BF23BA" w14:textId="77777777" w:rsidR="007C3DCE" w:rsidRDefault="007C3DCE" w:rsidP="00320643">
      <w:pPr>
        <w:autoSpaceDE w:val="0"/>
        <w:autoSpaceDN w:val="0"/>
        <w:adjustRightInd w:val="0"/>
        <w:jc w:val="both"/>
        <w:rPr>
          <w:rFonts w:eastAsia="Calibri" w:cs="Helvetica-Light"/>
          <w:color w:val="000000"/>
        </w:rPr>
      </w:pPr>
    </w:p>
    <w:p w14:paraId="5E1A44F2" w14:textId="77777777" w:rsidR="007C3DCE" w:rsidRDefault="007C3DCE" w:rsidP="00320643">
      <w:pPr>
        <w:autoSpaceDE w:val="0"/>
        <w:autoSpaceDN w:val="0"/>
        <w:adjustRightInd w:val="0"/>
        <w:jc w:val="both"/>
        <w:rPr>
          <w:rFonts w:eastAsia="Calibri" w:cs="Helvetica-Light"/>
          <w:color w:val="000000"/>
        </w:rPr>
      </w:pPr>
    </w:p>
    <w:p w14:paraId="498A2621" w14:textId="77777777" w:rsidR="007C3DCE" w:rsidRDefault="007C3DCE" w:rsidP="00320643">
      <w:pPr>
        <w:autoSpaceDE w:val="0"/>
        <w:autoSpaceDN w:val="0"/>
        <w:adjustRightInd w:val="0"/>
        <w:jc w:val="both"/>
        <w:rPr>
          <w:rFonts w:eastAsia="Calibri" w:cs="Helvetica-Light"/>
          <w:color w:val="000000"/>
        </w:rPr>
      </w:pPr>
    </w:p>
    <w:p w14:paraId="2AFD63AC" w14:textId="77777777" w:rsidR="007C3DCE" w:rsidRDefault="007C3DCE" w:rsidP="00320643">
      <w:pPr>
        <w:autoSpaceDE w:val="0"/>
        <w:autoSpaceDN w:val="0"/>
        <w:adjustRightInd w:val="0"/>
        <w:jc w:val="both"/>
        <w:rPr>
          <w:rFonts w:eastAsia="Calibri" w:cs="Helvetica-Light"/>
          <w:color w:val="000000"/>
        </w:rPr>
      </w:pPr>
    </w:p>
    <w:p w14:paraId="600E4950" w14:textId="77777777" w:rsidR="007C3DCE" w:rsidRDefault="007C3DCE" w:rsidP="00320643">
      <w:pPr>
        <w:autoSpaceDE w:val="0"/>
        <w:autoSpaceDN w:val="0"/>
        <w:adjustRightInd w:val="0"/>
        <w:jc w:val="both"/>
        <w:rPr>
          <w:rFonts w:eastAsia="Calibri" w:cs="Helvetica-Light"/>
          <w:color w:val="000000"/>
        </w:rPr>
      </w:pPr>
    </w:p>
    <w:p w14:paraId="10BF4279" w14:textId="77777777" w:rsidR="007C3DCE" w:rsidRDefault="007C3DCE" w:rsidP="00320643">
      <w:pPr>
        <w:autoSpaceDE w:val="0"/>
        <w:autoSpaceDN w:val="0"/>
        <w:adjustRightInd w:val="0"/>
        <w:jc w:val="both"/>
        <w:rPr>
          <w:rFonts w:eastAsia="Calibri" w:cs="Helvetica-Light"/>
          <w:color w:val="000000"/>
        </w:rPr>
      </w:pPr>
    </w:p>
    <w:p w14:paraId="220A1908" w14:textId="77777777" w:rsidR="007C3DCE" w:rsidRDefault="007C3DCE" w:rsidP="00320643">
      <w:pPr>
        <w:autoSpaceDE w:val="0"/>
        <w:autoSpaceDN w:val="0"/>
        <w:adjustRightInd w:val="0"/>
        <w:jc w:val="both"/>
        <w:rPr>
          <w:rFonts w:eastAsia="Calibri" w:cs="Helvetica-Light"/>
          <w:color w:val="000000"/>
        </w:rPr>
      </w:pPr>
    </w:p>
    <w:p w14:paraId="56E7D6AA" w14:textId="77777777" w:rsidR="007C3DCE" w:rsidRDefault="007C3DCE" w:rsidP="00320643">
      <w:pPr>
        <w:autoSpaceDE w:val="0"/>
        <w:autoSpaceDN w:val="0"/>
        <w:adjustRightInd w:val="0"/>
        <w:jc w:val="both"/>
        <w:rPr>
          <w:rFonts w:eastAsia="Calibri" w:cs="Helvetica-Light"/>
          <w:color w:val="000000"/>
        </w:rPr>
      </w:pPr>
    </w:p>
    <w:p w14:paraId="3B88BCAA" w14:textId="77777777" w:rsidR="007C3DCE" w:rsidRDefault="007C3DCE" w:rsidP="00320643">
      <w:pPr>
        <w:autoSpaceDE w:val="0"/>
        <w:autoSpaceDN w:val="0"/>
        <w:adjustRightInd w:val="0"/>
        <w:jc w:val="both"/>
        <w:rPr>
          <w:rFonts w:eastAsia="Calibri" w:cs="Helvetica-Light"/>
          <w:color w:val="000000"/>
        </w:rPr>
      </w:pPr>
    </w:p>
    <w:p w14:paraId="397C6293" w14:textId="55C65AA4" w:rsidR="004D2BE2" w:rsidRPr="005D0BB7" w:rsidRDefault="004A7A82" w:rsidP="00320643">
      <w:pPr>
        <w:autoSpaceDE w:val="0"/>
        <w:autoSpaceDN w:val="0"/>
        <w:adjustRightInd w:val="0"/>
        <w:jc w:val="both"/>
        <w:rPr>
          <w:rFonts w:eastAsia="Calibri" w:cs="Helvetica-Light"/>
          <w:b/>
          <w:bCs/>
          <w:color w:val="000000"/>
          <w:u w:val="single"/>
        </w:rPr>
      </w:pPr>
      <w:r w:rsidRPr="005D0BB7">
        <w:rPr>
          <w:rFonts w:eastAsia="Calibri" w:cs="Helvetica-Light"/>
          <w:b/>
          <w:bCs/>
          <w:color w:val="000000"/>
          <w:u w:val="single"/>
        </w:rPr>
        <w:lastRenderedPageBreak/>
        <w:t>Annex H</w:t>
      </w:r>
    </w:p>
    <w:p w14:paraId="47EE45E7" w14:textId="77777777" w:rsidR="005D0BB7" w:rsidRDefault="005D0BB7" w:rsidP="005D0BB7">
      <w:pPr>
        <w:jc w:val="both"/>
        <w:rPr>
          <w:rFonts w:eastAsia="Calibri" w:cs="Helvetica-Light"/>
          <w:color w:val="000000"/>
        </w:rPr>
      </w:pPr>
    </w:p>
    <w:p w14:paraId="1B8618EF" w14:textId="29FC1CEC" w:rsidR="00A64552" w:rsidRDefault="004A7A82" w:rsidP="005D0BB7">
      <w:pPr>
        <w:jc w:val="both"/>
        <w:rPr>
          <w:b/>
          <w:bCs/>
          <w:sz w:val="28"/>
          <w:szCs w:val="28"/>
        </w:rPr>
      </w:pPr>
      <w:r w:rsidRPr="00F86B98">
        <w:rPr>
          <w:b/>
          <w:bCs/>
          <w:sz w:val="28"/>
          <w:szCs w:val="28"/>
        </w:rPr>
        <w:t xml:space="preserve">Investment Strategy </w:t>
      </w:r>
      <w:r>
        <w:rPr>
          <w:b/>
          <w:bCs/>
          <w:sz w:val="28"/>
          <w:szCs w:val="28"/>
        </w:rPr>
        <w:t>2024/25</w:t>
      </w:r>
    </w:p>
    <w:p w14:paraId="027741A0" w14:textId="77777777" w:rsidR="00A64552" w:rsidRPr="003B62C1" w:rsidRDefault="004A7A82" w:rsidP="00A64552">
      <w:pPr>
        <w:spacing w:after="240"/>
        <w:jc w:val="both"/>
        <w:rPr>
          <w:b/>
          <w:bCs/>
        </w:rPr>
      </w:pPr>
      <w:r>
        <w:t>T</w:t>
      </w:r>
      <w:r w:rsidRPr="003B62C1">
        <w:t xml:space="preserve">he </w:t>
      </w:r>
      <w:r>
        <w:t>council</w:t>
      </w:r>
      <w:r w:rsidRPr="003B62C1">
        <w:t xml:space="preserve"> can make or hold investments for the following purposes: </w:t>
      </w:r>
    </w:p>
    <w:p w14:paraId="341D3E77" w14:textId="77777777" w:rsidR="00A64552" w:rsidRPr="003B62C1" w:rsidRDefault="004A7A82" w:rsidP="005838A0">
      <w:pPr>
        <w:pStyle w:val="ListParagraph"/>
        <w:numPr>
          <w:ilvl w:val="0"/>
          <w:numId w:val="44"/>
        </w:numPr>
        <w:spacing w:after="240"/>
        <w:ind w:left="567" w:right="-57" w:hanging="283"/>
        <w:jc w:val="both"/>
      </w:pPr>
      <w:r w:rsidRPr="003B62C1">
        <w:t xml:space="preserve">because it has surplus cash </w:t>
      </w:r>
      <w:proofErr w:type="gramStart"/>
      <w:r w:rsidRPr="003B62C1">
        <w:t>as a result of</w:t>
      </w:r>
      <w:proofErr w:type="gramEnd"/>
      <w:r w:rsidRPr="003B62C1">
        <w:t xml:space="preserve"> its day-to-day activities, for example when income is received in advance of expenditure (known as treasury management investments),</w:t>
      </w:r>
    </w:p>
    <w:p w14:paraId="60F21C92" w14:textId="77777777" w:rsidR="00A64552" w:rsidRPr="00E874FB" w:rsidRDefault="004A7A82" w:rsidP="005838A0">
      <w:pPr>
        <w:pStyle w:val="ListParagraph"/>
        <w:numPr>
          <w:ilvl w:val="0"/>
          <w:numId w:val="44"/>
        </w:numPr>
        <w:spacing w:after="240"/>
        <w:ind w:left="567" w:hanging="283"/>
        <w:jc w:val="both"/>
        <w:rPr>
          <w:bCs/>
        </w:rPr>
      </w:pPr>
      <w:r w:rsidRPr="00E874FB">
        <w:rPr>
          <w:bCs/>
        </w:rPr>
        <w:t>support local public services by lending to or buying shares in other    organisations (service investments), and</w:t>
      </w:r>
    </w:p>
    <w:p w14:paraId="433EE681" w14:textId="77777777" w:rsidR="00A64552" w:rsidRPr="00E874FB" w:rsidRDefault="004A7A82" w:rsidP="005838A0">
      <w:pPr>
        <w:pStyle w:val="ListParagraph"/>
        <w:numPr>
          <w:ilvl w:val="0"/>
          <w:numId w:val="44"/>
        </w:numPr>
        <w:spacing w:after="240"/>
        <w:ind w:left="567" w:hanging="283"/>
        <w:jc w:val="both"/>
        <w:rPr>
          <w:bCs/>
        </w:rPr>
      </w:pPr>
      <w:r w:rsidRPr="00E874FB">
        <w:rPr>
          <w:bCs/>
        </w:rPr>
        <w:t>earn investment income (commercial investments)</w:t>
      </w:r>
    </w:p>
    <w:p w14:paraId="5F1DB80E" w14:textId="77777777" w:rsidR="00A64552" w:rsidRPr="009843D7" w:rsidRDefault="004A7A82" w:rsidP="00A64552">
      <w:pPr>
        <w:spacing w:after="240"/>
        <w:jc w:val="both"/>
        <w:rPr>
          <w:bCs/>
        </w:rPr>
      </w:pPr>
      <w:r>
        <w:rPr>
          <w:bCs/>
        </w:rPr>
        <w:t xml:space="preserve">In making investments the council will take into consideration guidance issued by </w:t>
      </w:r>
      <w:r w:rsidRPr="003408EB">
        <w:rPr>
          <w:bCs/>
        </w:rPr>
        <w:t>Chartered institute of Public Finance and Accountancy</w:t>
      </w:r>
      <w:r>
        <w:rPr>
          <w:bCs/>
        </w:rPr>
        <w:t xml:space="preserve"> (CIPFA) and government departments. The Prudential Code issued by CIPFA states that l</w:t>
      </w:r>
      <w:r w:rsidRPr="003408EB">
        <w:rPr>
          <w:bCs/>
        </w:rPr>
        <w:t>ocal authorities should avoid exposing public funds to inappropriate or unquantified risk. The prime policy objective of their treasury management investment activities is the security of funds</w:t>
      </w:r>
      <w:r>
        <w:rPr>
          <w:bCs/>
        </w:rPr>
        <w:t>.</w:t>
      </w:r>
      <w:r w:rsidRPr="003408EB">
        <w:t xml:space="preserve"> </w:t>
      </w:r>
      <w:r w:rsidRPr="003408EB">
        <w:rPr>
          <w:bCs/>
        </w:rPr>
        <w:t>Investments for ‘commercial purposes’, which are taken primarily for financial return, are likely to be higher risk, and local authorities must not borrow to invest primarily for financial return</w:t>
      </w:r>
      <w:r>
        <w:rPr>
          <w:bCs/>
        </w:rPr>
        <w:t xml:space="preserve">. </w:t>
      </w:r>
      <w:r w:rsidRPr="0047175F">
        <w:rPr>
          <w:bCs/>
        </w:rPr>
        <w:t xml:space="preserve">Statutory Guidance on Local Government Investments (3rd Edition) (Statutory Investment Guidance) issued by the </w:t>
      </w:r>
      <w:r>
        <w:rPr>
          <w:bCs/>
        </w:rPr>
        <w:t xml:space="preserve">then </w:t>
      </w:r>
      <w:r w:rsidRPr="0047175F">
        <w:rPr>
          <w:bCs/>
        </w:rPr>
        <w:t>Ministry for Housing, Communities and Local Government</w:t>
      </w:r>
      <w:r>
        <w:rPr>
          <w:bCs/>
        </w:rPr>
        <w:t xml:space="preserve"> (MHCLG)</w:t>
      </w:r>
      <w:r w:rsidRPr="0047175F">
        <w:rPr>
          <w:bCs/>
        </w:rPr>
        <w:t xml:space="preserve"> </w:t>
      </w:r>
      <w:r>
        <w:rPr>
          <w:bCs/>
        </w:rPr>
        <w:t xml:space="preserve">also </w:t>
      </w:r>
      <w:r w:rsidRPr="00E874FB">
        <w:rPr>
          <w:bCs/>
        </w:rPr>
        <w:t xml:space="preserve">state local authorities must not borrow more than or in advance of their needs purely </w:t>
      </w:r>
      <w:proofErr w:type="gramStart"/>
      <w:r w:rsidRPr="00E874FB">
        <w:rPr>
          <w:bCs/>
        </w:rPr>
        <w:t>in order to</w:t>
      </w:r>
      <w:proofErr w:type="gramEnd"/>
      <w:r w:rsidRPr="00E874FB">
        <w:rPr>
          <w:bCs/>
        </w:rPr>
        <w:t xml:space="preserve"> profit from the investment of the extra sums borrowed</w:t>
      </w:r>
      <w:r w:rsidRPr="002C1C4A">
        <w:rPr>
          <w:bCs/>
        </w:rPr>
        <w:t>.</w:t>
      </w:r>
      <w:r>
        <w:rPr>
          <w:bCs/>
        </w:rPr>
        <w:t xml:space="preserve"> The guidance </w:t>
      </w:r>
      <w:r w:rsidRPr="009843D7">
        <w:rPr>
          <w:bCs/>
        </w:rPr>
        <w:t>make</w:t>
      </w:r>
      <w:r>
        <w:rPr>
          <w:bCs/>
        </w:rPr>
        <w:t>s</w:t>
      </w:r>
      <w:r w:rsidRPr="009843D7">
        <w:rPr>
          <w:bCs/>
        </w:rPr>
        <w:t xml:space="preserve"> it clear that it extends to borrowing taken on to finance the acquisition of non-financial as well as financial investments.</w:t>
      </w:r>
    </w:p>
    <w:p w14:paraId="122ADF15" w14:textId="77777777" w:rsidR="00A64552" w:rsidRPr="000A4784" w:rsidRDefault="004A7A82" w:rsidP="00A64552">
      <w:pPr>
        <w:spacing w:after="240"/>
        <w:jc w:val="both"/>
        <w:rPr>
          <w:b/>
        </w:rPr>
      </w:pPr>
      <w:r w:rsidRPr="000A4784">
        <w:rPr>
          <w:b/>
        </w:rPr>
        <w:t>Treasury Management Investments</w:t>
      </w:r>
    </w:p>
    <w:p w14:paraId="11BCF4FC" w14:textId="77777777" w:rsidR="00A64552" w:rsidRDefault="004A7A82" w:rsidP="00A64552">
      <w:pPr>
        <w:spacing w:after="240"/>
        <w:jc w:val="both"/>
        <w:rPr>
          <w:bCs/>
        </w:rPr>
      </w:pPr>
      <w:r>
        <w:rPr>
          <w:bCs/>
        </w:rPr>
        <w:t xml:space="preserve">The authority holds reserves and in general the authority has positive cash flows with grants and other income often being received prior to the expenditure, such as payroll, being incurred. These along with the potential for borrowing being raised before the capital expenditure is incurred leads to positive cash balances which need investing. These investments are made in line with the guidance on treasury management issued by the </w:t>
      </w:r>
      <w:bookmarkStart w:id="16" w:name="_Hlk91773208"/>
      <w:r>
        <w:rPr>
          <w:bCs/>
        </w:rPr>
        <w:t xml:space="preserve">Chartered institute of </w:t>
      </w:r>
      <w:r w:rsidRPr="000A4784">
        <w:rPr>
          <w:bCs/>
        </w:rPr>
        <w:t>Public Finance and Accountancy</w:t>
      </w:r>
      <w:bookmarkEnd w:id="16"/>
      <w:r>
        <w:rPr>
          <w:bCs/>
        </w:rPr>
        <w:t>.</w:t>
      </w:r>
    </w:p>
    <w:p w14:paraId="190F1E8C" w14:textId="77777777" w:rsidR="00A64552" w:rsidRPr="000A4784" w:rsidRDefault="004A7A82" w:rsidP="00A64552">
      <w:pPr>
        <w:spacing w:after="240"/>
        <w:jc w:val="both"/>
        <w:rPr>
          <w:bCs/>
        </w:rPr>
      </w:pPr>
      <w:r w:rsidRPr="000A4784">
        <w:rPr>
          <w:bCs/>
        </w:rPr>
        <w:t xml:space="preserve">The contribution that these investments make to the objectives of the </w:t>
      </w:r>
      <w:r>
        <w:rPr>
          <w:bCs/>
        </w:rPr>
        <w:t>council</w:t>
      </w:r>
      <w:r w:rsidRPr="000A4784">
        <w:rPr>
          <w:bCs/>
        </w:rPr>
        <w:t xml:space="preserve"> is to support effective treasury management activities. </w:t>
      </w:r>
    </w:p>
    <w:p w14:paraId="7413A0C5" w14:textId="77777777" w:rsidR="00A64552" w:rsidRDefault="004A7A82" w:rsidP="00A64552">
      <w:pPr>
        <w:spacing w:after="240"/>
        <w:jc w:val="both"/>
        <w:rPr>
          <w:bCs/>
        </w:rPr>
      </w:pPr>
      <w:r w:rsidRPr="000A4784">
        <w:rPr>
          <w:bCs/>
        </w:rPr>
        <w:t xml:space="preserve">Full details of the </w:t>
      </w:r>
      <w:r>
        <w:rPr>
          <w:bCs/>
        </w:rPr>
        <w:t>council</w:t>
      </w:r>
      <w:r w:rsidRPr="000A4784">
        <w:rPr>
          <w:bCs/>
        </w:rPr>
        <w:t>’s policies and its plan for 202</w:t>
      </w:r>
      <w:r>
        <w:rPr>
          <w:bCs/>
        </w:rPr>
        <w:t>4</w:t>
      </w:r>
      <w:r w:rsidRPr="000A4784">
        <w:rPr>
          <w:bCs/>
        </w:rPr>
        <w:t>/2</w:t>
      </w:r>
      <w:r>
        <w:rPr>
          <w:bCs/>
        </w:rPr>
        <w:t>5</w:t>
      </w:r>
      <w:r w:rsidRPr="000A4784">
        <w:rPr>
          <w:bCs/>
        </w:rPr>
        <w:t xml:space="preserve"> for treasury management investments are covered in a separate document, the treasury management strategy</w:t>
      </w:r>
      <w:r>
        <w:rPr>
          <w:bCs/>
        </w:rPr>
        <w:t>.</w:t>
      </w:r>
    </w:p>
    <w:p w14:paraId="300BA372" w14:textId="77777777" w:rsidR="00A64552" w:rsidRPr="00571679" w:rsidRDefault="004A7A82" w:rsidP="00A64552">
      <w:pPr>
        <w:spacing w:after="240"/>
        <w:jc w:val="both"/>
        <w:rPr>
          <w:b/>
          <w:bCs/>
          <w:i/>
        </w:rPr>
      </w:pPr>
      <w:r w:rsidRPr="003408EB">
        <w:rPr>
          <w:b/>
        </w:rPr>
        <w:t>Service Investments</w:t>
      </w:r>
    </w:p>
    <w:p w14:paraId="498A2C3F" w14:textId="49FC6825" w:rsidR="00A64552" w:rsidRPr="00571679" w:rsidRDefault="004A7A82" w:rsidP="00A64552">
      <w:pPr>
        <w:spacing w:after="240"/>
        <w:jc w:val="both"/>
        <w:rPr>
          <w:bCs/>
        </w:rPr>
      </w:pPr>
      <w:r w:rsidRPr="00571679">
        <w:rPr>
          <w:bCs/>
        </w:rPr>
        <w:t>The council provides loans as part of its service delivery and not primarily to generate income. The authority has made loans to Lancashire County Development Ltd which is an owned company that promotes economic development within the county</w:t>
      </w:r>
      <w:r>
        <w:rPr>
          <w:bCs/>
        </w:rPr>
        <w:t>,</w:t>
      </w:r>
      <w:r w:rsidRPr="00571679">
        <w:rPr>
          <w:bCs/>
        </w:rPr>
        <w:t xml:space="preserve"> an arrangement with Blackpool </w:t>
      </w:r>
      <w:r w:rsidR="00B55A28">
        <w:rPr>
          <w:bCs/>
        </w:rPr>
        <w:t xml:space="preserve">Council </w:t>
      </w:r>
      <w:r w:rsidRPr="00571679">
        <w:rPr>
          <w:bCs/>
        </w:rPr>
        <w:t>with respect to the waste service</w:t>
      </w:r>
      <w:r>
        <w:rPr>
          <w:bCs/>
        </w:rPr>
        <w:t xml:space="preserve"> and schools</w:t>
      </w:r>
      <w:r w:rsidRPr="00571679">
        <w:rPr>
          <w:bCs/>
        </w:rPr>
        <w:t>. The council also has an employee loan scheme to promote alternatives to travelling by car.</w:t>
      </w:r>
    </w:p>
    <w:p w14:paraId="54D052F0" w14:textId="77777777" w:rsidR="00A64552" w:rsidRPr="00571679" w:rsidRDefault="004A7A82" w:rsidP="00A64552">
      <w:pPr>
        <w:spacing w:after="240"/>
        <w:jc w:val="both"/>
        <w:rPr>
          <w:bCs/>
        </w:rPr>
      </w:pPr>
      <w:r w:rsidRPr="00571679">
        <w:rPr>
          <w:bCs/>
        </w:rPr>
        <w:lastRenderedPageBreak/>
        <w:t>The key risk when making service loans is that the borrower is unable to repay the loan. Currently, the exposure faced by the council is low and it is proposed that this continues in 202</w:t>
      </w:r>
      <w:r>
        <w:rPr>
          <w:bCs/>
        </w:rPr>
        <w:t>4</w:t>
      </w:r>
      <w:r w:rsidRPr="00571679">
        <w:rPr>
          <w:bCs/>
        </w:rPr>
        <w:t>/2</w:t>
      </w:r>
      <w:r>
        <w:rPr>
          <w:bCs/>
        </w:rPr>
        <w:t>5</w:t>
      </w:r>
      <w:r w:rsidRPr="00571679">
        <w:rPr>
          <w:bCs/>
        </w:rPr>
        <w:t xml:space="preserve">. The table below provides details of the loans outstanding </w:t>
      </w:r>
      <w:proofErr w:type="gramStart"/>
      <w:r w:rsidRPr="00571679">
        <w:rPr>
          <w:bCs/>
        </w:rPr>
        <w:t>at</w:t>
      </w:r>
      <w:proofErr w:type="gramEnd"/>
      <w:r w:rsidRPr="00571679">
        <w:rPr>
          <w:bCs/>
        </w:rPr>
        <w:t xml:space="preserve"> 31 March 2</w:t>
      </w:r>
      <w:r>
        <w:rPr>
          <w:bCs/>
        </w:rPr>
        <w:t>3</w:t>
      </w:r>
      <w:r w:rsidRPr="00571679">
        <w:rPr>
          <w:bCs/>
        </w:rPr>
        <w:t xml:space="preserve"> and proposed limits for 202</w:t>
      </w:r>
      <w:r>
        <w:rPr>
          <w:bCs/>
        </w:rPr>
        <w:t>4</w:t>
      </w:r>
      <w:r w:rsidRPr="00571679">
        <w:rPr>
          <w:bCs/>
        </w:rPr>
        <w:t>/2</w:t>
      </w:r>
      <w:r>
        <w:rPr>
          <w:bCs/>
        </w:rPr>
        <w:t>5</w:t>
      </w:r>
      <w:r w:rsidRPr="00571679">
        <w:rPr>
          <w:bCs/>
        </w:rPr>
        <w:t>.</w:t>
      </w:r>
    </w:p>
    <w:tbl>
      <w:tblPr>
        <w:tblStyle w:val="TableGrid"/>
        <w:tblW w:w="0" w:type="auto"/>
        <w:tblLook w:val="04A0" w:firstRow="1" w:lastRow="0" w:firstColumn="1" w:lastColumn="0" w:noHBand="0" w:noVBand="1"/>
      </w:tblPr>
      <w:tblGrid>
        <w:gridCol w:w="3114"/>
        <w:gridCol w:w="2977"/>
        <w:gridCol w:w="2746"/>
      </w:tblGrid>
      <w:tr w:rsidR="00C92CD8" w14:paraId="20848074" w14:textId="77777777" w:rsidTr="00C92CD8">
        <w:trPr>
          <w:cnfStyle w:val="100000000000" w:firstRow="1" w:lastRow="0" w:firstColumn="0" w:lastColumn="0" w:oddVBand="0" w:evenVBand="0" w:oddHBand="0" w:evenHBand="0" w:firstRowFirstColumn="0" w:firstRowLastColumn="0" w:lastRowFirstColumn="0" w:lastRowLastColumn="0"/>
          <w:cantSplit/>
          <w:trHeight w:val="560"/>
        </w:trPr>
        <w:tc>
          <w:tcPr>
            <w:tcW w:w="3114" w:type="dxa"/>
            <w:shd w:val="clear" w:color="auto" w:fill="auto"/>
          </w:tcPr>
          <w:p w14:paraId="570AAA29" w14:textId="77777777" w:rsidR="00A64552" w:rsidRPr="00B24EDA" w:rsidRDefault="004A7A82">
            <w:pPr>
              <w:rPr>
                <w:bCs/>
              </w:rPr>
            </w:pPr>
            <w:r w:rsidRPr="00B24EDA">
              <w:rPr>
                <w:bCs/>
              </w:rPr>
              <w:t>Category of borrower</w:t>
            </w:r>
          </w:p>
        </w:tc>
        <w:tc>
          <w:tcPr>
            <w:tcW w:w="2977" w:type="dxa"/>
            <w:shd w:val="clear" w:color="auto" w:fill="auto"/>
          </w:tcPr>
          <w:p w14:paraId="4F2ED317" w14:textId="77777777" w:rsidR="00A64552" w:rsidRPr="00B24EDA" w:rsidRDefault="004A7A82">
            <w:pPr>
              <w:jc w:val="right"/>
              <w:rPr>
                <w:bCs/>
              </w:rPr>
            </w:pPr>
            <w:r w:rsidRPr="00B24EDA">
              <w:rPr>
                <w:bCs/>
              </w:rPr>
              <w:t xml:space="preserve">Outstanding at </w:t>
            </w:r>
          </w:p>
          <w:p w14:paraId="5264FE48" w14:textId="77777777" w:rsidR="00A64552" w:rsidRPr="00B24EDA" w:rsidRDefault="004A7A82">
            <w:pPr>
              <w:jc w:val="right"/>
              <w:rPr>
                <w:bCs/>
              </w:rPr>
            </w:pPr>
            <w:r w:rsidRPr="00B24EDA">
              <w:rPr>
                <w:bCs/>
              </w:rPr>
              <w:t>31 March 2</w:t>
            </w:r>
            <w:r>
              <w:rPr>
                <w:bCs/>
              </w:rPr>
              <w:t>3</w:t>
            </w:r>
          </w:p>
          <w:p w14:paraId="077C03B3" w14:textId="77777777" w:rsidR="00A64552" w:rsidRPr="00B24EDA" w:rsidRDefault="004A7A82">
            <w:pPr>
              <w:jc w:val="right"/>
              <w:rPr>
                <w:bCs/>
              </w:rPr>
            </w:pPr>
            <w:r w:rsidRPr="00B24EDA">
              <w:rPr>
                <w:bCs/>
              </w:rPr>
              <w:t>£m</w:t>
            </w:r>
          </w:p>
        </w:tc>
        <w:tc>
          <w:tcPr>
            <w:tcW w:w="2746" w:type="dxa"/>
          </w:tcPr>
          <w:p w14:paraId="3BA6A0F3" w14:textId="77777777" w:rsidR="00A64552" w:rsidRPr="00B24EDA" w:rsidRDefault="004A7A82">
            <w:pPr>
              <w:jc w:val="right"/>
              <w:rPr>
                <w:bCs/>
              </w:rPr>
            </w:pPr>
            <w:r w:rsidRPr="00B24EDA">
              <w:rPr>
                <w:bCs/>
              </w:rPr>
              <w:t xml:space="preserve">Proposed Limit </w:t>
            </w:r>
          </w:p>
          <w:p w14:paraId="02796997" w14:textId="77777777" w:rsidR="00A64552" w:rsidRPr="00B24EDA" w:rsidRDefault="004A7A82">
            <w:pPr>
              <w:jc w:val="right"/>
              <w:rPr>
                <w:bCs/>
              </w:rPr>
            </w:pPr>
            <w:r w:rsidRPr="00B24EDA">
              <w:rPr>
                <w:bCs/>
              </w:rPr>
              <w:t>202</w:t>
            </w:r>
            <w:r>
              <w:rPr>
                <w:bCs/>
              </w:rPr>
              <w:t>4</w:t>
            </w:r>
            <w:r w:rsidRPr="00B24EDA">
              <w:rPr>
                <w:bCs/>
              </w:rPr>
              <w:t>/2</w:t>
            </w:r>
            <w:r>
              <w:rPr>
                <w:bCs/>
              </w:rPr>
              <w:t>5</w:t>
            </w:r>
          </w:p>
          <w:p w14:paraId="06D47B22" w14:textId="77777777" w:rsidR="00A64552" w:rsidRPr="00B24EDA" w:rsidRDefault="004A7A82">
            <w:pPr>
              <w:jc w:val="right"/>
              <w:rPr>
                <w:bCs/>
              </w:rPr>
            </w:pPr>
            <w:r w:rsidRPr="00B24EDA">
              <w:rPr>
                <w:bCs/>
              </w:rPr>
              <w:t>£m</w:t>
            </w:r>
          </w:p>
        </w:tc>
      </w:tr>
      <w:tr w:rsidR="00C92CD8" w14:paraId="416A6BF3" w14:textId="77777777" w:rsidTr="00C92CD8">
        <w:trPr>
          <w:cnfStyle w:val="000000100000" w:firstRow="0" w:lastRow="0" w:firstColumn="0" w:lastColumn="0" w:oddVBand="0" w:evenVBand="0" w:oddHBand="1" w:evenHBand="0" w:firstRowFirstColumn="0" w:firstRowLastColumn="0" w:lastRowFirstColumn="0" w:lastRowLastColumn="0"/>
          <w:trHeight w:val="115"/>
        </w:trPr>
        <w:tc>
          <w:tcPr>
            <w:tcW w:w="3114" w:type="dxa"/>
            <w:shd w:val="clear" w:color="auto" w:fill="auto"/>
          </w:tcPr>
          <w:p w14:paraId="164095FC" w14:textId="77777777" w:rsidR="00A64552" w:rsidRPr="00B24EDA" w:rsidRDefault="004A7A82">
            <w:pPr>
              <w:jc w:val="both"/>
              <w:rPr>
                <w:bCs/>
              </w:rPr>
            </w:pPr>
            <w:r w:rsidRPr="00B24EDA">
              <w:rPr>
                <w:bCs/>
              </w:rPr>
              <w:t>Subsidiaries</w:t>
            </w:r>
          </w:p>
        </w:tc>
        <w:tc>
          <w:tcPr>
            <w:tcW w:w="2977" w:type="dxa"/>
            <w:shd w:val="clear" w:color="auto" w:fill="auto"/>
          </w:tcPr>
          <w:p w14:paraId="46C6A373" w14:textId="77777777" w:rsidR="00A64552" w:rsidRPr="00B24EDA" w:rsidRDefault="004A7A82">
            <w:pPr>
              <w:jc w:val="right"/>
              <w:rPr>
                <w:bCs/>
              </w:rPr>
            </w:pPr>
            <w:r w:rsidRPr="00B24EDA">
              <w:rPr>
                <w:bCs/>
              </w:rPr>
              <w:t>7.2</w:t>
            </w:r>
          </w:p>
        </w:tc>
        <w:tc>
          <w:tcPr>
            <w:tcW w:w="2746" w:type="dxa"/>
          </w:tcPr>
          <w:p w14:paraId="4D794C21" w14:textId="77777777" w:rsidR="00A64552" w:rsidRPr="00B24EDA" w:rsidRDefault="004A7A82">
            <w:pPr>
              <w:jc w:val="right"/>
              <w:rPr>
                <w:bCs/>
              </w:rPr>
            </w:pPr>
            <w:r w:rsidRPr="00B24EDA">
              <w:rPr>
                <w:bCs/>
              </w:rPr>
              <w:t>15.0</w:t>
            </w:r>
          </w:p>
        </w:tc>
      </w:tr>
      <w:tr w:rsidR="00C92CD8" w14:paraId="0907A413" w14:textId="77777777" w:rsidTr="00C92CD8">
        <w:trPr>
          <w:cnfStyle w:val="000000010000" w:firstRow="0" w:lastRow="0" w:firstColumn="0" w:lastColumn="0" w:oddVBand="0" w:evenVBand="0" w:oddHBand="0" w:evenHBand="1" w:firstRowFirstColumn="0" w:firstRowLastColumn="0" w:lastRowFirstColumn="0" w:lastRowLastColumn="0"/>
          <w:trHeight w:val="276"/>
        </w:trPr>
        <w:tc>
          <w:tcPr>
            <w:tcW w:w="3114" w:type="dxa"/>
            <w:shd w:val="clear" w:color="auto" w:fill="auto"/>
          </w:tcPr>
          <w:p w14:paraId="2ABC1A93" w14:textId="77777777" w:rsidR="00A64552" w:rsidRPr="00B24EDA" w:rsidRDefault="004A7A82">
            <w:pPr>
              <w:jc w:val="both"/>
              <w:rPr>
                <w:bCs/>
              </w:rPr>
            </w:pPr>
            <w:r w:rsidRPr="00B24EDA">
              <w:rPr>
                <w:bCs/>
              </w:rPr>
              <w:t>Other councils</w:t>
            </w:r>
          </w:p>
        </w:tc>
        <w:tc>
          <w:tcPr>
            <w:tcW w:w="2977" w:type="dxa"/>
            <w:shd w:val="clear" w:color="auto" w:fill="auto"/>
          </w:tcPr>
          <w:p w14:paraId="0D545651" w14:textId="77777777" w:rsidR="00A64552" w:rsidRPr="00B24EDA" w:rsidRDefault="004A7A82">
            <w:pPr>
              <w:jc w:val="right"/>
              <w:rPr>
                <w:bCs/>
              </w:rPr>
            </w:pPr>
            <w:r>
              <w:rPr>
                <w:bCs/>
              </w:rPr>
              <w:t>25.7</w:t>
            </w:r>
          </w:p>
        </w:tc>
        <w:tc>
          <w:tcPr>
            <w:tcW w:w="2746" w:type="dxa"/>
          </w:tcPr>
          <w:p w14:paraId="77801DE4" w14:textId="77777777" w:rsidR="00A64552" w:rsidRPr="00B24EDA" w:rsidRDefault="004A7A82">
            <w:pPr>
              <w:jc w:val="right"/>
              <w:rPr>
                <w:bCs/>
              </w:rPr>
            </w:pPr>
            <w:r w:rsidRPr="00B24EDA">
              <w:rPr>
                <w:bCs/>
              </w:rPr>
              <w:t>40.0</w:t>
            </w:r>
          </w:p>
        </w:tc>
      </w:tr>
      <w:tr w:rsidR="00C92CD8" w14:paraId="60D2F009" w14:textId="77777777" w:rsidTr="00C92CD8">
        <w:trPr>
          <w:cnfStyle w:val="000000100000" w:firstRow="0" w:lastRow="0" w:firstColumn="0" w:lastColumn="0" w:oddVBand="0" w:evenVBand="0" w:oddHBand="1" w:evenHBand="0" w:firstRowFirstColumn="0" w:firstRowLastColumn="0" w:lastRowFirstColumn="0" w:lastRowLastColumn="0"/>
          <w:trHeight w:val="281"/>
        </w:trPr>
        <w:tc>
          <w:tcPr>
            <w:tcW w:w="3114" w:type="dxa"/>
            <w:shd w:val="clear" w:color="auto" w:fill="auto"/>
          </w:tcPr>
          <w:p w14:paraId="052E2447" w14:textId="77777777" w:rsidR="00A64552" w:rsidRPr="00B24EDA" w:rsidRDefault="004A7A82">
            <w:pPr>
              <w:jc w:val="both"/>
              <w:rPr>
                <w:bCs/>
              </w:rPr>
            </w:pPr>
            <w:r w:rsidRPr="00B24EDA">
              <w:rPr>
                <w:bCs/>
              </w:rPr>
              <w:t>Employees</w:t>
            </w:r>
          </w:p>
        </w:tc>
        <w:tc>
          <w:tcPr>
            <w:tcW w:w="2977" w:type="dxa"/>
            <w:shd w:val="clear" w:color="auto" w:fill="auto"/>
          </w:tcPr>
          <w:p w14:paraId="5632742F" w14:textId="77777777" w:rsidR="00A64552" w:rsidRPr="00D47C69" w:rsidRDefault="004A7A82">
            <w:pPr>
              <w:jc w:val="right"/>
              <w:rPr>
                <w:bCs/>
                <w:highlight w:val="cyan"/>
              </w:rPr>
            </w:pPr>
            <w:r w:rsidRPr="00BE205E">
              <w:rPr>
                <w:bCs/>
              </w:rPr>
              <w:t>0.1</w:t>
            </w:r>
          </w:p>
        </w:tc>
        <w:tc>
          <w:tcPr>
            <w:tcW w:w="2746" w:type="dxa"/>
          </w:tcPr>
          <w:p w14:paraId="68A01859" w14:textId="77777777" w:rsidR="00A64552" w:rsidRPr="00B24EDA" w:rsidRDefault="004A7A82">
            <w:pPr>
              <w:jc w:val="right"/>
              <w:rPr>
                <w:bCs/>
              </w:rPr>
            </w:pPr>
            <w:r w:rsidRPr="00B24EDA">
              <w:rPr>
                <w:bCs/>
              </w:rPr>
              <w:t>1.0</w:t>
            </w:r>
          </w:p>
        </w:tc>
      </w:tr>
      <w:tr w:rsidR="00C92CD8" w14:paraId="7B65E45C" w14:textId="77777777" w:rsidTr="00C92CD8">
        <w:trPr>
          <w:cnfStyle w:val="000000010000" w:firstRow="0" w:lastRow="0" w:firstColumn="0" w:lastColumn="0" w:oddVBand="0" w:evenVBand="0" w:oddHBand="0" w:evenHBand="1" w:firstRowFirstColumn="0" w:firstRowLastColumn="0" w:lastRowFirstColumn="0" w:lastRowLastColumn="0"/>
          <w:trHeight w:val="286"/>
        </w:trPr>
        <w:tc>
          <w:tcPr>
            <w:tcW w:w="3114" w:type="dxa"/>
            <w:shd w:val="clear" w:color="auto" w:fill="auto"/>
          </w:tcPr>
          <w:p w14:paraId="174F8414" w14:textId="77777777" w:rsidR="00A64552" w:rsidRPr="00B24EDA" w:rsidRDefault="004A7A82">
            <w:pPr>
              <w:jc w:val="both"/>
              <w:rPr>
                <w:bCs/>
              </w:rPr>
            </w:pPr>
            <w:r w:rsidRPr="00B24EDA">
              <w:rPr>
                <w:bCs/>
              </w:rPr>
              <w:t>Schools</w:t>
            </w:r>
          </w:p>
        </w:tc>
        <w:tc>
          <w:tcPr>
            <w:tcW w:w="2977" w:type="dxa"/>
            <w:shd w:val="clear" w:color="auto" w:fill="auto"/>
          </w:tcPr>
          <w:p w14:paraId="608AC1F0" w14:textId="77777777" w:rsidR="00A64552" w:rsidRPr="00D47C69" w:rsidRDefault="004A7A82">
            <w:pPr>
              <w:jc w:val="right"/>
              <w:rPr>
                <w:bCs/>
              </w:rPr>
            </w:pPr>
            <w:r w:rsidRPr="00D47C69">
              <w:rPr>
                <w:bCs/>
              </w:rPr>
              <w:t>0.1</w:t>
            </w:r>
          </w:p>
        </w:tc>
        <w:tc>
          <w:tcPr>
            <w:tcW w:w="2746" w:type="dxa"/>
          </w:tcPr>
          <w:p w14:paraId="463F09C0" w14:textId="77777777" w:rsidR="00A64552" w:rsidRPr="00B24EDA" w:rsidRDefault="004A7A82">
            <w:pPr>
              <w:jc w:val="right"/>
              <w:rPr>
                <w:bCs/>
              </w:rPr>
            </w:pPr>
            <w:r w:rsidRPr="00B24EDA">
              <w:rPr>
                <w:bCs/>
              </w:rPr>
              <w:t>5.0</w:t>
            </w:r>
          </w:p>
        </w:tc>
      </w:tr>
      <w:tr w:rsidR="00C92CD8" w14:paraId="3E4092C2" w14:textId="77777777" w:rsidTr="00C92CD8">
        <w:trPr>
          <w:cnfStyle w:val="000000100000" w:firstRow="0" w:lastRow="0" w:firstColumn="0" w:lastColumn="0" w:oddVBand="0" w:evenVBand="0" w:oddHBand="1" w:evenHBand="0" w:firstRowFirstColumn="0" w:firstRowLastColumn="0" w:lastRowFirstColumn="0" w:lastRowLastColumn="0"/>
          <w:trHeight w:val="258"/>
        </w:trPr>
        <w:tc>
          <w:tcPr>
            <w:tcW w:w="3114" w:type="dxa"/>
            <w:shd w:val="clear" w:color="auto" w:fill="auto"/>
          </w:tcPr>
          <w:p w14:paraId="0EF6A6EB" w14:textId="77777777" w:rsidR="00A64552" w:rsidRPr="00B24EDA" w:rsidRDefault="004A7A82">
            <w:pPr>
              <w:jc w:val="both"/>
              <w:rPr>
                <w:b/>
                <w:bCs/>
              </w:rPr>
            </w:pPr>
            <w:r w:rsidRPr="00B24EDA">
              <w:rPr>
                <w:b/>
                <w:bCs/>
              </w:rPr>
              <w:t>Total</w:t>
            </w:r>
          </w:p>
        </w:tc>
        <w:tc>
          <w:tcPr>
            <w:tcW w:w="2977" w:type="dxa"/>
            <w:shd w:val="clear" w:color="auto" w:fill="auto"/>
          </w:tcPr>
          <w:p w14:paraId="276E44D6" w14:textId="77777777" w:rsidR="00A64552" w:rsidRPr="00B24EDA" w:rsidRDefault="004A7A82">
            <w:pPr>
              <w:jc w:val="right"/>
              <w:rPr>
                <w:b/>
                <w:bCs/>
              </w:rPr>
            </w:pPr>
            <w:r>
              <w:rPr>
                <w:b/>
                <w:bCs/>
              </w:rPr>
              <w:t>33.1</w:t>
            </w:r>
          </w:p>
        </w:tc>
        <w:tc>
          <w:tcPr>
            <w:tcW w:w="2746" w:type="dxa"/>
          </w:tcPr>
          <w:p w14:paraId="4C5399D0" w14:textId="77777777" w:rsidR="00A64552" w:rsidRPr="00B24EDA" w:rsidRDefault="004A7A82">
            <w:pPr>
              <w:jc w:val="right"/>
              <w:rPr>
                <w:b/>
                <w:bCs/>
              </w:rPr>
            </w:pPr>
            <w:r w:rsidRPr="00B24EDA">
              <w:rPr>
                <w:b/>
                <w:bCs/>
              </w:rPr>
              <w:t>61.0</w:t>
            </w:r>
          </w:p>
        </w:tc>
      </w:tr>
    </w:tbl>
    <w:p w14:paraId="3947849C" w14:textId="77777777" w:rsidR="003237B4" w:rsidRDefault="003237B4" w:rsidP="00A64552">
      <w:pPr>
        <w:spacing w:after="240"/>
        <w:jc w:val="both"/>
        <w:rPr>
          <w:b/>
          <w:bCs/>
          <w:iCs/>
        </w:rPr>
      </w:pPr>
    </w:p>
    <w:p w14:paraId="2E56A1E6" w14:textId="7A12AB6E" w:rsidR="00A64552" w:rsidRPr="000715BD" w:rsidRDefault="004A7A82" w:rsidP="00A64552">
      <w:pPr>
        <w:spacing w:after="240"/>
        <w:jc w:val="both"/>
        <w:rPr>
          <w:b/>
          <w:bCs/>
          <w:iCs/>
        </w:rPr>
      </w:pPr>
      <w:r w:rsidRPr="000715BD">
        <w:rPr>
          <w:b/>
          <w:bCs/>
          <w:iCs/>
        </w:rPr>
        <w:t>Service Investments: shares</w:t>
      </w:r>
    </w:p>
    <w:p w14:paraId="4C8DC2EE" w14:textId="77777777" w:rsidR="00A64552" w:rsidRPr="0047175F" w:rsidRDefault="004A7A82" w:rsidP="00A64552">
      <w:pPr>
        <w:spacing w:after="240"/>
        <w:jc w:val="both"/>
      </w:pPr>
      <w:r w:rsidRPr="00B24EDA">
        <w:rPr>
          <w:bCs/>
        </w:rPr>
        <w:t>The county council holds shares in the Municipal Bond Agency for specific service delivery objectives</w:t>
      </w:r>
      <w:r w:rsidRPr="00B24EDA">
        <w:rPr>
          <w:b/>
          <w:bCs/>
        </w:rPr>
        <w:t>.</w:t>
      </w:r>
      <w:r>
        <w:rPr>
          <w:b/>
          <w:bCs/>
        </w:rPr>
        <w:t xml:space="preserve"> </w:t>
      </w:r>
      <w:r w:rsidRPr="0047175F">
        <w:t>It is not expected that any significant return will be made on these shares.</w:t>
      </w:r>
    </w:p>
    <w:p w14:paraId="757BFE26" w14:textId="77777777" w:rsidR="00A64552" w:rsidRPr="000715BD" w:rsidRDefault="004A7A82" w:rsidP="00A64552">
      <w:pPr>
        <w:spacing w:after="240"/>
        <w:jc w:val="both"/>
        <w:rPr>
          <w:b/>
          <w:bCs/>
          <w:iCs/>
        </w:rPr>
      </w:pPr>
      <w:r w:rsidRPr="000715BD">
        <w:rPr>
          <w:b/>
          <w:bCs/>
          <w:iCs/>
        </w:rPr>
        <w:t>Commercial Activities</w:t>
      </w:r>
    </w:p>
    <w:p w14:paraId="30D1E1E8" w14:textId="77777777" w:rsidR="00A64552" w:rsidRPr="00B24EDA" w:rsidRDefault="004A7A82" w:rsidP="00A64552">
      <w:pPr>
        <w:spacing w:after="240"/>
        <w:jc w:val="both"/>
        <w:rPr>
          <w:bCs/>
        </w:rPr>
      </w:pPr>
      <w:r w:rsidRPr="00B24EDA">
        <w:rPr>
          <w:bCs/>
        </w:rPr>
        <w:t>The MHCLG defines property to be an investment if it is held primarily or partially to generate a profit. Although the council promotes income generating activity it is generally within the context of providing a service efficiently and covering costs rather than profit seeking. Areas where it is considered the definition is met is in relation to smallholdings and Lancashire County Development Ltd. In 202</w:t>
      </w:r>
      <w:r>
        <w:rPr>
          <w:bCs/>
        </w:rPr>
        <w:t>2</w:t>
      </w:r>
      <w:r w:rsidRPr="00B24EDA">
        <w:rPr>
          <w:bCs/>
        </w:rPr>
        <w:t>/2</w:t>
      </w:r>
      <w:r>
        <w:rPr>
          <w:bCs/>
        </w:rPr>
        <w:t>3</w:t>
      </w:r>
      <w:r w:rsidRPr="00B24EDA">
        <w:rPr>
          <w:bCs/>
        </w:rPr>
        <w:t xml:space="preserve"> the income generated from smallholdings was less than </w:t>
      </w:r>
      <w:r w:rsidRPr="002769D5">
        <w:rPr>
          <w:bCs/>
        </w:rPr>
        <w:t>£0.1m</w:t>
      </w:r>
      <w:r w:rsidRPr="007F1F00">
        <w:rPr>
          <w:bCs/>
        </w:rPr>
        <w:t xml:space="preserve"> while Lancashire County Developments Ltd </w:t>
      </w:r>
      <w:proofErr w:type="gramStart"/>
      <w:r w:rsidRPr="007F1F00">
        <w:rPr>
          <w:bCs/>
        </w:rPr>
        <w:t>made a contribution</w:t>
      </w:r>
      <w:proofErr w:type="gramEnd"/>
      <w:r w:rsidRPr="007F1F00">
        <w:rPr>
          <w:bCs/>
        </w:rPr>
        <w:t xml:space="preserve"> to costs of around £2m.</w:t>
      </w:r>
      <w:r w:rsidRPr="00B24EDA">
        <w:rPr>
          <w:bCs/>
        </w:rPr>
        <w:t xml:space="preserve"> </w:t>
      </w:r>
    </w:p>
    <w:p w14:paraId="7ED43C8C" w14:textId="77777777" w:rsidR="00A64552" w:rsidRDefault="004A7A82" w:rsidP="00A64552">
      <w:pPr>
        <w:spacing w:after="240"/>
        <w:jc w:val="both"/>
        <w:rPr>
          <w:bCs/>
        </w:rPr>
      </w:pPr>
      <w:r w:rsidRPr="00B24EDA">
        <w:rPr>
          <w:bCs/>
        </w:rPr>
        <w:t xml:space="preserve">Other investment proposals may arise during the year. The proposals could involve changes to current services or changing the use of existing assets. These will be examined by officers and approval sought from the appropriate council </w:t>
      </w:r>
      <w:r>
        <w:rPr>
          <w:bCs/>
        </w:rPr>
        <w:t>committee</w:t>
      </w:r>
      <w:r w:rsidRPr="00B24EDA">
        <w:rPr>
          <w:bCs/>
        </w:rPr>
        <w:t>.</w:t>
      </w:r>
    </w:p>
    <w:p w14:paraId="2F23BAB3" w14:textId="77777777" w:rsidR="00A64552" w:rsidRPr="005F691E" w:rsidRDefault="004A7A82" w:rsidP="00A64552">
      <w:pPr>
        <w:spacing w:after="240"/>
        <w:jc w:val="both"/>
        <w:rPr>
          <w:b/>
        </w:rPr>
      </w:pPr>
      <w:r w:rsidRPr="005F691E">
        <w:rPr>
          <w:b/>
        </w:rPr>
        <w:t>Total Investments</w:t>
      </w:r>
    </w:p>
    <w:p w14:paraId="08BE37FA" w14:textId="77777777" w:rsidR="00A64552" w:rsidRDefault="004A7A82" w:rsidP="00A64552">
      <w:pPr>
        <w:spacing w:after="240"/>
        <w:jc w:val="both"/>
        <w:rPr>
          <w:bCs/>
        </w:rPr>
      </w:pPr>
      <w:r>
        <w:rPr>
          <w:bCs/>
        </w:rPr>
        <w:t>The table below summarises the total investments:</w:t>
      </w:r>
    </w:p>
    <w:tbl>
      <w:tblPr>
        <w:tblStyle w:val="TableGrid"/>
        <w:tblW w:w="7764" w:type="dxa"/>
        <w:tblLook w:val="04A0" w:firstRow="1" w:lastRow="0" w:firstColumn="1" w:lastColumn="0" w:noHBand="0" w:noVBand="1"/>
      </w:tblPr>
      <w:tblGrid>
        <w:gridCol w:w="3798"/>
        <w:gridCol w:w="1322"/>
        <w:gridCol w:w="1322"/>
        <w:gridCol w:w="1322"/>
      </w:tblGrid>
      <w:tr w:rsidR="00C92CD8" w14:paraId="3FCB2523" w14:textId="77777777" w:rsidTr="00C92CD8">
        <w:trPr>
          <w:cnfStyle w:val="100000000000" w:firstRow="1" w:lastRow="0" w:firstColumn="0" w:lastColumn="0" w:oddVBand="0" w:evenVBand="0" w:oddHBand="0" w:evenHBand="0" w:firstRowFirstColumn="0" w:firstRowLastColumn="0" w:lastRowFirstColumn="0" w:lastRowLastColumn="0"/>
        </w:trPr>
        <w:tc>
          <w:tcPr>
            <w:tcW w:w="3798" w:type="dxa"/>
            <w:vAlign w:val="center"/>
          </w:tcPr>
          <w:p w14:paraId="04762839" w14:textId="77777777" w:rsidR="00A64552" w:rsidRPr="00075931" w:rsidRDefault="004A7A82">
            <w:pPr>
              <w:spacing w:before="60" w:after="60" w:line="276" w:lineRule="auto"/>
              <w:rPr>
                <w:b/>
                <w:sz w:val="22"/>
                <w:szCs w:val="22"/>
              </w:rPr>
            </w:pPr>
            <w:r w:rsidRPr="00075931">
              <w:rPr>
                <w:b/>
                <w:sz w:val="22"/>
                <w:szCs w:val="22"/>
              </w:rPr>
              <w:t>Total investment exposure</w:t>
            </w:r>
          </w:p>
        </w:tc>
        <w:tc>
          <w:tcPr>
            <w:tcW w:w="1322" w:type="dxa"/>
          </w:tcPr>
          <w:p w14:paraId="43F1C13D" w14:textId="77777777" w:rsidR="00A64552" w:rsidRPr="00075931" w:rsidRDefault="004A7A82">
            <w:pPr>
              <w:spacing w:before="60" w:after="60" w:line="276" w:lineRule="auto"/>
              <w:jc w:val="center"/>
              <w:rPr>
                <w:b/>
                <w:sz w:val="22"/>
                <w:szCs w:val="22"/>
              </w:rPr>
            </w:pPr>
            <w:r w:rsidRPr="00075931">
              <w:rPr>
                <w:b/>
                <w:sz w:val="22"/>
                <w:szCs w:val="22"/>
              </w:rPr>
              <w:t>31/03/202</w:t>
            </w:r>
            <w:r>
              <w:rPr>
                <w:b/>
                <w:sz w:val="22"/>
                <w:szCs w:val="22"/>
              </w:rPr>
              <w:t>3</w:t>
            </w:r>
            <w:r w:rsidRPr="00075931">
              <w:rPr>
                <w:b/>
                <w:sz w:val="22"/>
                <w:szCs w:val="22"/>
              </w:rPr>
              <w:t xml:space="preserve"> Actual</w:t>
            </w:r>
          </w:p>
        </w:tc>
        <w:tc>
          <w:tcPr>
            <w:tcW w:w="1322" w:type="dxa"/>
            <w:shd w:val="clear" w:color="auto" w:fill="FFFFFF" w:themeFill="background1"/>
          </w:tcPr>
          <w:p w14:paraId="2C8F1348" w14:textId="77777777" w:rsidR="00A64552" w:rsidRPr="00075931" w:rsidRDefault="004A7A82">
            <w:pPr>
              <w:spacing w:before="60" w:after="60" w:line="276" w:lineRule="auto"/>
              <w:jc w:val="center"/>
              <w:rPr>
                <w:b/>
                <w:sz w:val="22"/>
                <w:szCs w:val="22"/>
              </w:rPr>
            </w:pPr>
            <w:r w:rsidRPr="00075931">
              <w:rPr>
                <w:b/>
                <w:sz w:val="22"/>
                <w:szCs w:val="22"/>
              </w:rPr>
              <w:t>31/03/202</w:t>
            </w:r>
            <w:r>
              <w:rPr>
                <w:b/>
                <w:sz w:val="22"/>
                <w:szCs w:val="22"/>
              </w:rPr>
              <w:t xml:space="preserve">4 </w:t>
            </w:r>
            <w:r w:rsidRPr="00075931">
              <w:rPr>
                <w:b/>
                <w:sz w:val="22"/>
                <w:szCs w:val="22"/>
              </w:rPr>
              <w:t>Forecast</w:t>
            </w:r>
          </w:p>
        </w:tc>
        <w:tc>
          <w:tcPr>
            <w:tcW w:w="1322" w:type="dxa"/>
            <w:shd w:val="clear" w:color="auto" w:fill="CEDBE6" w:themeFill="background2"/>
          </w:tcPr>
          <w:p w14:paraId="07E38DFF" w14:textId="77777777" w:rsidR="00A64552" w:rsidRPr="00075931" w:rsidRDefault="004A7A82">
            <w:pPr>
              <w:spacing w:before="60" w:after="60" w:line="276" w:lineRule="auto"/>
              <w:jc w:val="center"/>
              <w:rPr>
                <w:b/>
                <w:sz w:val="22"/>
                <w:szCs w:val="22"/>
              </w:rPr>
            </w:pPr>
            <w:r w:rsidRPr="00075931">
              <w:rPr>
                <w:b/>
                <w:sz w:val="22"/>
                <w:szCs w:val="22"/>
              </w:rPr>
              <w:t>31/03/202</w:t>
            </w:r>
            <w:r>
              <w:rPr>
                <w:b/>
                <w:sz w:val="22"/>
                <w:szCs w:val="22"/>
              </w:rPr>
              <w:t>5</w:t>
            </w:r>
            <w:r w:rsidRPr="00075931">
              <w:rPr>
                <w:b/>
                <w:sz w:val="22"/>
                <w:szCs w:val="22"/>
              </w:rPr>
              <w:t xml:space="preserve"> Forecast</w:t>
            </w:r>
          </w:p>
        </w:tc>
      </w:tr>
      <w:tr w:rsidR="00C92CD8" w14:paraId="77B3D179" w14:textId="77777777" w:rsidTr="00C92CD8">
        <w:trPr>
          <w:cnfStyle w:val="000000100000" w:firstRow="0" w:lastRow="0" w:firstColumn="0" w:lastColumn="0" w:oddVBand="0" w:evenVBand="0" w:oddHBand="1" w:evenHBand="0" w:firstRowFirstColumn="0" w:firstRowLastColumn="0" w:lastRowFirstColumn="0" w:lastRowLastColumn="0"/>
        </w:trPr>
        <w:tc>
          <w:tcPr>
            <w:tcW w:w="3798" w:type="dxa"/>
            <w:vAlign w:val="center"/>
          </w:tcPr>
          <w:p w14:paraId="6F5C7DB6" w14:textId="77777777" w:rsidR="00A64552" w:rsidRPr="00075931" w:rsidRDefault="00A64552">
            <w:pPr>
              <w:spacing w:before="60" w:after="60" w:line="276" w:lineRule="auto"/>
              <w:rPr>
                <w:b/>
                <w:sz w:val="22"/>
                <w:szCs w:val="22"/>
              </w:rPr>
            </w:pPr>
          </w:p>
        </w:tc>
        <w:tc>
          <w:tcPr>
            <w:tcW w:w="1322" w:type="dxa"/>
          </w:tcPr>
          <w:p w14:paraId="4A4FB2B1" w14:textId="77777777" w:rsidR="00A64552" w:rsidRPr="00075931" w:rsidRDefault="004A7A82">
            <w:pPr>
              <w:spacing w:before="60" w:after="60" w:line="276" w:lineRule="auto"/>
              <w:jc w:val="center"/>
              <w:rPr>
                <w:b/>
                <w:sz w:val="22"/>
                <w:szCs w:val="22"/>
              </w:rPr>
            </w:pPr>
            <w:r w:rsidRPr="00075931">
              <w:rPr>
                <w:b/>
                <w:sz w:val="22"/>
                <w:szCs w:val="22"/>
              </w:rPr>
              <w:t>£m</w:t>
            </w:r>
          </w:p>
        </w:tc>
        <w:tc>
          <w:tcPr>
            <w:tcW w:w="1322" w:type="dxa"/>
            <w:shd w:val="clear" w:color="auto" w:fill="FFFFFF" w:themeFill="background1"/>
          </w:tcPr>
          <w:p w14:paraId="6E8708A4" w14:textId="77777777" w:rsidR="00A64552" w:rsidRPr="00075931" w:rsidRDefault="004A7A82">
            <w:pPr>
              <w:spacing w:before="60" w:after="60" w:line="276" w:lineRule="auto"/>
              <w:jc w:val="center"/>
              <w:rPr>
                <w:b/>
                <w:sz w:val="22"/>
                <w:szCs w:val="22"/>
              </w:rPr>
            </w:pPr>
            <w:r w:rsidRPr="00075931">
              <w:rPr>
                <w:b/>
                <w:sz w:val="22"/>
                <w:szCs w:val="22"/>
              </w:rPr>
              <w:t>£m</w:t>
            </w:r>
          </w:p>
        </w:tc>
        <w:tc>
          <w:tcPr>
            <w:tcW w:w="1322" w:type="dxa"/>
            <w:shd w:val="clear" w:color="auto" w:fill="CEDBE6" w:themeFill="background2"/>
          </w:tcPr>
          <w:p w14:paraId="4D635B56" w14:textId="77777777" w:rsidR="00A64552" w:rsidRPr="00075931" w:rsidRDefault="004A7A82">
            <w:pPr>
              <w:spacing w:before="60" w:after="60" w:line="276" w:lineRule="auto"/>
              <w:jc w:val="center"/>
              <w:rPr>
                <w:b/>
                <w:sz w:val="22"/>
                <w:szCs w:val="22"/>
              </w:rPr>
            </w:pPr>
            <w:r w:rsidRPr="00075931">
              <w:rPr>
                <w:b/>
                <w:sz w:val="22"/>
                <w:szCs w:val="22"/>
              </w:rPr>
              <w:t>£m</w:t>
            </w:r>
          </w:p>
        </w:tc>
      </w:tr>
      <w:tr w:rsidR="00C92CD8" w14:paraId="2750C21E" w14:textId="77777777" w:rsidTr="00C92CD8">
        <w:trPr>
          <w:cnfStyle w:val="000000010000" w:firstRow="0" w:lastRow="0" w:firstColumn="0" w:lastColumn="0" w:oddVBand="0" w:evenVBand="0" w:oddHBand="0" w:evenHBand="1" w:firstRowFirstColumn="0" w:firstRowLastColumn="0" w:lastRowFirstColumn="0" w:lastRowLastColumn="0"/>
        </w:trPr>
        <w:tc>
          <w:tcPr>
            <w:tcW w:w="3798" w:type="dxa"/>
          </w:tcPr>
          <w:p w14:paraId="487809FD" w14:textId="77777777" w:rsidR="00A64552" w:rsidRPr="00075931" w:rsidRDefault="004A7A82">
            <w:pPr>
              <w:spacing w:before="60" w:after="60" w:line="276" w:lineRule="auto"/>
              <w:rPr>
                <w:sz w:val="22"/>
                <w:szCs w:val="22"/>
              </w:rPr>
            </w:pPr>
            <w:r w:rsidRPr="00075931">
              <w:rPr>
                <w:sz w:val="22"/>
                <w:szCs w:val="22"/>
              </w:rPr>
              <w:t>Treasury management investments</w:t>
            </w:r>
          </w:p>
        </w:tc>
        <w:tc>
          <w:tcPr>
            <w:tcW w:w="1322" w:type="dxa"/>
          </w:tcPr>
          <w:p w14:paraId="402412A4" w14:textId="77777777" w:rsidR="00A64552" w:rsidRPr="00075931" w:rsidRDefault="004A7A82">
            <w:pPr>
              <w:spacing w:before="60" w:after="60" w:line="276" w:lineRule="auto"/>
              <w:jc w:val="right"/>
              <w:rPr>
                <w:sz w:val="22"/>
                <w:szCs w:val="22"/>
              </w:rPr>
            </w:pPr>
            <w:r>
              <w:rPr>
                <w:sz w:val="22"/>
                <w:szCs w:val="22"/>
              </w:rPr>
              <w:t>856</w:t>
            </w:r>
          </w:p>
        </w:tc>
        <w:tc>
          <w:tcPr>
            <w:tcW w:w="1322" w:type="dxa"/>
            <w:shd w:val="clear" w:color="auto" w:fill="FFFFFF" w:themeFill="background1"/>
          </w:tcPr>
          <w:p w14:paraId="42EBEE5A" w14:textId="77777777" w:rsidR="00A64552" w:rsidRPr="00075931" w:rsidRDefault="004A7A82">
            <w:pPr>
              <w:spacing w:before="60" w:after="60" w:line="276" w:lineRule="auto"/>
              <w:jc w:val="right"/>
              <w:rPr>
                <w:sz w:val="22"/>
                <w:szCs w:val="22"/>
              </w:rPr>
            </w:pPr>
            <w:r>
              <w:rPr>
                <w:sz w:val="22"/>
                <w:szCs w:val="22"/>
              </w:rPr>
              <w:t>800</w:t>
            </w:r>
          </w:p>
        </w:tc>
        <w:tc>
          <w:tcPr>
            <w:tcW w:w="1322" w:type="dxa"/>
            <w:shd w:val="clear" w:color="auto" w:fill="CEDBE6" w:themeFill="background2"/>
          </w:tcPr>
          <w:p w14:paraId="7023C530" w14:textId="77777777" w:rsidR="00A64552" w:rsidRPr="00075931" w:rsidRDefault="004A7A82">
            <w:pPr>
              <w:spacing w:before="60" w:after="60" w:line="276" w:lineRule="auto"/>
              <w:jc w:val="right"/>
              <w:rPr>
                <w:sz w:val="22"/>
                <w:szCs w:val="22"/>
              </w:rPr>
            </w:pPr>
            <w:r>
              <w:rPr>
                <w:sz w:val="22"/>
                <w:szCs w:val="22"/>
              </w:rPr>
              <w:t>800</w:t>
            </w:r>
          </w:p>
        </w:tc>
      </w:tr>
      <w:tr w:rsidR="00C92CD8" w14:paraId="06BCC27E" w14:textId="77777777" w:rsidTr="00C92CD8">
        <w:trPr>
          <w:cnfStyle w:val="000000100000" w:firstRow="0" w:lastRow="0" w:firstColumn="0" w:lastColumn="0" w:oddVBand="0" w:evenVBand="0" w:oddHBand="1" w:evenHBand="0" w:firstRowFirstColumn="0" w:firstRowLastColumn="0" w:lastRowFirstColumn="0" w:lastRowLastColumn="0"/>
        </w:trPr>
        <w:tc>
          <w:tcPr>
            <w:tcW w:w="3798" w:type="dxa"/>
          </w:tcPr>
          <w:p w14:paraId="6033C027" w14:textId="77777777" w:rsidR="00A64552" w:rsidRPr="00075931" w:rsidRDefault="004A7A82">
            <w:pPr>
              <w:spacing w:before="60" w:after="60" w:line="276" w:lineRule="auto"/>
              <w:rPr>
                <w:sz w:val="22"/>
                <w:szCs w:val="22"/>
              </w:rPr>
            </w:pPr>
            <w:r w:rsidRPr="00075931">
              <w:rPr>
                <w:sz w:val="22"/>
                <w:szCs w:val="22"/>
              </w:rPr>
              <w:t>Service investments: Loans</w:t>
            </w:r>
          </w:p>
        </w:tc>
        <w:tc>
          <w:tcPr>
            <w:tcW w:w="1322" w:type="dxa"/>
            <w:vAlign w:val="center"/>
          </w:tcPr>
          <w:p w14:paraId="3C5F8E68" w14:textId="77777777" w:rsidR="00A64552" w:rsidRPr="00075931" w:rsidRDefault="004A7A82">
            <w:pPr>
              <w:spacing w:before="60" w:after="60" w:line="276" w:lineRule="auto"/>
              <w:jc w:val="right"/>
              <w:rPr>
                <w:sz w:val="22"/>
                <w:szCs w:val="22"/>
              </w:rPr>
            </w:pPr>
            <w:r>
              <w:rPr>
                <w:sz w:val="22"/>
                <w:szCs w:val="22"/>
              </w:rPr>
              <w:t>33</w:t>
            </w:r>
          </w:p>
        </w:tc>
        <w:tc>
          <w:tcPr>
            <w:tcW w:w="1322" w:type="dxa"/>
            <w:shd w:val="clear" w:color="auto" w:fill="FFFFFF" w:themeFill="background1"/>
            <w:vAlign w:val="center"/>
          </w:tcPr>
          <w:p w14:paraId="38E6F762" w14:textId="77777777" w:rsidR="00A64552" w:rsidRPr="00075931" w:rsidRDefault="004A7A82">
            <w:pPr>
              <w:spacing w:before="60" w:after="60" w:line="276" w:lineRule="auto"/>
              <w:jc w:val="right"/>
              <w:rPr>
                <w:sz w:val="22"/>
                <w:szCs w:val="22"/>
              </w:rPr>
            </w:pPr>
            <w:r>
              <w:rPr>
                <w:sz w:val="22"/>
                <w:szCs w:val="22"/>
              </w:rPr>
              <w:t>33</w:t>
            </w:r>
          </w:p>
        </w:tc>
        <w:tc>
          <w:tcPr>
            <w:tcW w:w="1322" w:type="dxa"/>
            <w:shd w:val="clear" w:color="auto" w:fill="CEDBE6" w:themeFill="background2"/>
            <w:vAlign w:val="center"/>
          </w:tcPr>
          <w:p w14:paraId="0FAD4F02" w14:textId="77777777" w:rsidR="00A64552" w:rsidRPr="00075931" w:rsidRDefault="004A7A82">
            <w:pPr>
              <w:spacing w:before="60" w:after="60" w:line="276" w:lineRule="auto"/>
              <w:jc w:val="right"/>
              <w:rPr>
                <w:sz w:val="22"/>
                <w:szCs w:val="22"/>
              </w:rPr>
            </w:pPr>
            <w:r>
              <w:rPr>
                <w:sz w:val="22"/>
                <w:szCs w:val="22"/>
              </w:rPr>
              <w:t>33</w:t>
            </w:r>
          </w:p>
        </w:tc>
      </w:tr>
      <w:tr w:rsidR="00C92CD8" w14:paraId="607D5D0F" w14:textId="77777777" w:rsidTr="00C92CD8">
        <w:trPr>
          <w:cnfStyle w:val="000000010000" w:firstRow="0" w:lastRow="0" w:firstColumn="0" w:lastColumn="0" w:oddVBand="0" w:evenVBand="0" w:oddHBand="0" w:evenHBand="1" w:firstRowFirstColumn="0" w:firstRowLastColumn="0" w:lastRowFirstColumn="0" w:lastRowLastColumn="0"/>
        </w:trPr>
        <w:tc>
          <w:tcPr>
            <w:tcW w:w="3798" w:type="dxa"/>
          </w:tcPr>
          <w:p w14:paraId="127E092F" w14:textId="77777777" w:rsidR="00A64552" w:rsidRPr="00075931" w:rsidRDefault="004A7A82">
            <w:pPr>
              <w:spacing w:before="60" w:after="60" w:line="276" w:lineRule="auto"/>
              <w:rPr>
                <w:sz w:val="22"/>
                <w:szCs w:val="22"/>
              </w:rPr>
            </w:pPr>
            <w:r w:rsidRPr="00075931">
              <w:rPr>
                <w:sz w:val="22"/>
                <w:szCs w:val="22"/>
              </w:rPr>
              <w:t>Commercial investments: other</w:t>
            </w:r>
          </w:p>
        </w:tc>
        <w:tc>
          <w:tcPr>
            <w:tcW w:w="1322" w:type="dxa"/>
          </w:tcPr>
          <w:p w14:paraId="08330667" w14:textId="77777777" w:rsidR="00A64552" w:rsidRPr="00075931" w:rsidRDefault="004A7A82">
            <w:pPr>
              <w:spacing w:before="60" w:after="60" w:line="276" w:lineRule="auto"/>
              <w:jc w:val="right"/>
              <w:rPr>
                <w:sz w:val="22"/>
                <w:szCs w:val="22"/>
              </w:rPr>
            </w:pPr>
            <w:r>
              <w:rPr>
                <w:sz w:val="22"/>
                <w:szCs w:val="22"/>
              </w:rPr>
              <w:t>0</w:t>
            </w:r>
          </w:p>
        </w:tc>
        <w:tc>
          <w:tcPr>
            <w:tcW w:w="1322" w:type="dxa"/>
            <w:shd w:val="clear" w:color="auto" w:fill="FFFFFF" w:themeFill="background1"/>
          </w:tcPr>
          <w:p w14:paraId="288944FB" w14:textId="77777777" w:rsidR="00A64552" w:rsidRPr="00075931" w:rsidRDefault="004A7A82">
            <w:pPr>
              <w:spacing w:before="60" w:after="60" w:line="276" w:lineRule="auto"/>
              <w:jc w:val="right"/>
              <w:rPr>
                <w:sz w:val="22"/>
                <w:szCs w:val="22"/>
              </w:rPr>
            </w:pPr>
            <w:r>
              <w:rPr>
                <w:sz w:val="22"/>
                <w:szCs w:val="22"/>
              </w:rPr>
              <w:t>0</w:t>
            </w:r>
          </w:p>
        </w:tc>
        <w:tc>
          <w:tcPr>
            <w:tcW w:w="1322" w:type="dxa"/>
            <w:shd w:val="clear" w:color="auto" w:fill="CEDBE6" w:themeFill="background2"/>
          </w:tcPr>
          <w:p w14:paraId="3528276D" w14:textId="77777777" w:rsidR="00A64552" w:rsidRPr="00075931" w:rsidRDefault="004A7A82">
            <w:pPr>
              <w:spacing w:before="60" w:after="60" w:line="276" w:lineRule="auto"/>
              <w:jc w:val="right"/>
              <w:rPr>
                <w:sz w:val="22"/>
                <w:szCs w:val="22"/>
              </w:rPr>
            </w:pPr>
            <w:r>
              <w:rPr>
                <w:sz w:val="22"/>
                <w:szCs w:val="22"/>
              </w:rPr>
              <w:t>0</w:t>
            </w:r>
          </w:p>
        </w:tc>
      </w:tr>
      <w:tr w:rsidR="00C92CD8" w14:paraId="0DEE146C" w14:textId="77777777" w:rsidTr="00C92CD8">
        <w:trPr>
          <w:cnfStyle w:val="000000100000" w:firstRow="0" w:lastRow="0" w:firstColumn="0" w:lastColumn="0" w:oddVBand="0" w:evenVBand="0" w:oddHBand="1" w:evenHBand="0" w:firstRowFirstColumn="0" w:firstRowLastColumn="0" w:lastRowFirstColumn="0" w:lastRowLastColumn="0"/>
        </w:trPr>
        <w:tc>
          <w:tcPr>
            <w:tcW w:w="3798" w:type="dxa"/>
          </w:tcPr>
          <w:p w14:paraId="4467E7D5" w14:textId="77777777" w:rsidR="00A64552" w:rsidRPr="00075931" w:rsidRDefault="004A7A82">
            <w:pPr>
              <w:spacing w:before="60" w:after="60" w:line="276" w:lineRule="auto"/>
              <w:rPr>
                <w:b/>
                <w:bCs/>
                <w:sz w:val="22"/>
                <w:szCs w:val="22"/>
              </w:rPr>
            </w:pPr>
            <w:r>
              <w:rPr>
                <w:b/>
                <w:bCs/>
                <w:sz w:val="22"/>
                <w:szCs w:val="22"/>
              </w:rPr>
              <w:t>Total Investments</w:t>
            </w:r>
          </w:p>
        </w:tc>
        <w:tc>
          <w:tcPr>
            <w:tcW w:w="1322" w:type="dxa"/>
          </w:tcPr>
          <w:p w14:paraId="6135B8FC" w14:textId="77777777" w:rsidR="00A64552" w:rsidRPr="00075931" w:rsidRDefault="004A7A82">
            <w:pPr>
              <w:spacing w:before="60" w:after="60" w:line="276" w:lineRule="auto"/>
              <w:jc w:val="right"/>
              <w:rPr>
                <w:b/>
                <w:bCs/>
                <w:sz w:val="22"/>
                <w:szCs w:val="22"/>
              </w:rPr>
            </w:pPr>
            <w:r>
              <w:rPr>
                <w:b/>
                <w:bCs/>
                <w:sz w:val="22"/>
                <w:szCs w:val="22"/>
              </w:rPr>
              <w:t>889</w:t>
            </w:r>
          </w:p>
        </w:tc>
        <w:tc>
          <w:tcPr>
            <w:tcW w:w="1322" w:type="dxa"/>
            <w:shd w:val="clear" w:color="auto" w:fill="FFFFFF" w:themeFill="background1"/>
          </w:tcPr>
          <w:p w14:paraId="650676E2" w14:textId="77777777" w:rsidR="00A64552" w:rsidRPr="00075931" w:rsidRDefault="004A7A82">
            <w:pPr>
              <w:spacing w:before="60" w:after="60" w:line="276" w:lineRule="auto"/>
              <w:jc w:val="right"/>
              <w:rPr>
                <w:b/>
                <w:bCs/>
                <w:sz w:val="22"/>
                <w:szCs w:val="22"/>
              </w:rPr>
            </w:pPr>
            <w:r>
              <w:rPr>
                <w:b/>
                <w:bCs/>
                <w:sz w:val="22"/>
                <w:szCs w:val="22"/>
              </w:rPr>
              <w:t>833</w:t>
            </w:r>
          </w:p>
        </w:tc>
        <w:tc>
          <w:tcPr>
            <w:tcW w:w="1322" w:type="dxa"/>
            <w:shd w:val="clear" w:color="auto" w:fill="CEDBE6" w:themeFill="background2"/>
          </w:tcPr>
          <w:p w14:paraId="440BA60D" w14:textId="77777777" w:rsidR="00A64552" w:rsidRPr="00075931" w:rsidRDefault="004A7A82">
            <w:pPr>
              <w:spacing w:before="60" w:after="60" w:line="276" w:lineRule="auto"/>
              <w:jc w:val="right"/>
              <w:rPr>
                <w:b/>
                <w:bCs/>
                <w:sz w:val="22"/>
                <w:szCs w:val="22"/>
              </w:rPr>
            </w:pPr>
            <w:r>
              <w:rPr>
                <w:b/>
                <w:bCs/>
                <w:sz w:val="22"/>
                <w:szCs w:val="22"/>
              </w:rPr>
              <w:t>833</w:t>
            </w:r>
          </w:p>
        </w:tc>
      </w:tr>
    </w:tbl>
    <w:p w14:paraId="01922298" w14:textId="77777777" w:rsidR="00A64552" w:rsidRPr="00F86B98" w:rsidRDefault="004A7A82" w:rsidP="00A64552">
      <w:pPr>
        <w:spacing w:before="100" w:beforeAutospacing="1" w:after="100" w:afterAutospacing="1"/>
        <w:jc w:val="both"/>
        <w:rPr>
          <w:bCs/>
        </w:rPr>
      </w:pPr>
      <w:r>
        <w:rPr>
          <w:bCs/>
        </w:rPr>
        <w:lastRenderedPageBreak/>
        <w:t xml:space="preserve">It is anticipated that borrowing will remain within the capital requirements and therefore none of the investments are funded from borrowing. The income derived from service and commercial activities is not material to the funding of the council's revenue budget. Income from treasury management investments is shown in the treasury management strategy. </w:t>
      </w:r>
    </w:p>
    <w:p w14:paraId="5D7A648D" w14:textId="77777777" w:rsidR="004D2BE2" w:rsidRDefault="004D2BE2" w:rsidP="00320643">
      <w:pPr>
        <w:autoSpaceDE w:val="0"/>
        <w:autoSpaceDN w:val="0"/>
        <w:adjustRightInd w:val="0"/>
        <w:jc w:val="both"/>
        <w:rPr>
          <w:rFonts w:eastAsia="Calibri" w:cs="Helvetica-Light"/>
          <w:color w:val="000000"/>
        </w:rPr>
      </w:pPr>
    </w:p>
    <w:p w14:paraId="3EF06C5C" w14:textId="77777777" w:rsidR="00A64552" w:rsidRDefault="00A64552" w:rsidP="00320643">
      <w:pPr>
        <w:autoSpaceDE w:val="0"/>
        <w:autoSpaceDN w:val="0"/>
        <w:adjustRightInd w:val="0"/>
        <w:jc w:val="both"/>
        <w:rPr>
          <w:rFonts w:eastAsia="Calibri" w:cs="Helvetica-Light"/>
          <w:color w:val="000000"/>
        </w:rPr>
      </w:pPr>
    </w:p>
    <w:p w14:paraId="63F2FBFB" w14:textId="77777777" w:rsidR="00A64552" w:rsidRDefault="00A64552" w:rsidP="00320643">
      <w:pPr>
        <w:autoSpaceDE w:val="0"/>
        <w:autoSpaceDN w:val="0"/>
        <w:adjustRightInd w:val="0"/>
        <w:jc w:val="both"/>
        <w:rPr>
          <w:rFonts w:eastAsia="Calibri" w:cs="Helvetica-Light"/>
          <w:color w:val="000000"/>
        </w:rPr>
      </w:pPr>
    </w:p>
    <w:p w14:paraId="1C6DC27E" w14:textId="77777777" w:rsidR="00A64552" w:rsidRDefault="00A64552" w:rsidP="00320643">
      <w:pPr>
        <w:autoSpaceDE w:val="0"/>
        <w:autoSpaceDN w:val="0"/>
        <w:adjustRightInd w:val="0"/>
        <w:jc w:val="both"/>
        <w:rPr>
          <w:rFonts w:eastAsia="Calibri" w:cs="Helvetica-Light"/>
          <w:color w:val="000000"/>
        </w:rPr>
      </w:pPr>
    </w:p>
    <w:p w14:paraId="3F344EFD" w14:textId="77777777" w:rsidR="00A64552" w:rsidRDefault="00A64552" w:rsidP="00320643">
      <w:pPr>
        <w:autoSpaceDE w:val="0"/>
        <w:autoSpaceDN w:val="0"/>
        <w:adjustRightInd w:val="0"/>
        <w:jc w:val="both"/>
        <w:rPr>
          <w:rFonts w:eastAsia="Calibri" w:cs="Helvetica-Light"/>
          <w:color w:val="000000"/>
        </w:rPr>
      </w:pPr>
    </w:p>
    <w:p w14:paraId="769DDC20" w14:textId="77777777" w:rsidR="00A64552" w:rsidRDefault="00A64552" w:rsidP="00320643">
      <w:pPr>
        <w:autoSpaceDE w:val="0"/>
        <w:autoSpaceDN w:val="0"/>
        <w:adjustRightInd w:val="0"/>
        <w:jc w:val="both"/>
        <w:rPr>
          <w:rFonts w:eastAsia="Calibri" w:cs="Helvetica-Light"/>
          <w:color w:val="000000"/>
        </w:rPr>
      </w:pPr>
    </w:p>
    <w:p w14:paraId="62FE35F9" w14:textId="77777777" w:rsidR="00A64552" w:rsidRDefault="00A64552" w:rsidP="00320643">
      <w:pPr>
        <w:autoSpaceDE w:val="0"/>
        <w:autoSpaceDN w:val="0"/>
        <w:adjustRightInd w:val="0"/>
        <w:jc w:val="both"/>
        <w:rPr>
          <w:rFonts w:eastAsia="Calibri" w:cs="Helvetica-Light"/>
          <w:color w:val="000000"/>
        </w:rPr>
      </w:pPr>
    </w:p>
    <w:p w14:paraId="61B323DB" w14:textId="77777777" w:rsidR="00A64552" w:rsidRDefault="00A64552" w:rsidP="00320643">
      <w:pPr>
        <w:autoSpaceDE w:val="0"/>
        <w:autoSpaceDN w:val="0"/>
        <w:adjustRightInd w:val="0"/>
        <w:jc w:val="both"/>
        <w:rPr>
          <w:rFonts w:eastAsia="Calibri" w:cs="Helvetica-Light"/>
          <w:color w:val="000000"/>
        </w:rPr>
      </w:pPr>
    </w:p>
    <w:p w14:paraId="578F7DD6" w14:textId="77777777" w:rsidR="00A64552" w:rsidRDefault="00A64552" w:rsidP="00320643">
      <w:pPr>
        <w:autoSpaceDE w:val="0"/>
        <w:autoSpaceDN w:val="0"/>
        <w:adjustRightInd w:val="0"/>
        <w:jc w:val="both"/>
        <w:rPr>
          <w:rFonts w:eastAsia="Calibri" w:cs="Helvetica-Light"/>
          <w:color w:val="000000"/>
        </w:rPr>
      </w:pPr>
    </w:p>
    <w:p w14:paraId="17234B7C" w14:textId="77777777" w:rsidR="00A64552" w:rsidRDefault="00A64552" w:rsidP="00320643">
      <w:pPr>
        <w:autoSpaceDE w:val="0"/>
        <w:autoSpaceDN w:val="0"/>
        <w:adjustRightInd w:val="0"/>
        <w:jc w:val="both"/>
        <w:rPr>
          <w:rFonts w:eastAsia="Calibri" w:cs="Helvetica-Light"/>
          <w:color w:val="000000"/>
        </w:rPr>
      </w:pPr>
    </w:p>
    <w:p w14:paraId="4A7937E0" w14:textId="77777777" w:rsidR="00A64552" w:rsidRDefault="00A64552" w:rsidP="00320643">
      <w:pPr>
        <w:autoSpaceDE w:val="0"/>
        <w:autoSpaceDN w:val="0"/>
        <w:adjustRightInd w:val="0"/>
        <w:jc w:val="both"/>
        <w:rPr>
          <w:rFonts w:eastAsia="Calibri" w:cs="Helvetica-Light"/>
          <w:color w:val="000000"/>
        </w:rPr>
      </w:pPr>
    </w:p>
    <w:p w14:paraId="5D9B4929" w14:textId="77777777" w:rsidR="00A64552" w:rsidRDefault="00A64552" w:rsidP="00320643">
      <w:pPr>
        <w:autoSpaceDE w:val="0"/>
        <w:autoSpaceDN w:val="0"/>
        <w:adjustRightInd w:val="0"/>
        <w:jc w:val="both"/>
        <w:rPr>
          <w:rFonts w:eastAsia="Calibri" w:cs="Helvetica-Light"/>
          <w:color w:val="000000"/>
        </w:rPr>
      </w:pPr>
    </w:p>
    <w:p w14:paraId="60BC50A0" w14:textId="77777777" w:rsidR="00A64552" w:rsidRDefault="00A64552" w:rsidP="00320643">
      <w:pPr>
        <w:autoSpaceDE w:val="0"/>
        <w:autoSpaceDN w:val="0"/>
        <w:adjustRightInd w:val="0"/>
        <w:jc w:val="both"/>
        <w:rPr>
          <w:rFonts w:eastAsia="Calibri" w:cs="Helvetica-Light"/>
          <w:color w:val="000000"/>
        </w:rPr>
      </w:pPr>
    </w:p>
    <w:p w14:paraId="1E6CB740" w14:textId="77777777" w:rsidR="00A64552" w:rsidRDefault="00A64552" w:rsidP="00320643">
      <w:pPr>
        <w:autoSpaceDE w:val="0"/>
        <w:autoSpaceDN w:val="0"/>
        <w:adjustRightInd w:val="0"/>
        <w:jc w:val="both"/>
        <w:rPr>
          <w:rFonts w:eastAsia="Calibri" w:cs="Helvetica-Light"/>
          <w:color w:val="000000"/>
        </w:rPr>
      </w:pPr>
    </w:p>
    <w:p w14:paraId="75856AC2" w14:textId="77777777" w:rsidR="00A64552" w:rsidRDefault="00A64552" w:rsidP="00320643">
      <w:pPr>
        <w:autoSpaceDE w:val="0"/>
        <w:autoSpaceDN w:val="0"/>
        <w:adjustRightInd w:val="0"/>
        <w:jc w:val="both"/>
        <w:rPr>
          <w:rFonts w:eastAsia="Calibri" w:cs="Helvetica-Light"/>
          <w:color w:val="000000"/>
        </w:rPr>
      </w:pPr>
    </w:p>
    <w:p w14:paraId="1290CF5F" w14:textId="77777777" w:rsidR="00A64552" w:rsidRDefault="00A64552" w:rsidP="00320643">
      <w:pPr>
        <w:autoSpaceDE w:val="0"/>
        <w:autoSpaceDN w:val="0"/>
        <w:adjustRightInd w:val="0"/>
        <w:jc w:val="both"/>
        <w:rPr>
          <w:rFonts w:eastAsia="Calibri" w:cs="Helvetica-Light"/>
          <w:color w:val="000000"/>
        </w:rPr>
      </w:pPr>
    </w:p>
    <w:p w14:paraId="64848CD8" w14:textId="77777777" w:rsidR="00A64552" w:rsidRDefault="00A64552" w:rsidP="00320643">
      <w:pPr>
        <w:autoSpaceDE w:val="0"/>
        <w:autoSpaceDN w:val="0"/>
        <w:adjustRightInd w:val="0"/>
        <w:jc w:val="both"/>
        <w:rPr>
          <w:rFonts w:eastAsia="Calibri" w:cs="Helvetica-Light"/>
          <w:color w:val="000000"/>
        </w:rPr>
      </w:pPr>
    </w:p>
    <w:p w14:paraId="6D214269" w14:textId="77777777" w:rsidR="00A64552" w:rsidRDefault="00A64552" w:rsidP="00320643">
      <w:pPr>
        <w:autoSpaceDE w:val="0"/>
        <w:autoSpaceDN w:val="0"/>
        <w:adjustRightInd w:val="0"/>
        <w:jc w:val="both"/>
        <w:rPr>
          <w:rFonts w:eastAsia="Calibri" w:cs="Helvetica-Light"/>
          <w:color w:val="000000"/>
        </w:rPr>
      </w:pPr>
    </w:p>
    <w:p w14:paraId="31A878E8" w14:textId="77777777" w:rsidR="00A64552" w:rsidRDefault="00A64552" w:rsidP="00320643">
      <w:pPr>
        <w:autoSpaceDE w:val="0"/>
        <w:autoSpaceDN w:val="0"/>
        <w:adjustRightInd w:val="0"/>
        <w:jc w:val="both"/>
        <w:rPr>
          <w:rFonts w:eastAsia="Calibri" w:cs="Helvetica-Light"/>
          <w:color w:val="000000"/>
        </w:rPr>
      </w:pPr>
    </w:p>
    <w:p w14:paraId="7245B9B7" w14:textId="77777777" w:rsidR="00A64552" w:rsidRDefault="00A64552" w:rsidP="00320643">
      <w:pPr>
        <w:autoSpaceDE w:val="0"/>
        <w:autoSpaceDN w:val="0"/>
        <w:adjustRightInd w:val="0"/>
        <w:jc w:val="both"/>
        <w:rPr>
          <w:rFonts w:eastAsia="Calibri" w:cs="Helvetica-Light"/>
          <w:color w:val="000000"/>
        </w:rPr>
      </w:pPr>
    </w:p>
    <w:p w14:paraId="31FAEAB4" w14:textId="77777777" w:rsidR="00A64552" w:rsidRDefault="00A64552" w:rsidP="00320643">
      <w:pPr>
        <w:autoSpaceDE w:val="0"/>
        <w:autoSpaceDN w:val="0"/>
        <w:adjustRightInd w:val="0"/>
        <w:jc w:val="both"/>
        <w:rPr>
          <w:rFonts w:eastAsia="Calibri" w:cs="Helvetica-Light"/>
          <w:color w:val="000000"/>
        </w:rPr>
      </w:pPr>
    </w:p>
    <w:p w14:paraId="74D10809" w14:textId="77777777" w:rsidR="00A64552" w:rsidRDefault="00A64552" w:rsidP="00320643">
      <w:pPr>
        <w:autoSpaceDE w:val="0"/>
        <w:autoSpaceDN w:val="0"/>
        <w:adjustRightInd w:val="0"/>
        <w:jc w:val="both"/>
        <w:rPr>
          <w:rFonts w:eastAsia="Calibri" w:cs="Helvetica-Light"/>
          <w:color w:val="000000"/>
        </w:rPr>
      </w:pPr>
    </w:p>
    <w:p w14:paraId="0F5F9801" w14:textId="77777777" w:rsidR="00A64552" w:rsidRDefault="00A64552" w:rsidP="00320643">
      <w:pPr>
        <w:autoSpaceDE w:val="0"/>
        <w:autoSpaceDN w:val="0"/>
        <w:adjustRightInd w:val="0"/>
        <w:jc w:val="both"/>
        <w:rPr>
          <w:rFonts w:eastAsia="Calibri" w:cs="Helvetica-Light"/>
          <w:color w:val="000000"/>
        </w:rPr>
      </w:pPr>
    </w:p>
    <w:p w14:paraId="63E9DB8F" w14:textId="77777777" w:rsidR="00A64552" w:rsidRDefault="00A64552" w:rsidP="00320643">
      <w:pPr>
        <w:autoSpaceDE w:val="0"/>
        <w:autoSpaceDN w:val="0"/>
        <w:adjustRightInd w:val="0"/>
        <w:jc w:val="both"/>
        <w:rPr>
          <w:rFonts w:eastAsia="Calibri" w:cs="Helvetica-Light"/>
          <w:color w:val="000000"/>
        </w:rPr>
      </w:pPr>
    </w:p>
    <w:p w14:paraId="10FDF54D" w14:textId="77777777" w:rsidR="00A64552" w:rsidRDefault="00A64552" w:rsidP="00320643">
      <w:pPr>
        <w:autoSpaceDE w:val="0"/>
        <w:autoSpaceDN w:val="0"/>
        <w:adjustRightInd w:val="0"/>
        <w:jc w:val="both"/>
        <w:rPr>
          <w:rFonts w:eastAsia="Calibri" w:cs="Helvetica-Light"/>
          <w:color w:val="000000"/>
        </w:rPr>
      </w:pPr>
    </w:p>
    <w:p w14:paraId="2C6BB183" w14:textId="77777777" w:rsidR="00A64552" w:rsidRDefault="00A64552" w:rsidP="00320643">
      <w:pPr>
        <w:autoSpaceDE w:val="0"/>
        <w:autoSpaceDN w:val="0"/>
        <w:adjustRightInd w:val="0"/>
        <w:jc w:val="both"/>
        <w:rPr>
          <w:rFonts w:eastAsia="Calibri" w:cs="Helvetica-Light"/>
          <w:color w:val="000000"/>
        </w:rPr>
      </w:pPr>
    </w:p>
    <w:p w14:paraId="35D4DEC2" w14:textId="77777777" w:rsidR="00A64552" w:rsidRDefault="00A64552" w:rsidP="00320643">
      <w:pPr>
        <w:autoSpaceDE w:val="0"/>
        <w:autoSpaceDN w:val="0"/>
        <w:adjustRightInd w:val="0"/>
        <w:jc w:val="both"/>
        <w:rPr>
          <w:rFonts w:eastAsia="Calibri" w:cs="Helvetica-Light"/>
          <w:color w:val="000000"/>
        </w:rPr>
      </w:pPr>
    </w:p>
    <w:p w14:paraId="413E7545" w14:textId="77777777" w:rsidR="00A64552" w:rsidRDefault="00A64552" w:rsidP="00320643">
      <w:pPr>
        <w:autoSpaceDE w:val="0"/>
        <w:autoSpaceDN w:val="0"/>
        <w:adjustRightInd w:val="0"/>
        <w:jc w:val="both"/>
        <w:rPr>
          <w:rFonts w:eastAsia="Calibri" w:cs="Helvetica-Light"/>
          <w:color w:val="000000"/>
        </w:rPr>
      </w:pPr>
    </w:p>
    <w:p w14:paraId="04242E99" w14:textId="77777777" w:rsidR="00A64552" w:rsidRDefault="00A64552" w:rsidP="00320643">
      <w:pPr>
        <w:autoSpaceDE w:val="0"/>
        <w:autoSpaceDN w:val="0"/>
        <w:adjustRightInd w:val="0"/>
        <w:jc w:val="both"/>
        <w:rPr>
          <w:rFonts w:eastAsia="Calibri" w:cs="Helvetica-Light"/>
          <w:color w:val="000000"/>
        </w:rPr>
      </w:pPr>
    </w:p>
    <w:p w14:paraId="074AC2E3" w14:textId="77777777" w:rsidR="00A64552" w:rsidRDefault="00A64552" w:rsidP="00320643">
      <w:pPr>
        <w:autoSpaceDE w:val="0"/>
        <w:autoSpaceDN w:val="0"/>
        <w:adjustRightInd w:val="0"/>
        <w:jc w:val="both"/>
        <w:rPr>
          <w:rFonts w:eastAsia="Calibri" w:cs="Helvetica-Light"/>
          <w:color w:val="000000"/>
        </w:rPr>
      </w:pPr>
    </w:p>
    <w:p w14:paraId="12AA42F3" w14:textId="77777777" w:rsidR="00A64552" w:rsidRDefault="00A64552" w:rsidP="00320643">
      <w:pPr>
        <w:autoSpaceDE w:val="0"/>
        <w:autoSpaceDN w:val="0"/>
        <w:adjustRightInd w:val="0"/>
        <w:jc w:val="both"/>
        <w:rPr>
          <w:rFonts w:eastAsia="Calibri" w:cs="Helvetica-Light"/>
          <w:color w:val="000000"/>
        </w:rPr>
      </w:pPr>
    </w:p>
    <w:p w14:paraId="620432C3" w14:textId="77777777" w:rsidR="00A64552" w:rsidRDefault="00A64552" w:rsidP="00320643">
      <w:pPr>
        <w:autoSpaceDE w:val="0"/>
        <w:autoSpaceDN w:val="0"/>
        <w:adjustRightInd w:val="0"/>
        <w:jc w:val="both"/>
        <w:rPr>
          <w:rFonts w:eastAsia="Calibri" w:cs="Helvetica-Light"/>
          <w:color w:val="000000"/>
        </w:rPr>
      </w:pPr>
    </w:p>
    <w:p w14:paraId="16A695FC" w14:textId="77777777" w:rsidR="00A64552" w:rsidRDefault="00A64552" w:rsidP="00320643">
      <w:pPr>
        <w:autoSpaceDE w:val="0"/>
        <w:autoSpaceDN w:val="0"/>
        <w:adjustRightInd w:val="0"/>
        <w:jc w:val="both"/>
        <w:rPr>
          <w:rFonts w:eastAsia="Calibri" w:cs="Helvetica-Light"/>
          <w:color w:val="000000"/>
        </w:rPr>
      </w:pPr>
    </w:p>
    <w:p w14:paraId="6D8D852C" w14:textId="77777777" w:rsidR="00A64552" w:rsidRDefault="00A64552" w:rsidP="00320643">
      <w:pPr>
        <w:autoSpaceDE w:val="0"/>
        <w:autoSpaceDN w:val="0"/>
        <w:adjustRightInd w:val="0"/>
        <w:jc w:val="both"/>
        <w:rPr>
          <w:rFonts w:eastAsia="Calibri" w:cs="Helvetica-Light"/>
          <w:color w:val="000000"/>
        </w:rPr>
      </w:pPr>
    </w:p>
    <w:p w14:paraId="116A46B5" w14:textId="77777777" w:rsidR="00A64552" w:rsidRDefault="00A64552" w:rsidP="00320643">
      <w:pPr>
        <w:autoSpaceDE w:val="0"/>
        <w:autoSpaceDN w:val="0"/>
        <w:adjustRightInd w:val="0"/>
        <w:jc w:val="both"/>
        <w:rPr>
          <w:rFonts w:eastAsia="Calibri" w:cs="Helvetica-Light"/>
          <w:color w:val="000000"/>
        </w:rPr>
      </w:pPr>
    </w:p>
    <w:p w14:paraId="40FDC393" w14:textId="77777777" w:rsidR="00A64552" w:rsidRDefault="00A64552" w:rsidP="00320643">
      <w:pPr>
        <w:autoSpaceDE w:val="0"/>
        <w:autoSpaceDN w:val="0"/>
        <w:adjustRightInd w:val="0"/>
        <w:jc w:val="both"/>
        <w:rPr>
          <w:rFonts w:eastAsia="Calibri" w:cs="Helvetica-Light"/>
          <w:color w:val="000000"/>
        </w:rPr>
      </w:pPr>
    </w:p>
    <w:p w14:paraId="03203FE5" w14:textId="77777777" w:rsidR="00A64552" w:rsidRDefault="00A64552" w:rsidP="00320643">
      <w:pPr>
        <w:autoSpaceDE w:val="0"/>
        <w:autoSpaceDN w:val="0"/>
        <w:adjustRightInd w:val="0"/>
        <w:jc w:val="both"/>
        <w:rPr>
          <w:rFonts w:eastAsia="Calibri" w:cs="Helvetica-Light"/>
          <w:color w:val="000000"/>
        </w:rPr>
      </w:pPr>
    </w:p>
    <w:p w14:paraId="41CF6B28" w14:textId="77777777" w:rsidR="00277A14" w:rsidRDefault="00277A14" w:rsidP="00320643">
      <w:pPr>
        <w:autoSpaceDE w:val="0"/>
        <w:autoSpaceDN w:val="0"/>
        <w:adjustRightInd w:val="0"/>
        <w:jc w:val="both"/>
        <w:rPr>
          <w:rFonts w:eastAsia="Calibri" w:cs="Helvetica-Light"/>
          <w:color w:val="000000"/>
        </w:rPr>
      </w:pPr>
    </w:p>
    <w:p w14:paraId="5EAFB6C3" w14:textId="77777777" w:rsidR="00277A14" w:rsidRDefault="00277A14" w:rsidP="00320643">
      <w:pPr>
        <w:autoSpaceDE w:val="0"/>
        <w:autoSpaceDN w:val="0"/>
        <w:adjustRightInd w:val="0"/>
        <w:jc w:val="both"/>
        <w:rPr>
          <w:rFonts w:eastAsia="Calibri" w:cs="Helvetica-Light"/>
          <w:color w:val="000000"/>
        </w:rPr>
      </w:pPr>
    </w:p>
    <w:p w14:paraId="14F9232B" w14:textId="77777777" w:rsidR="00277A14" w:rsidRDefault="00277A14" w:rsidP="00320643">
      <w:pPr>
        <w:autoSpaceDE w:val="0"/>
        <w:autoSpaceDN w:val="0"/>
        <w:adjustRightInd w:val="0"/>
        <w:jc w:val="both"/>
        <w:rPr>
          <w:rFonts w:eastAsia="Calibri" w:cs="Helvetica-Light"/>
          <w:color w:val="000000"/>
        </w:rPr>
      </w:pPr>
    </w:p>
    <w:p w14:paraId="4D860AC7" w14:textId="77777777" w:rsidR="00277A14" w:rsidRDefault="00277A14" w:rsidP="00320643">
      <w:pPr>
        <w:autoSpaceDE w:val="0"/>
        <w:autoSpaceDN w:val="0"/>
        <w:adjustRightInd w:val="0"/>
        <w:jc w:val="both"/>
        <w:rPr>
          <w:rFonts w:eastAsia="Calibri" w:cs="Helvetica-Light"/>
          <w:color w:val="000000"/>
        </w:rPr>
      </w:pPr>
    </w:p>
    <w:p w14:paraId="190D9C47" w14:textId="77777777" w:rsidR="00277A14" w:rsidRDefault="00277A14" w:rsidP="00320643">
      <w:pPr>
        <w:autoSpaceDE w:val="0"/>
        <w:autoSpaceDN w:val="0"/>
        <w:adjustRightInd w:val="0"/>
        <w:jc w:val="both"/>
        <w:rPr>
          <w:rFonts w:eastAsia="Calibri" w:cs="Helvetica-Light"/>
          <w:color w:val="000000"/>
        </w:rPr>
      </w:pPr>
    </w:p>
    <w:p w14:paraId="10EAC242" w14:textId="77777777" w:rsidR="00C40133" w:rsidRDefault="00C40133" w:rsidP="006351A1">
      <w:pPr>
        <w:rPr>
          <w:rFonts w:eastAsia="Calibri" w:cs="Helvetica-Light"/>
          <w:color w:val="000000"/>
        </w:rPr>
      </w:pPr>
    </w:p>
    <w:p w14:paraId="2A92BF2B" w14:textId="77777777" w:rsidR="003237B4" w:rsidRDefault="003237B4" w:rsidP="006351A1">
      <w:pPr>
        <w:rPr>
          <w:rFonts w:eastAsia="Calibri" w:cs="Helvetica-Light"/>
          <w:color w:val="000000"/>
        </w:rPr>
      </w:pPr>
    </w:p>
    <w:p w14:paraId="1CD5731F" w14:textId="76C8D044" w:rsidR="005D0BB7" w:rsidRPr="005D0BB7" w:rsidRDefault="004A7A82" w:rsidP="006351A1">
      <w:pPr>
        <w:rPr>
          <w:rFonts w:cs="Arial"/>
          <w:b/>
          <w:u w:val="single"/>
        </w:rPr>
      </w:pPr>
      <w:r w:rsidRPr="005D0BB7">
        <w:rPr>
          <w:rFonts w:cs="Arial"/>
          <w:b/>
          <w:u w:val="single"/>
        </w:rPr>
        <w:lastRenderedPageBreak/>
        <w:t>Annex I</w:t>
      </w:r>
    </w:p>
    <w:p w14:paraId="23E90411" w14:textId="77777777" w:rsidR="005D0BB7" w:rsidRPr="005D0BB7" w:rsidRDefault="005D0BB7" w:rsidP="006351A1">
      <w:pPr>
        <w:rPr>
          <w:rFonts w:cs="Arial"/>
          <w:bCs/>
          <w:u w:val="single"/>
        </w:rPr>
      </w:pPr>
    </w:p>
    <w:p w14:paraId="353E119C" w14:textId="5167F958" w:rsidR="006351A1" w:rsidRDefault="004A7A82" w:rsidP="006351A1">
      <w:pPr>
        <w:rPr>
          <w:rFonts w:cs="Arial"/>
          <w:b/>
        </w:rPr>
      </w:pPr>
      <w:r w:rsidRPr="003428D1">
        <w:rPr>
          <w:rFonts w:cs="Arial"/>
          <w:b/>
        </w:rPr>
        <w:t>Minimum Revenue Provision Statement 20</w:t>
      </w:r>
      <w:r>
        <w:rPr>
          <w:rFonts w:cs="Arial"/>
          <w:b/>
        </w:rPr>
        <w:t>24/25</w:t>
      </w:r>
    </w:p>
    <w:p w14:paraId="29365036" w14:textId="77777777" w:rsidR="006351A1" w:rsidRPr="003428D1" w:rsidRDefault="004A7A82" w:rsidP="006351A1">
      <w:pPr>
        <w:rPr>
          <w:rFonts w:cs="Arial"/>
          <w:b/>
        </w:rPr>
      </w:pPr>
      <w:r w:rsidRPr="003428D1">
        <w:rPr>
          <w:rFonts w:cs="Arial"/>
          <w:b/>
        </w:rPr>
        <w:t xml:space="preserve"> </w:t>
      </w:r>
    </w:p>
    <w:p w14:paraId="23AFE67C" w14:textId="77777777" w:rsidR="006351A1" w:rsidRPr="00C36FFC" w:rsidRDefault="004A7A82" w:rsidP="005838A0">
      <w:pPr>
        <w:pStyle w:val="ListParagraph"/>
        <w:numPr>
          <w:ilvl w:val="0"/>
          <w:numId w:val="45"/>
        </w:numPr>
        <w:rPr>
          <w:rFonts w:cs="Arial"/>
          <w:b/>
        </w:rPr>
      </w:pPr>
      <w:r w:rsidRPr="00C36FFC">
        <w:rPr>
          <w:rFonts w:cs="Arial"/>
          <w:b/>
        </w:rPr>
        <w:t xml:space="preserve">Introduction </w:t>
      </w:r>
    </w:p>
    <w:p w14:paraId="2E29E5BC" w14:textId="77777777" w:rsidR="006351A1" w:rsidRPr="00B10CDB" w:rsidRDefault="006351A1" w:rsidP="006351A1">
      <w:pPr>
        <w:pStyle w:val="ListParagraph"/>
        <w:rPr>
          <w:rFonts w:cs="Arial"/>
        </w:rPr>
      </w:pPr>
    </w:p>
    <w:p w14:paraId="185F2A1A" w14:textId="77777777" w:rsidR="006351A1" w:rsidRDefault="004A7A82" w:rsidP="006351A1">
      <w:pPr>
        <w:jc w:val="both"/>
        <w:rPr>
          <w:rFonts w:cs="Arial"/>
        </w:rPr>
      </w:pPr>
      <w:r w:rsidRPr="003428D1">
        <w:rPr>
          <w:rFonts w:cs="Arial"/>
        </w:rPr>
        <w:t>This annual Statement required to be approved by the county council arises from statutory guidance initially issued by the</w:t>
      </w:r>
      <w:r>
        <w:rPr>
          <w:rFonts w:cs="Arial"/>
        </w:rPr>
        <w:t xml:space="preserve"> then</w:t>
      </w:r>
      <w:r w:rsidRPr="003428D1">
        <w:rPr>
          <w:rFonts w:cs="Arial"/>
        </w:rPr>
        <w:t xml:space="preserve"> Department of Communities and Local Government (DCLG) in 2008</w:t>
      </w:r>
      <w:r>
        <w:rPr>
          <w:rFonts w:cs="Arial"/>
        </w:rPr>
        <w:t>.</w:t>
      </w:r>
      <w:r w:rsidRPr="003428D1">
        <w:rPr>
          <w:rFonts w:cs="Arial"/>
        </w:rPr>
        <w:t xml:space="preserve"> </w:t>
      </w:r>
      <w:r>
        <w:rPr>
          <w:rFonts w:cs="Arial"/>
        </w:rPr>
        <w:t>This has been updated with the latest guidance issued by the Ministry for Housing, Communities and Local Government (MHCLG) in 2018.</w:t>
      </w:r>
    </w:p>
    <w:p w14:paraId="15DEE1E4" w14:textId="77777777" w:rsidR="006351A1" w:rsidRDefault="006351A1" w:rsidP="006351A1">
      <w:pPr>
        <w:jc w:val="both"/>
        <w:rPr>
          <w:rFonts w:cs="Arial"/>
        </w:rPr>
      </w:pPr>
    </w:p>
    <w:p w14:paraId="228CB562" w14:textId="77777777" w:rsidR="006351A1" w:rsidRDefault="004A7A82" w:rsidP="006351A1">
      <w:pPr>
        <w:jc w:val="both"/>
        <w:rPr>
          <w:rFonts w:cs="Arial"/>
        </w:rPr>
      </w:pPr>
      <w:r w:rsidRPr="003428D1">
        <w:rPr>
          <w:rFonts w:cs="Arial"/>
        </w:rPr>
        <w:t xml:space="preserve">Local </w:t>
      </w:r>
      <w:r>
        <w:rPr>
          <w:rFonts w:cs="Arial"/>
        </w:rPr>
        <w:t>a</w:t>
      </w:r>
      <w:r w:rsidRPr="003428D1">
        <w:rPr>
          <w:rFonts w:cs="Arial"/>
        </w:rPr>
        <w:t xml:space="preserve">uthorities are required </w:t>
      </w:r>
      <w:r>
        <w:rPr>
          <w:rFonts w:cs="Arial"/>
        </w:rPr>
        <w:t xml:space="preserve">each year </w:t>
      </w:r>
      <w:r w:rsidRPr="003428D1">
        <w:rPr>
          <w:rFonts w:cs="Arial"/>
        </w:rPr>
        <w:t xml:space="preserve">to make a charge to the revenue account in respect of provision to repay </w:t>
      </w:r>
      <w:r>
        <w:rPr>
          <w:rFonts w:cs="Arial"/>
        </w:rPr>
        <w:t xml:space="preserve">capital expenditure financed by borrowing or credit arrangements </w:t>
      </w:r>
      <w:r w:rsidRPr="003428D1">
        <w:rPr>
          <w:rFonts w:cs="Arial"/>
        </w:rPr>
        <w:t>(mainly finance leases or P</w:t>
      </w:r>
      <w:r>
        <w:rPr>
          <w:rFonts w:cs="Arial"/>
        </w:rPr>
        <w:t xml:space="preserve">rivate </w:t>
      </w:r>
      <w:r w:rsidRPr="003428D1">
        <w:rPr>
          <w:rFonts w:cs="Arial"/>
        </w:rPr>
        <w:t>F</w:t>
      </w:r>
      <w:r>
        <w:rPr>
          <w:rFonts w:cs="Arial"/>
        </w:rPr>
        <w:t xml:space="preserve">inance </w:t>
      </w:r>
      <w:r w:rsidRPr="003428D1">
        <w:rPr>
          <w:rFonts w:cs="Arial"/>
        </w:rPr>
        <w:t>I</w:t>
      </w:r>
      <w:r>
        <w:rPr>
          <w:rFonts w:cs="Arial"/>
        </w:rPr>
        <w:t>nitiative</w:t>
      </w:r>
      <w:r w:rsidRPr="003428D1">
        <w:rPr>
          <w:rFonts w:cs="Arial"/>
        </w:rPr>
        <w:t xml:space="preserve"> contracts). Th</w:t>
      </w:r>
      <w:r>
        <w:rPr>
          <w:rFonts w:cs="Arial"/>
        </w:rPr>
        <w:t>e charge to revenue</w:t>
      </w:r>
      <w:r w:rsidRPr="003428D1">
        <w:rPr>
          <w:rFonts w:cs="Arial"/>
        </w:rPr>
        <w:t xml:space="preserve"> is</w:t>
      </w:r>
      <w:r>
        <w:rPr>
          <w:rFonts w:cs="Arial"/>
        </w:rPr>
        <w:t xml:space="preserve"> one that the authority considers to be prudent and is</w:t>
      </w:r>
      <w:r w:rsidRPr="003428D1">
        <w:rPr>
          <w:rFonts w:cs="Arial"/>
        </w:rPr>
        <w:t xml:space="preserve"> referred to as the Minimum Revenue Provision (MRP). </w:t>
      </w:r>
    </w:p>
    <w:p w14:paraId="0B172402" w14:textId="77777777" w:rsidR="006351A1" w:rsidRPr="003428D1" w:rsidRDefault="006351A1" w:rsidP="006351A1">
      <w:pPr>
        <w:jc w:val="both"/>
        <w:rPr>
          <w:rFonts w:cs="Arial"/>
        </w:rPr>
      </w:pPr>
    </w:p>
    <w:p w14:paraId="11CD0512" w14:textId="77777777" w:rsidR="006351A1" w:rsidRDefault="004A7A82" w:rsidP="006351A1">
      <w:pPr>
        <w:jc w:val="both"/>
        <w:rPr>
          <w:rFonts w:cs="Arial"/>
        </w:rPr>
      </w:pPr>
      <w:r w:rsidRPr="003428D1">
        <w:rPr>
          <w:rFonts w:cs="Arial"/>
        </w:rPr>
        <w:t xml:space="preserve">Guidance issued by the </w:t>
      </w:r>
      <w:r>
        <w:rPr>
          <w:rFonts w:cs="Arial"/>
        </w:rPr>
        <w:t xml:space="preserve">former Ministry for Housing </w:t>
      </w:r>
      <w:r w:rsidRPr="003428D1">
        <w:rPr>
          <w:rFonts w:cs="Arial"/>
        </w:rPr>
        <w:t>C</w:t>
      </w:r>
      <w:r>
        <w:rPr>
          <w:rFonts w:cs="Arial"/>
        </w:rPr>
        <w:t xml:space="preserve">ommunities and </w:t>
      </w:r>
      <w:r w:rsidRPr="003428D1">
        <w:rPr>
          <w:rFonts w:cs="Arial"/>
        </w:rPr>
        <w:t>L</w:t>
      </w:r>
      <w:r>
        <w:rPr>
          <w:rFonts w:cs="Arial"/>
        </w:rPr>
        <w:t xml:space="preserve">ocal </w:t>
      </w:r>
      <w:r w:rsidRPr="003428D1">
        <w:rPr>
          <w:rFonts w:cs="Arial"/>
        </w:rPr>
        <w:t>G</w:t>
      </w:r>
      <w:r>
        <w:rPr>
          <w:rFonts w:cs="Arial"/>
        </w:rPr>
        <w:t xml:space="preserve">overnment </w:t>
      </w:r>
      <w:r w:rsidRPr="003428D1">
        <w:rPr>
          <w:rFonts w:cs="Arial"/>
        </w:rPr>
        <w:t>continues</w:t>
      </w:r>
      <w:r>
        <w:rPr>
          <w:rFonts w:cs="Arial"/>
        </w:rPr>
        <w:t xml:space="preserve"> to identify</w:t>
      </w:r>
      <w:r w:rsidRPr="003428D1">
        <w:rPr>
          <w:rFonts w:cs="Arial"/>
        </w:rPr>
        <w:t xml:space="preserve"> four options which can be used for the purpose of calculating the M</w:t>
      </w:r>
      <w:r>
        <w:rPr>
          <w:rFonts w:cs="Arial"/>
        </w:rPr>
        <w:t xml:space="preserve">inimum </w:t>
      </w:r>
      <w:r w:rsidRPr="003428D1">
        <w:rPr>
          <w:rFonts w:cs="Arial"/>
        </w:rPr>
        <w:t>R</w:t>
      </w:r>
      <w:r>
        <w:rPr>
          <w:rFonts w:cs="Arial"/>
        </w:rPr>
        <w:t xml:space="preserve">evenue </w:t>
      </w:r>
      <w:r w:rsidRPr="003428D1">
        <w:rPr>
          <w:rFonts w:cs="Arial"/>
        </w:rPr>
        <w:t>P</w:t>
      </w:r>
      <w:r>
        <w:rPr>
          <w:rFonts w:cs="Arial"/>
        </w:rPr>
        <w:t>rovision</w:t>
      </w:r>
      <w:r w:rsidRPr="003428D1">
        <w:rPr>
          <w:rFonts w:cs="Arial"/>
        </w:rPr>
        <w:t>. However</w:t>
      </w:r>
      <w:r>
        <w:rPr>
          <w:rFonts w:cs="Arial"/>
        </w:rPr>
        <w:t>,</w:t>
      </w:r>
      <w:r w:rsidRPr="003428D1">
        <w:rPr>
          <w:rFonts w:cs="Arial"/>
        </w:rPr>
        <w:t xml:space="preserve"> the legal requirement is to set a prudent charge and therefore authorities are free to move away from the guidance if they feel it is appropriate.</w:t>
      </w:r>
    </w:p>
    <w:p w14:paraId="01483AB1" w14:textId="77777777" w:rsidR="006351A1" w:rsidRPr="003428D1" w:rsidRDefault="006351A1" w:rsidP="006351A1">
      <w:pPr>
        <w:rPr>
          <w:rFonts w:cs="Arial"/>
        </w:rPr>
      </w:pPr>
    </w:p>
    <w:p w14:paraId="4B003FCA" w14:textId="77777777" w:rsidR="006351A1" w:rsidRPr="005C45E4" w:rsidRDefault="004A7A82" w:rsidP="005838A0">
      <w:pPr>
        <w:pStyle w:val="ListParagraph"/>
        <w:numPr>
          <w:ilvl w:val="0"/>
          <w:numId w:val="45"/>
        </w:numPr>
        <w:rPr>
          <w:rFonts w:cs="Arial"/>
          <w:b/>
        </w:rPr>
      </w:pPr>
      <w:r w:rsidRPr="005C45E4">
        <w:rPr>
          <w:rFonts w:cs="Arial"/>
          <w:b/>
        </w:rPr>
        <w:t xml:space="preserve">The Four Options Explained </w:t>
      </w:r>
    </w:p>
    <w:p w14:paraId="639BF7A8" w14:textId="77777777" w:rsidR="006351A1" w:rsidRPr="005C45E4" w:rsidRDefault="006351A1" w:rsidP="006351A1">
      <w:pPr>
        <w:pStyle w:val="ListParagraph"/>
        <w:ind w:left="360"/>
        <w:rPr>
          <w:rFonts w:cs="Arial"/>
        </w:rPr>
      </w:pPr>
    </w:p>
    <w:p w14:paraId="7178D413" w14:textId="77777777" w:rsidR="006351A1" w:rsidRPr="005C45E4" w:rsidRDefault="004A7A82" w:rsidP="006351A1">
      <w:pPr>
        <w:jc w:val="both"/>
        <w:rPr>
          <w:rFonts w:cs="Arial"/>
        </w:rPr>
      </w:pPr>
      <w:r w:rsidRPr="005C45E4">
        <w:rPr>
          <w:rFonts w:cs="Arial"/>
        </w:rPr>
        <w:t xml:space="preserve">The first two options, the Regulatory and Capital Financing Requirement methods, can be applied to borrowing which is supported by government via Revenue Support Grants. </w:t>
      </w:r>
    </w:p>
    <w:p w14:paraId="436CDA42" w14:textId="77777777" w:rsidR="006351A1" w:rsidRPr="005C45E4" w:rsidRDefault="006351A1" w:rsidP="006351A1">
      <w:pPr>
        <w:jc w:val="both"/>
        <w:rPr>
          <w:rFonts w:cs="Arial"/>
        </w:rPr>
      </w:pPr>
    </w:p>
    <w:p w14:paraId="41FDEB78" w14:textId="77777777" w:rsidR="006351A1" w:rsidRPr="005C45E4" w:rsidRDefault="004A7A82" w:rsidP="006351A1">
      <w:pPr>
        <w:jc w:val="both"/>
        <w:rPr>
          <w:rFonts w:cs="Arial"/>
        </w:rPr>
      </w:pPr>
      <w:r w:rsidRPr="005C45E4">
        <w:rPr>
          <w:rFonts w:cs="Arial"/>
        </w:rPr>
        <w:t xml:space="preserve">For capital expenditure financed by unsupported borrowing, as allowed under the Prudential Code, the guidelines identify the Asset Life method or the Depreciation method as possible alternatives. </w:t>
      </w:r>
    </w:p>
    <w:p w14:paraId="453F3E19" w14:textId="77777777" w:rsidR="006351A1" w:rsidRPr="005C45E4" w:rsidRDefault="006351A1" w:rsidP="006351A1">
      <w:pPr>
        <w:jc w:val="both"/>
        <w:rPr>
          <w:rFonts w:cs="Arial"/>
        </w:rPr>
      </w:pPr>
    </w:p>
    <w:p w14:paraId="263E2751" w14:textId="77777777" w:rsidR="006351A1" w:rsidRPr="00193BFB" w:rsidRDefault="004A7A82" w:rsidP="006351A1">
      <w:pPr>
        <w:jc w:val="both"/>
        <w:rPr>
          <w:rFonts w:cs="Arial"/>
          <w:i/>
          <w:iCs/>
        </w:rPr>
      </w:pPr>
      <w:r w:rsidRPr="00193BFB">
        <w:rPr>
          <w:rFonts w:cs="Arial"/>
          <w:i/>
          <w:iCs/>
        </w:rPr>
        <w:t xml:space="preserve">Regulatory Method </w:t>
      </w:r>
    </w:p>
    <w:p w14:paraId="397706EC" w14:textId="77777777" w:rsidR="006351A1" w:rsidRPr="005C45E4" w:rsidRDefault="006351A1" w:rsidP="006351A1">
      <w:pPr>
        <w:jc w:val="both"/>
        <w:rPr>
          <w:rFonts w:cs="Arial"/>
        </w:rPr>
      </w:pPr>
    </w:p>
    <w:p w14:paraId="265163ED" w14:textId="77777777" w:rsidR="006351A1" w:rsidRPr="005C45E4" w:rsidRDefault="004A7A82" w:rsidP="006351A1">
      <w:pPr>
        <w:jc w:val="both"/>
        <w:rPr>
          <w:rFonts w:cs="Arial"/>
        </w:rPr>
      </w:pPr>
      <w:r w:rsidRPr="005C45E4">
        <w:rPr>
          <w:rFonts w:cs="Arial"/>
        </w:rPr>
        <w:t xml:space="preserve">Before the Prudential Code system of capital finance was introduced in 2004 the </w:t>
      </w:r>
      <w:r w:rsidRPr="00304DB2">
        <w:rPr>
          <w:rFonts w:cs="Arial"/>
        </w:rPr>
        <w:t>Minimum Revenue Provision</w:t>
      </w:r>
      <w:r w:rsidRPr="005C45E4">
        <w:rPr>
          <w:rFonts w:cs="Arial"/>
        </w:rPr>
        <w:t xml:space="preserve"> was calculated at 4% of the credit ceiling. On the introduction of the Prudential Code this was changed to a charge of 4% of Capital Financing Requirement, which is derived from the Balance Sheet and broadly represents the outstanding debt used to finance the fixed assets. However, to avoid changes in the charge to revenue in 2004/05 an adjustment figure was calculated which would then remain constant over</w:t>
      </w:r>
      <w:r>
        <w:rPr>
          <w:rFonts w:cs="Arial"/>
        </w:rPr>
        <w:t xml:space="preserve"> </w:t>
      </w:r>
      <w:r w:rsidRPr="005C45E4">
        <w:rPr>
          <w:rFonts w:cs="Arial"/>
        </w:rPr>
        <w:t xml:space="preserve">time. For technical accounting reasons this methodology would have led to an increase in the charge to revenue and would therefore have had an impact upon the county council's budget, so this method has not been used and is not recommended for future use. </w:t>
      </w:r>
    </w:p>
    <w:p w14:paraId="1B734CEC" w14:textId="77777777" w:rsidR="006351A1" w:rsidRDefault="006351A1" w:rsidP="006351A1">
      <w:pPr>
        <w:jc w:val="both"/>
        <w:rPr>
          <w:rFonts w:cs="Arial"/>
        </w:rPr>
      </w:pPr>
    </w:p>
    <w:p w14:paraId="315ABAB3" w14:textId="77777777" w:rsidR="006351A1" w:rsidRPr="00193BFB" w:rsidRDefault="004A7A82" w:rsidP="006351A1">
      <w:pPr>
        <w:jc w:val="both"/>
        <w:rPr>
          <w:rFonts w:cs="Arial"/>
          <w:i/>
          <w:iCs/>
        </w:rPr>
      </w:pPr>
      <w:r w:rsidRPr="00193BFB">
        <w:rPr>
          <w:rFonts w:cs="Arial"/>
          <w:i/>
          <w:iCs/>
        </w:rPr>
        <w:t xml:space="preserve">Capital Financing Requirement (CFR) </w:t>
      </w:r>
      <w:proofErr w:type="gramStart"/>
      <w:r w:rsidRPr="00193BFB">
        <w:rPr>
          <w:rFonts w:cs="Arial"/>
          <w:i/>
          <w:iCs/>
        </w:rPr>
        <w:t>method</w:t>
      </w:r>
      <w:proofErr w:type="gramEnd"/>
      <w:r w:rsidRPr="00193BFB">
        <w:rPr>
          <w:rFonts w:cs="Arial"/>
          <w:i/>
          <w:iCs/>
        </w:rPr>
        <w:t xml:space="preserve"> </w:t>
      </w:r>
    </w:p>
    <w:p w14:paraId="00B92B04" w14:textId="77777777" w:rsidR="006351A1" w:rsidRPr="005C45E4" w:rsidRDefault="006351A1" w:rsidP="006351A1">
      <w:pPr>
        <w:jc w:val="both"/>
        <w:rPr>
          <w:rFonts w:cs="Arial"/>
        </w:rPr>
      </w:pPr>
    </w:p>
    <w:p w14:paraId="5AB3DE97" w14:textId="77777777" w:rsidR="006351A1" w:rsidRPr="005C45E4" w:rsidRDefault="004A7A82" w:rsidP="006351A1">
      <w:pPr>
        <w:jc w:val="both"/>
        <w:rPr>
          <w:rFonts w:cs="Arial"/>
        </w:rPr>
      </w:pPr>
      <w:r w:rsidRPr="005C45E4">
        <w:rPr>
          <w:rFonts w:cs="Arial"/>
        </w:rPr>
        <w:t>This option allows for the Minimum Revenue Provision to be calculated as 4% of the Capital Financing Requirement. This is derived from the Balance Sheet and represent</w:t>
      </w:r>
      <w:r>
        <w:rPr>
          <w:rFonts w:cs="Arial"/>
        </w:rPr>
        <w:t>s</w:t>
      </w:r>
      <w:r w:rsidRPr="005C45E4">
        <w:rPr>
          <w:rFonts w:cs="Arial"/>
        </w:rPr>
        <w:t xml:space="preserve"> </w:t>
      </w:r>
      <w:r w:rsidRPr="005C45E4">
        <w:rPr>
          <w:rFonts w:cs="Arial"/>
        </w:rPr>
        <w:lastRenderedPageBreak/>
        <w:t xml:space="preserve">the value of the fixed assets, for which financing provision has not already been made. This method of calculation has been used at the county council since the introduction of the Minimum Revenue Provision in 2004. </w:t>
      </w:r>
    </w:p>
    <w:p w14:paraId="416F3227" w14:textId="77777777" w:rsidR="006351A1" w:rsidRPr="005C45E4" w:rsidRDefault="006351A1" w:rsidP="006351A1">
      <w:pPr>
        <w:jc w:val="both"/>
        <w:rPr>
          <w:rFonts w:cs="Arial"/>
        </w:rPr>
      </w:pPr>
    </w:p>
    <w:p w14:paraId="61E3EBAA" w14:textId="77777777" w:rsidR="006351A1" w:rsidRPr="00193BFB" w:rsidRDefault="004A7A82" w:rsidP="006351A1">
      <w:pPr>
        <w:jc w:val="both"/>
        <w:rPr>
          <w:rFonts w:cs="Arial"/>
          <w:i/>
          <w:iCs/>
        </w:rPr>
      </w:pPr>
      <w:r w:rsidRPr="00193BFB">
        <w:rPr>
          <w:rFonts w:cs="Arial"/>
          <w:i/>
          <w:iCs/>
        </w:rPr>
        <w:t xml:space="preserve">Asset Life Method </w:t>
      </w:r>
    </w:p>
    <w:p w14:paraId="7FD4CF5E" w14:textId="77777777" w:rsidR="006351A1" w:rsidRPr="005C45E4" w:rsidRDefault="006351A1" w:rsidP="006351A1">
      <w:pPr>
        <w:jc w:val="both"/>
        <w:rPr>
          <w:rFonts w:cs="Arial"/>
        </w:rPr>
      </w:pPr>
    </w:p>
    <w:p w14:paraId="22243798" w14:textId="77777777" w:rsidR="006351A1" w:rsidRPr="005C45E4" w:rsidRDefault="004A7A82" w:rsidP="006351A1">
      <w:pPr>
        <w:jc w:val="both"/>
        <w:rPr>
          <w:rFonts w:cs="Arial"/>
        </w:rPr>
      </w:pPr>
      <w:r w:rsidRPr="005C45E4">
        <w:rPr>
          <w:rFonts w:cs="Arial"/>
        </w:rPr>
        <w:t>Guidelines for this method allow for the charge to be calculated based on the estimated life of the asset. The actual calculation can be made in two ways</w:t>
      </w:r>
      <w:r>
        <w:rPr>
          <w:rFonts w:cs="Arial"/>
        </w:rPr>
        <w:t>,</w:t>
      </w:r>
      <w:r w:rsidRPr="005C45E4">
        <w:rPr>
          <w:rFonts w:cs="Arial"/>
        </w:rPr>
        <w:t xml:space="preserve"> namely:</w:t>
      </w:r>
    </w:p>
    <w:p w14:paraId="6275922A" w14:textId="77777777" w:rsidR="006351A1" w:rsidRPr="005C45E4" w:rsidRDefault="004A7A82" w:rsidP="006351A1">
      <w:pPr>
        <w:jc w:val="both"/>
        <w:rPr>
          <w:rFonts w:cs="Arial"/>
        </w:rPr>
      </w:pPr>
      <w:r w:rsidRPr="005C45E4">
        <w:rPr>
          <w:rFonts w:cs="Arial"/>
        </w:rPr>
        <w:t xml:space="preserve"> </w:t>
      </w:r>
    </w:p>
    <w:p w14:paraId="53754E31" w14:textId="77777777" w:rsidR="006351A1" w:rsidRPr="00EE7310" w:rsidRDefault="004A7A82" w:rsidP="005838A0">
      <w:pPr>
        <w:pStyle w:val="ListParagraph"/>
        <w:numPr>
          <w:ilvl w:val="0"/>
          <w:numId w:val="47"/>
        </w:numPr>
        <w:jc w:val="both"/>
        <w:rPr>
          <w:rFonts w:cs="Arial"/>
        </w:rPr>
      </w:pPr>
      <w:r w:rsidRPr="00EE7310">
        <w:rPr>
          <w:rFonts w:cs="Arial"/>
        </w:rPr>
        <w:t>A calculation to set an equal charge to revenue over the estimated life of the asset. This charge will not be varied by the state of the asset</w:t>
      </w:r>
      <w:r>
        <w:rPr>
          <w:rFonts w:cs="Arial"/>
        </w:rPr>
        <w:t>.</w:t>
      </w:r>
    </w:p>
    <w:p w14:paraId="56458E15" w14:textId="77777777" w:rsidR="006351A1" w:rsidRPr="00EE7310" w:rsidRDefault="004A7A82" w:rsidP="005838A0">
      <w:pPr>
        <w:pStyle w:val="ListParagraph"/>
        <w:numPr>
          <w:ilvl w:val="0"/>
          <w:numId w:val="47"/>
        </w:numPr>
        <w:jc w:val="both"/>
        <w:rPr>
          <w:rFonts w:cs="Arial"/>
        </w:rPr>
      </w:pPr>
      <w:r w:rsidRPr="00EE7310">
        <w:rPr>
          <w:rFonts w:cs="Arial"/>
        </w:rPr>
        <w:t xml:space="preserve">An annuity method. This provides for greater charges in the later years of the assets life and should only be used if it can be demonstrated that benefits are likely to increase in the later years. </w:t>
      </w:r>
    </w:p>
    <w:p w14:paraId="4568A521" w14:textId="77777777" w:rsidR="006351A1" w:rsidRPr="005C45E4" w:rsidRDefault="006351A1" w:rsidP="006351A1">
      <w:pPr>
        <w:jc w:val="both"/>
        <w:rPr>
          <w:rFonts w:cs="Arial"/>
        </w:rPr>
      </w:pPr>
    </w:p>
    <w:p w14:paraId="5A93B33C" w14:textId="77777777" w:rsidR="006351A1" w:rsidRPr="005C45E4" w:rsidRDefault="004A7A82" w:rsidP="006351A1">
      <w:pPr>
        <w:jc w:val="both"/>
        <w:rPr>
          <w:rFonts w:cs="Arial"/>
        </w:rPr>
      </w:pPr>
      <w:r w:rsidRPr="005C45E4">
        <w:rPr>
          <w:rFonts w:cs="Arial"/>
        </w:rPr>
        <w:t xml:space="preserve">The latest guidance states that the asset lives to be used should not usually exceed 50 years. This maximum can be exceeded if the authority has received an opinion from an appropriately qualified valuer or the asset is leased or acquired under a Private Finance Initiative which is for a duration </w:t>
      </w:r>
      <w:proofErr w:type="gramStart"/>
      <w:r w:rsidRPr="005C45E4">
        <w:rPr>
          <w:rFonts w:cs="Arial"/>
        </w:rPr>
        <w:t>in excess of</w:t>
      </w:r>
      <w:proofErr w:type="gramEnd"/>
      <w:r w:rsidRPr="005C45E4">
        <w:rPr>
          <w:rFonts w:cs="Arial"/>
        </w:rPr>
        <w:t xml:space="preserve"> 50 years.</w:t>
      </w:r>
    </w:p>
    <w:p w14:paraId="6F4FF33D" w14:textId="77777777" w:rsidR="006351A1" w:rsidRPr="005C45E4" w:rsidRDefault="006351A1" w:rsidP="006351A1">
      <w:pPr>
        <w:jc w:val="both"/>
        <w:rPr>
          <w:rFonts w:cs="Arial"/>
        </w:rPr>
      </w:pPr>
    </w:p>
    <w:p w14:paraId="69336152" w14:textId="77777777" w:rsidR="006351A1" w:rsidRPr="005978E5" w:rsidRDefault="004A7A82" w:rsidP="006351A1">
      <w:pPr>
        <w:jc w:val="both"/>
        <w:rPr>
          <w:rFonts w:cs="Arial"/>
          <w:i/>
          <w:iCs/>
        </w:rPr>
      </w:pPr>
      <w:r w:rsidRPr="005978E5">
        <w:rPr>
          <w:rFonts w:cs="Arial"/>
          <w:i/>
          <w:iCs/>
        </w:rPr>
        <w:t xml:space="preserve">Depreciation method </w:t>
      </w:r>
    </w:p>
    <w:p w14:paraId="732971DC" w14:textId="77777777" w:rsidR="006351A1" w:rsidRPr="005C45E4" w:rsidRDefault="006351A1" w:rsidP="006351A1">
      <w:pPr>
        <w:jc w:val="both"/>
        <w:rPr>
          <w:rFonts w:cs="Arial"/>
        </w:rPr>
      </w:pPr>
    </w:p>
    <w:p w14:paraId="1801F46B" w14:textId="77777777" w:rsidR="006351A1" w:rsidRPr="005C45E4" w:rsidRDefault="004A7A82" w:rsidP="006351A1">
      <w:pPr>
        <w:jc w:val="both"/>
        <w:rPr>
          <w:rFonts w:cs="Arial"/>
        </w:rPr>
      </w:pPr>
      <w:r w:rsidRPr="005C45E4">
        <w:rPr>
          <w:rFonts w:cs="Arial"/>
        </w:rPr>
        <w:t xml:space="preserve">This requires a charge to be made of depreciation in line with normal accounting purposes. This could include the impact of any revaluations and would be calculated until the debt has been repaid. </w:t>
      </w:r>
    </w:p>
    <w:p w14:paraId="1E0A6B24" w14:textId="77777777" w:rsidR="006351A1" w:rsidRPr="005C45E4" w:rsidRDefault="006351A1" w:rsidP="006351A1">
      <w:pPr>
        <w:rPr>
          <w:rFonts w:cs="Arial"/>
          <w:b/>
        </w:rPr>
      </w:pPr>
    </w:p>
    <w:p w14:paraId="10BCF562" w14:textId="77777777" w:rsidR="006351A1" w:rsidRDefault="004A7A82" w:rsidP="005838A0">
      <w:pPr>
        <w:pStyle w:val="ListParagraph"/>
        <w:numPr>
          <w:ilvl w:val="0"/>
          <w:numId w:val="45"/>
        </w:numPr>
        <w:rPr>
          <w:rFonts w:cs="Arial"/>
          <w:b/>
        </w:rPr>
      </w:pPr>
      <w:r w:rsidRPr="00193BFB">
        <w:rPr>
          <w:rFonts w:cs="Arial"/>
          <w:b/>
        </w:rPr>
        <w:t xml:space="preserve">Leases* and Private Finance Initiative </w:t>
      </w:r>
    </w:p>
    <w:p w14:paraId="3C1E7802" w14:textId="77777777" w:rsidR="006351A1" w:rsidRPr="005467C7" w:rsidRDefault="004A7A82" w:rsidP="006351A1">
      <w:pPr>
        <w:pStyle w:val="ListParagraph"/>
        <w:ind w:left="360"/>
        <w:rPr>
          <w:rFonts w:cs="Arial"/>
          <w:b/>
        </w:rPr>
      </w:pPr>
      <w:r w:rsidRPr="005467C7">
        <w:rPr>
          <w:rFonts w:cs="Arial"/>
          <w:bCs/>
        </w:rPr>
        <w:t>(*</w:t>
      </w:r>
      <w:r w:rsidRPr="005467C7">
        <w:rPr>
          <w:rFonts w:cs="Arial"/>
        </w:rPr>
        <w:t>Now includes all leases not just finance leases)</w:t>
      </w:r>
    </w:p>
    <w:p w14:paraId="77EEC289" w14:textId="77777777" w:rsidR="006351A1" w:rsidRPr="005C45E4" w:rsidRDefault="006351A1" w:rsidP="006351A1">
      <w:pPr>
        <w:pStyle w:val="ListParagraph"/>
        <w:ind w:left="360"/>
        <w:rPr>
          <w:rFonts w:cs="Arial"/>
        </w:rPr>
      </w:pPr>
    </w:p>
    <w:p w14:paraId="1DA9EB7F" w14:textId="77777777" w:rsidR="006351A1" w:rsidRPr="005C45E4" w:rsidRDefault="004A7A82" w:rsidP="006351A1">
      <w:pPr>
        <w:jc w:val="both"/>
        <w:rPr>
          <w:rFonts w:cs="Arial"/>
        </w:rPr>
      </w:pPr>
      <w:r w:rsidRPr="005C45E4">
        <w:rPr>
          <w:rFonts w:cs="Arial"/>
        </w:rPr>
        <w:t xml:space="preserve">Assets held under a Private Finance Initiative contract </w:t>
      </w:r>
      <w:r>
        <w:rPr>
          <w:rFonts w:cs="Arial"/>
        </w:rPr>
        <w:t xml:space="preserve">and leases </w:t>
      </w:r>
      <w:r w:rsidRPr="005C45E4">
        <w:rPr>
          <w:rFonts w:cs="Arial"/>
        </w:rPr>
        <w:t>form part of the Balance Sheet. This has increased the capital financing requirement and</w:t>
      </w:r>
      <w:r>
        <w:rPr>
          <w:rFonts w:cs="Arial"/>
        </w:rPr>
        <w:t>,</w:t>
      </w:r>
      <w:r w:rsidRPr="005C45E4">
        <w:rPr>
          <w:rFonts w:cs="Arial"/>
        </w:rPr>
        <w:t xml:space="preserve"> on a 4% basis</w:t>
      </w:r>
      <w:r>
        <w:rPr>
          <w:rFonts w:cs="Arial"/>
        </w:rPr>
        <w:t>,</w:t>
      </w:r>
      <w:r w:rsidRPr="005C45E4">
        <w:rPr>
          <w:rFonts w:cs="Arial"/>
        </w:rPr>
        <w:t xml:space="preserve"> the potential charge to revenue. To prevent the increase the guidance permits a prudent charge to equate to the amount charged to revenue under the contract to repay the liability. </w:t>
      </w:r>
    </w:p>
    <w:p w14:paraId="1ABC2601" w14:textId="77777777" w:rsidR="006351A1" w:rsidRPr="00D20FEF" w:rsidRDefault="006351A1" w:rsidP="006351A1">
      <w:pPr>
        <w:rPr>
          <w:rFonts w:cs="Arial"/>
          <w:highlight w:val="yellow"/>
        </w:rPr>
      </w:pPr>
    </w:p>
    <w:p w14:paraId="3F0AB70D" w14:textId="77777777" w:rsidR="006351A1" w:rsidRPr="005C45E4" w:rsidRDefault="004A7A82" w:rsidP="005838A0">
      <w:pPr>
        <w:pStyle w:val="ListParagraph"/>
        <w:numPr>
          <w:ilvl w:val="0"/>
          <w:numId w:val="45"/>
        </w:numPr>
        <w:rPr>
          <w:rFonts w:cs="Arial"/>
          <w:b/>
        </w:rPr>
      </w:pPr>
      <w:r w:rsidRPr="005C45E4">
        <w:rPr>
          <w:rFonts w:cs="Arial"/>
          <w:b/>
        </w:rPr>
        <w:t>Application at L</w:t>
      </w:r>
      <w:r>
        <w:rPr>
          <w:rFonts w:cs="Arial"/>
          <w:b/>
        </w:rPr>
        <w:t xml:space="preserve">ancashire </w:t>
      </w:r>
      <w:r w:rsidRPr="005C45E4">
        <w:rPr>
          <w:rFonts w:cs="Arial"/>
          <w:b/>
        </w:rPr>
        <w:t>C</w:t>
      </w:r>
      <w:r>
        <w:rPr>
          <w:rFonts w:cs="Arial"/>
          <w:b/>
        </w:rPr>
        <w:t xml:space="preserve">ounty </w:t>
      </w:r>
      <w:r w:rsidRPr="005C45E4">
        <w:rPr>
          <w:rFonts w:cs="Arial"/>
          <w:b/>
        </w:rPr>
        <w:t>C</w:t>
      </w:r>
      <w:r>
        <w:rPr>
          <w:rFonts w:cs="Arial"/>
          <w:b/>
        </w:rPr>
        <w:t>ouncil</w:t>
      </w:r>
      <w:r w:rsidRPr="005C45E4">
        <w:rPr>
          <w:rFonts w:cs="Arial"/>
          <w:b/>
        </w:rPr>
        <w:t xml:space="preserve"> </w:t>
      </w:r>
    </w:p>
    <w:p w14:paraId="191D3A87" w14:textId="77777777" w:rsidR="006351A1" w:rsidRPr="005C45E4" w:rsidRDefault="006351A1" w:rsidP="006351A1">
      <w:pPr>
        <w:pStyle w:val="ListParagraph"/>
        <w:ind w:left="360"/>
        <w:rPr>
          <w:rFonts w:cs="Arial"/>
        </w:rPr>
      </w:pPr>
    </w:p>
    <w:p w14:paraId="115B077D" w14:textId="77777777" w:rsidR="006351A1" w:rsidRPr="005C45E4" w:rsidRDefault="004A7A82" w:rsidP="006351A1">
      <w:pPr>
        <w:jc w:val="both"/>
        <w:rPr>
          <w:rFonts w:cs="Arial"/>
        </w:rPr>
      </w:pPr>
      <w:r w:rsidRPr="005C45E4">
        <w:rPr>
          <w:rFonts w:cs="Arial"/>
        </w:rPr>
        <w:t xml:space="preserve">The relevant regulations require that the </w:t>
      </w:r>
      <w:r>
        <w:rPr>
          <w:rFonts w:cs="Arial"/>
        </w:rPr>
        <w:t>c</w:t>
      </w:r>
      <w:r w:rsidRPr="005C45E4">
        <w:rPr>
          <w:rFonts w:cs="Arial"/>
        </w:rPr>
        <w:t>ouncil make "prudent provision" for the repayment of debt, and departure from the options outlined above</w:t>
      </w:r>
      <w:r>
        <w:rPr>
          <w:rFonts w:cs="Arial"/>
        </w:rPr>
        <w:t>, which</w:t>
      </w:r>
      <w:r w:rsidRPr="005C45E4">
        <w:rPr>
          <w:rFonts w:cs="Arial"/>
        </w:rPr>
        <w:t xml:space="preserve"> is permissible if an alternative option is considered more appropriate.</w:t>
      </w:r>
    </w:p>
    <w:p w14:paraId="6C3B13F5" w14:textId="77777777" w:rsidR="006351A1" w:rsidRPr="005C45E4" w:rsidRDefault="006351A1" w:rsidP="006351A1">
      <w:pPr>
        <w:jc w:val="both"/>
        <w:rPr>
          <w:rFonts w:cs="Arial"/>
        </w:rPr>
      </w:pPr>
    </w:p>
    <w:p w14:paraId="31799E22" w14:textId="77777777" w:rsidR="006351A1" w:rsidRPr="00EE7310" w:rsidRDefault="004A7A82" w:rsidP="006351A1">
      <w:pPr>
        <w:jc w:val="both"/>
        <w:rPr>
          <w:rFonts w:cs="Arial"/>
          <w:i/>
        </w:rPr>
      </w:pPr>
      <w:r w:rsidRPr="00EE7310">
        <w:rPr>
          <w:rFonts w:cs="Arial"/>
          <w:i/>
        </w:rPr>
        <w:t xml:space="preserve">Supported </w:t>
      </w:r>
      <w:proofErr w:type="gramStart"/>
      <w:r w:rsidRPr="00EE7310">
        <w:rPr>
          <w:rFonts w:cs="Arial"/>
          <w:i/>
        </w:rPr>
        <w:t>borrowing</w:t>
      </w:r>
      <w:proofErr w:type="gramEnd"/>
      <w:r w:rsidRPr="00EE7310">
        <w:rPr>
          <w:rFonts w:cs="Arial"/>
          <w:i/>
        </w:rPr>
        <w:t xml:space="preserve"> </w:t>
      </w:r>
    </w:p>
    <w:p w14:paraId="21B44935" w14:textId="77777777" w:rsidR="006351A1" w:rsidRPr="005C45E4" w:rsidRDefault="006351A1" w:rsidP="006351A1">
      <w:pPr>
        <w:jc w:val="both"/>
        <w:rPr>
          <w:rFonts w:cs="Arial"/>
        </w:rPr>
      </w:pPr>
    </w:p>
    <w:p w14:paraId="1C693B57" w14:textId="77777777" w:rsidR="006351A1" w:rsidRDefault="004A7A82" w:rsidP="006351A1">
      <w:pPr>
        <w:jc w:val="both"/>
        <w:rPr>
          <w:rFonts w:cs="Arial"/>
        </w:rPr>
      </w:pPr>
      <w:r w:rsidRPr="005C45E4">
        <w:rPr>
          <w:rFonts w:cs="Arial"/>
        </w:rPr>
        <w:t>From 2008/09 to 2014/15 the Capital Financing Requirement option has been applied to all supported borrowing incurred before 1 April 2007. This charge was based on 4% of the outstanding capital financing. However, the charge was based on a 4% reducing balance which never effectively repays the debt. It was also considered that the 4% charge over-estimate</w:t>
      </w:r>
      <w:r>
        <w:rPr>
          <w:rFonts w:cs="Arial"/>
        </w:rPr>
        <w:t>d</w:t>
      </w:r>
      <w:r w:rsidRPr="005C45E4">
        <w:rPr>
          <w:rFonts w:cs="Arial"/>
        </w:rPr>
        <w:t xml:space="preserve"> the level of support within the revenue support grant. From 2015/16 the charge </w:t>
      </w:r>
      <w:r>
        <w:rPr>
          <w:rFonts w:cs="Arial"/>
        </w:rPr>
        <w:t xml:space="preserve">was </w:t>
      </w:r>
      <w:r w:rsidRPr="005C45E4">
        <w:rPr>
          <w:rFonts w:cs="Arial"/>
        </w:rPr>
        <w:t xml:space="preserve">made </w:t>
      </w:r>
      <w:r>
        <w:rPr>
          <w:rFonts w:cs="Arial"/>
        </w:rPr>
        <w:t>with</w:t>
      </w:r>
      <w:r w:rsidRPr="005C45E4">
        <w:rPr>
          <w:rFonts w:cs="Arial"/>
        </w:rPr>
        <w:t xml:space="preserve"> reference to the capital financing requirement based upon a 50</w:t>
      </w:r>
      <w:r>
        <w:rPr>
          <w:rFonts w:cs="Arial"/>
        </w:rPr>
        <w:t>-</w:t>
      </w:r>
      <w:r w:rsidRPr="005C45E4">
        <w:rPr>
          <w:rFonts w:cs="Arial"/>
        </w:rPr>
        <w:t xml:space="preserve">year life rather than a reducing balance. In 2017/18 it was considered </w:t>
      </w:r>
      <w:r w:rsidRPr="005C45E4">
        <w:rPr>
          <w:rFonts w:cs="Arial"/>
        </w:rPr>
        <w:lastRenderedPageBreak/>
        <w:t xml:space="preserve">that there had been an over-payment of </w:t>
      </w:r>
      <w:r w:rsidRPr="00CE00F0">
        <w:rPr>
          <w:rFonts w:cs="Arial"/>
        </w:rPr>
        <w:t>Minimum Revenue Provision</w:t>
      </w:r>
      <w:r w:rsidRPr="005C45E4">
        <w:rPr>
          <w:rFonts w:cs="Arial"/>
        </w:rPr>
        <w:t xml:space="preserve"> in earlier years and therefore the </w:t>
      </w:r>
      <w:r w:rsidRPr="00CE00F0">
        <w:rPr>
          <w:rFonts w:cs="Arial"/>
        </w:rPr>
        <w:t xml:space="preserve">Minimum Revenue Provision </w:t>
      </w:r>
      <w:r w:rsidRPr="005C45E4">
        <w:rPr>
          <w:rFonts w:cs="Arial"/>
        </w:rPr>
        <w:t>for years from 2017/18 would be reduced to £1 until the overpayment had been recovered. This will continue to be the case in 202</w:t>
      </w:r>
      <w:r>
        <w:rPr>
          <w:rFonts w:cs="Arial"/>
        </w:rPr>
        <w:t>4</w:t>
      </w:r>
      <w:r w:rsidRPr="005C45E4">
        <w:rPr>
          <w:rFonts w:cs="Arial"/>
        </w:rPr>
        <w:t>/2</w:t>
      </w:r>
      <w:r>
        <w:rPr>
          <w:rFonts w:cs="Arial"/>
        </w:rPr>
        <w:t>5</w:t>
      </w:r>
      <w:r w:rsidRPr="005C45E4">
        <w:rPr>
          <w:rFonts w:cs="Arial"/>
        </w:rPr>
        <w:t xml:space="preserve"> and therefore the </w:t>
      </w:r>
      <w:r w:rsidRPr="003428D1">
        <w:rPr>
          <w:rFonts w:cs="Arial"/>
        </w:rPr>
        <w:t>Minimum Revenue Provision</w:t>
      </w:r>
      <w:r w:rsidRPr="005C45E4">
        <w:rPr>
          <w:rFonts w:cs="Arial"/>
        </w:rPr>
        <w:t xml:space="preserve"> charge for the supported debt will be £1. </w:t>
      </w:r>
      <w:r>
        <w:rPr>
          <w:rFonts w:cs="Arial"/>
        </w:rPr>
        <w:t>In summary the overpayment position is:</w:t>
      </w:r>
    </w:p>
    <w:p w14:paraId="0C163E38" w14:textId="77777777" w:rsidR="006351A1" w:rsidRDefault="006351A1" w:rsidP="006351A1">
      <w:pPr>
        <w:jc w:val="both"/>
        <w:rPr>
          <w:rFonts w:cs="Arial"/>
        </w:rPr>
      </w:pPr>
    </w:p>
    <w:tbl>
      <w:tblPr>
        <w:tblW w:w="6619" w:type="dxa"/>
        <w:tblInd w:w="48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4824"/>
        <w:gridCol w:w="1795"/>
      </w:tblGrid>
      <w:tr w:rsidR="00C92CD8" w14:paraId="547F5114" w14:textId="77777777">
        <w:trPr>
          <w:trHeight w:val="397"/>
        </w:trPr>
        <w:tc>
          <w:tcPr>
            <w:tcW w:w="4824" w:type="dxa"/>
            <w:tcBorders>
              <w:top w:val="single" w:sz="12" w:space="0" w:color="auto"/>
              <w:bottom w:val="single" w:sz="12" w:space="0" w:color="auto"/>
            </w:tcBorders>
            <w:shd w:val="clear" w:color="auto" w:fill="auto"/>
            <w:vAlign w:val="center"/>
          </w:tcPr>
          <w:p w14:paraId="4C5D9401" w14:textId="77777777" w:rsidR="006351A1" w:rsidRPr="008C45E5" w:rsidRDefault="004A7A82">
            <w:pPr>
              <w:tabs>
                <w:tab w:val="left" w:pos="374"/>
                <w:tab w:val="left" w:pos="720"/>
                <w:tab w:val="left" w:pos="748"/>
                <w:tab w:val="left" w:pos="1260"/>
                <w:tab w:val="left" w:pos="1980"/>
                <w:tab w:val="left" w:pos="2520"/>
              </w:tabs>
              <w:rPr>
                <w:rFonts w:ascii="Trebuchet MS" w:hAnsi="Trebuchet MS" w:cs="Arial"/>
                <w:b/>
                <w:bCs/>
                <w:sz w:val="20"/>
                <w:szCs w:val="20"/>
              </w:rPr>
            </w:pPr>
            <w:r w:rsidRPr="008C45E5">
              <w:rPr>
                <w:rFonts w:ascii="Trebuchet MS" w:hAnsi="Trebuchet MS" w:cs="Arial"/>
                <w:b/>
                <w:bCs/>
                <w:sz w:val="20"/>
                <w:szCs w:val="20"/>
              </w:rPr>
              <w:t>MRP Overpayments</w:t>
            </w:r>
          </w:p>
        </w:tc>
        <w:tc>
          <w:tcPr>
            <w:tcW w:w="1795" w:type="dxa"/>
            <w:tcBorders>
              <w:top w:val="single" w:sz="12" w:space="0" w:color="auto"/>
              <w:bottom w:val="single" w:sz="12" w:space="0" w:color="auto"/>
            </w:tcBorders>
            <w:vAlign w:val="center"/>
          </w:tcPr>
          <w:p w14:paraId="3D03C3E7" w14:textId="77777777" w:rsidR="006351A1" w:rsidRPr="008C45E5" w:rsidRDefault="004A7A82">
            <w:pPr>
              <w:tabs>
                <w:tab w:val="left" w:pos="374"/>
                <w:tab w:val="left" w:pos="720"/>
                <w:tab w:val="left" w:pos="748"/>
                <w:tab w:val="left" w:pos="1260"/>
                <w:tab w:val="left" w:pos="1980"/>
                <w:tab w:val="left" w:pos="2520"/>
              </w:tabs>
              <w:jc w:val="center"/>
              <w:rPr>
                <w:rFonts w:ascii="Trebuchet MS" w:hAnsi="Trebuchet MS" w:cs="Arial"/>
                <w:b/>
                <w:bCs/>
                <w:sz w:val="20"/>
                <w:szCs w:val="20"/>
              </w:rPr>
            </w:pPr>
            <w:r w:rsidRPr="008C45E5">
              <w:rPr>
                <w:rFonts w:ascii="Trebuchet MS" w:hAnsi="Trebuchet MS" w:cs="Arial"/>
                <w:b/>
                <w:sz w:val="20"/>
                <w:szCs w:val="20"/>
              </w:rPr>
              <w:t>£m</w:t>
            </w:r>
          </w:p>
        </w:tc>
      </w:tr>
      <w:tr w:rsidR="00C92CD8" w14:paraId="5A550BAC" w14:textId="77777777">
        <w:trPr>
          <w:trHeight w:val="397"/>
        </w:trPr>
        <w:tc>
          <w:tcPr>
            <w:tcW w:w="4824" w:type="dxa"/>
            <w:shd w:val="clear" w:color="auto" w:fill="auto"/>
            <w:noWrap/>
            <w:vAlign w:val="center"/>
          </w:tcPr>
          <w:p w14:paraId="33565624" w14:textId="77777777" w:rsidR="006351A1" w:rsidRPr="008C45E5" w:rsidRDefault="004A7A82">
            <w:pPr>
              <w:tabs>
                <w:tab w:val="left" w:pos="374"/>
                <w:tab w:val="left" w:pos="720"/>
                <w:tab w:val="left" w:pos="748"/>
                <w:tab w:val="left" w:pos="1260"/>
                <w:tab w:val="left" w:pos="1980"/>
                <w:tab w:val="left" w:pos="2520"/>
              </w:tabs>
              <w:rPr>
                <w:rFonts w:cs="Arial"/>
                <w:sz w:val="20"/>
                <w:szCs w:val="20"/>
              </w:rPr>
            </w:pPr>
            <w:r w:rsidRPr="008C45E5">
              <w:rPr>
                <w:rFonts w:cs="Arial"/>
                <w:sz w:val="20"/>
                <w:szCs w:val="20"/>
              </w:rPr>
              <w:t>Actual balance 31.03.2023</w:t>
            </w:r>
          </w:p>
        </w:tc>
        <w:tc>
          <w:tcPr>
            <w:tcW w:w="1795" w:type="dxa"/>
            <w:vAlign w:val="center"/>
          </w:tcPr>
          <w:p w14:paraId="12336FCF" w14:textId="77777777" w:rsidR="006351A1" w:rsidRPr="008C45E5" w:rsidRDefault="004A7A82">
            <w:pPr>
              <w:tabs>
                <w:tab w:val="left" w:pos="374"/>
                <w:tab w:val="left" w:pos="720"/>
                <w:tab w:val="left" w:pos="748"/>
                <w:tab w:val="left" w:pos="1260"/>
                <w:tab w:val="left" w:pos="1980"/>
                <w:tab w:val="left" w:pos="2520"/>
              </w:tabs>
              <w:jc w:val="center"/>
              <w:rPr>
                <w:rFonts w:cs="Arial"/>
                <w:sz w:val="20"/>
                <w:szCs w:val="20"/>
              </w:rPr>
            </w:pPr>
            <w:r w:rsidRPr="008C45E5">
              <w:rPr>
                <w:rFonts w:cs="Arial"/>
                <w:sz w:val="20"/>
                <w:szCs w:val="20"/>
              </w:rPr>
              <w:t>83.2</w:t>
            </w:r>
          </w:p>
        </w:tc>
      </w:tr>
      <w:tr w:rsidR="00C92CD8" w14:paraId="468C9DFB" w14:textId="77777777">
        <w:trPr>
          <w:trHeight w:val="397"/>
        </w:trPr>
        <w:tc>
          <w:tcPr>
            <w:tcW w:w="4824" w:type="dxa"/>
            <w:shd w:val="clear" w:color="auto" w:fill="auto"/>
            <w:noWrap/>
            <w:vAlign w:val="center"/>
          </w:tcPr>
          <w:p w14:paraId="0BADBD86" w14:textId="77777777" w:rsidR="006351A1" w:rsidRPr="008C45E5" w:rsidRDefault="004A7A82">
            <w:pPr>
              <w:tabs>
                <w:tab w:val="left" w:pos="374"/>
                <w:tab w:val="left" w:pos="720"/>
                <w:tab w:val="left" w:pos="748"/>
                <w:tab w:val="left" w:pos="1260"/>
                <w:tab w:val="left" w:pos="1980"/>
                <w:tab w:val="left" w:pos="2520"/>
              </w:tabs>
              <w:rPr>
                <w:rFonts w:cs="Arial"/>
                <w:sz w:val="20"/>
                <w:szCs w:val="20"/>
              </w:rPr>
            </w:pPr>
            <w:r w:rsidRPr="008C45E5">
              <w:rPr>
                <w:rFonts w:cs="Arial"/>
                <w:sz w:val="20"/>
                <w:szCs w:val="20"/>
              </w:rPr>
              <w:t>Approved drawdown</w:t>
            </w:r>
            <w:r w:rsidRPr="008C45E5">
              <w:rPr>
                <w:rFonts w:cs="Arial"/>
                <w:color w:val="AF173B"/>
                <w:sz w:val="20"/>
                <w:szCs w:val="20"/>
              </w:rPr>
              <w:t xml:space="preserve"> </w:t>
            </w:r>
            <w:r w:rsidRPr="008C45E5">
              <w:rPr>
                <w:rFonts w:cs="Arial"/>
                <w:sz w:val="20"/>
                <w:szCs w:val="20"/>
              </w:rPr>
              <w:t>2023/24</w:t>
            </w:r>
          </w:p>
        </w:tc>
        <w:tc>
          <w:tcPr>
            <w:tcW w:w="1795" w:type="dxa"/>
            <w:vAlign w:val="center"/>
          </w:tcPr>
          <w:p w14:paraId="234C70B5" w14:textId="77777777" w:rsidR="006351A1" w:rsidRPr="008C45E5" w:rsidRDefault="004A7A82">
            <w:pPr>
              <w:tabs>
                <w:tab w:val="left" w:pos="374"/>
                <w:tab w:val="left" w:pos="720"/>
                <w:tab w:val="left" w:pos="748"/>
                <w:tab w:val="left" w:pos="1260"/>
                <w:tab w:val="left" w:pos="1980"/>
                <w:tab w:val="left" w:pos="2520"/>
              </w:tabs>
              <w:jc w:val="center"/>
              <w:rPr>
                <w:rFonts w:cs="Arial"/>
                <w:sz w:val="20"/>
                <w:szCs w:val="20"/>
              </w:rPr>
            </w:pPr>
            <w:r w:rsidRPr="008C45E5">
              <w:rPr>
                <w:rFonts w:cs="Arial"/>
                <w:sz w:val="20"/>
                <w:szCs w:val="20"/>
              </w:rPr>
              <w:t>-8.5</w:t>
            </w:r>
          </w:p>
        </w:tc>
      </w:tr>
      <w:tr w:rsidR="00C92CD8" w14:paraId="047EBC25" w14:textId="77777777">
        <w:trPr>
          <w:trHeight w:val="397"/>
        </w:trPr>
        <w:tc>
          <w:tcPr>
            <w:tcW w:w="4824" w:type="dxa"/>
            <w:shd w:val="clear" w:color="auto" w:fill="auto"/>
            <w:noWrap/>
            <w:vAlign w:val="center"/>
          </w:tcPr>
          <w:p w14:paraId="1B9571F0" w14:textId="77777777" w:rsidR="006351A1" w:rsidRPr="008C45E5" w:rsidRDefault="004A7A82">
            <w:pPr>
              <w:tabs>
                <w:tab w:val="left" w:pos="374"/>
                <w:tab w:val="left" w:pos="720"/>
                <w:tab w:val="left" w:pos="748"/>
                <w:tab w:val="left" w:pos="1260"/>
                <w:tab w:val="left" w:pos="1980"/>
                <w:tab w:val="left" w:pos="2520"/>
              </w:tabs>
              <w:rPr>
                <w:rFonts w:cs="Arial"/>
                <w:sz w:val="20"/>
                <w:szCs w:val="20"/>
              </w:rPr>
            </w:pPr>
            <w:r w:rsidRPr="008C45E5">
              <w:rPr>
                <w:rFonts w:cs="Arial"/>
                <w:sz w:val="20"/>
                <w:szCs w:val="20"/>
              </w:rPr>
              <w:t>Expected balance 31.03.2024</w:t>
            </w:r>
          </w:p>
        </w:tc>
        <w:tc>
          <w:tcPr>
            <w:tcW w:w="1795" w:type="dxa"/>
            <w:vAlign w:val="center"/>
          </w:tcPr>
          <w:p w14:paraId="4F40D02A" w14:textId="77777777" w:rsidR="006351A1" w:rsidRPr="008C45E5" w:rsidRDefault="004A7A82">
            <w:pPr>
              <w:tabs>
                <w:tab w:val="left" w:pos="374"/>
                <w:tab w:val="left" w:pos="720"/>
                <w:tab w:val="left" w:pos="748"/>
                <w:tab w:val="left" w:pos="1260"/>
                <w:tab w:val="left" w:pos="1980"/>
                <w:tab w:val="left" w:pos="2520"/>
              </w:tabs>
              <w:jc w:val="center"/>
              <w:rPr>
                <w:rFonts w:cs="Arial"/>
                <w:sz w:val="20"/>
                <w:szCs w:val="20"/>
              </w:rPr>
            </w:pPr>
            <w:r w:rsidRPr="008C45E5">
              <w:rPr>
                <w:rFonts w:cs="Arial"/>
                <w:sz w:val="20"/>
                <w:szCs w:val="20"/>
              </w:rPr>
              <w:t>74.7</w:t>
            </w:r>
          </w:p>
        </w:tc>
      </w:tr>
      <w:tr w:rsidR="00C92CD8" w14:paraId="0FC2C027" w14:textId="77777777">
        <w:trPr>
          <w:trHeight w:val="397"/>
        </w:trPr>
        <w:tc>
          <w:tcPr>
            <w:tcW w:w="4824" w:type="dxa"/>
            <w:shd w:val="clear" w:color="auto" w:fill="auto"/>
            <w:noWrap/>
            <w:vAlign w:val="center"/>
          </w:tcPr>
          <w:p w14:paraId="0D04859A" w14:textId="77777777" w:rsidR="006351A1" w:rsidRPr="008C45E5" w:rsidRDefault="004A7A82">
            <w:pPr>
              <w:tabs>
                <w:tab w:val="left" w:pos="374"/>
                <w:tab w:val="left" w:pos="720"/>
                <w:tab w:val="left" w:pos="748"/>
                <w:tab w:val="left" w:pos="1260"/>
                <w:tab w:val="left" w:pos="1980"/>
                <w:tab w:val="left" w:pos="2520"/>
              </w:tabs>
              <w:rPr>
                <w:rFonts w:cs="Arial"/>
                <w:sz w:val="20"/>
                <w:szCs w:val="20"/>
              </w:rPr>
            </w:pPr>
            <w:r w:rsidRPr="008C45E5">
              <w:rPr>
                <w:rFonts w:cs="Arial"/>
                <w:sz w:val="20"/>
                <w:szCs w:val="20"/>
              </w:rPr>
              <w:t>Planned drawdown</w:t>
            </w:r>
            <w:r w:rsidRPr="008C45E5">
              <w:rPr>
                <w:rFonts w:cs="Arial"/>
                <w:color w:val="AF173B"/>
                <w:sz w:val="20"/>
                <w:szCs w:val="20"/>
              </w:rPr>
              <w:t xml:space="preserve"> </w:t>
            </w:r>
            <w:r w:rsidRPr="008C45E5">
              <w:rPr>
                <w:rFonts w:cs="Arial"/>
                <w:sz w:val="20"/>
                <w:szCs w:val="20"/>
              </w:rPr>
              <w:t>2024/25</w:t>
            </w:r>
          </w:p>
        </w:tc>
        <w:tc>
          <w:tcPr>
            <w:tcW w:w="1795" w:type="dxa"/>
            <w:vAlign w:val="center"/>
          </w:tcPr>
          <w:p w14:paraId="0186143B" w14:textId="77777777" w:rsidR="006351A1" w:rsidRPr="008C45E5" w:rsidRDefault="004A7A82">
            <w:pPr>
              <w:tabs>
                <w:tab w:val="left" w:pos="374"/>
                <w:tab w:val="left" w:pos="720"/>
                <w:tab w:val="left" w:pos="748"/>
                <w:tab w:val="left" w:pos="1260"/>
                <w:tab w:val="left" w:pos="1980"/>
                <w:tab w:val="left" w:pos="2520"/>
              </w:tabs>
              <w:jc w:val="center"/>
              <w:rPr>
                <w:rFonts w:cs="Arial"/>
                <w:sz w:val="20"/>
                <w:szCs w:val="20"/>
              </w:rPr>
            </w:pPr>
            <w:r w:rsidRPr="008C45E5">
              <w:rPr>
                <w:rFonts w:cs="Arial"/>
                <w:sz w:val="20"/>
                <w:szCs w:val="20"/>
              </w:rPr>
              <w:t>-8.8</w:t>
            </w:r>
          </w:p>
        </w:tc>
      </w:tr>
      <w:tr w:rsidR="00C92CD8" w14:paraId="44ABD251" w14:textId="77777777">
        <w:trPr>
          <w:trHeight w:val="397"/>
        </w:trPr>
        <w:tc>
          <w:tcPr>
            <w:tcW w:w="4824" w:type="dxa"/>
            <w:shd w:val="clear" w:color="auto" w:fill="auto"/>
            <w:noWrap/>
            <w:vAlign w:val="center"/>
          </w:tcPr>
          <w:p w14:paraId="3D524BCC" w14:textId="77777777" w:rsidR="006351A1" w:rsidRPr="008C45E5" w:rsidRDefault="004A7A82">
            <w:pPr>
              <w:tabs>
                <w:tab w:val="left" w:pos="374"/>
                <w:tab w:val="left" w:pos="720"/>
                <w:tab w:val="left" w:pos="748"/>
                <w:tab w:val="left" w:pos="1260"/>
                <w:tab w:val="left" w:pos="1980"/>
                <w:tab w:val="left" w:pos="2520"/>
              </w:tabs>
              <w:rPr>
                <w:rFonts w:cs="Arial"/>
                <w:sz w:val="20"/>
                <w:szCs w:val="20"/>
              </w:rPr>
            </w:pPr>
            <w:r w:rsidRPr="008C45E5">
              <w:rPr>
                <w:rFonts w:cs="Arial"/>
                <w:sz w:val="20"/>
                <w:szCs w:val="20"/>
              </w:rPr>
              <w:t>Forecast balance 31.03.2024</w:t>
            </w:r>
          </w:p>
        </w:tc>
        <w:tc>
          <w:tcPr>
            <w:tcW w:w="1795" w:type="dxa"/>
            <w:vAlign w:val="center"/>
          </w:tcPr>
          <w:p w14:paraId="193295DC" w14:textId="77777777" w:rsidR="006351A1" w:rsidRPr="008C45E5" w:rsidRDefault="004A7A82">
            <w:pPr>
              <w:tabs>
                <w:tab w:val="left" w:pos="374"/>
                <w:tab w:val="left" w:pos="720"/>
                <w:tab w:val="left" w:pos="748"/>
                <w:tab w:val="left" w:pos="1260"/>
                <w:tab w:val="left" w:pos="1980"/>
                <w:tab w:val="left" w:pos="2520"/>
              </w:tabs>
              <w:jc w:val="center"/>
              <w:rPr>
                <w:rFonts w:cs="Arial"/>
                <w:sz w:val="20"/>
                <w:szCs w:val="20"/>
              </w:rPr>
            </w:pPr>
            <w:r w:rsidRPr="008C45E5">
              <w:rPr>
                <w:rFonts w:cs="Arial"/>
                <w:sz w:val="20"/>
                <w:szCs w:val="20"/>
              </w:rPr>
              <w:t>65.9</w:t>
            </w:r>
          </w:p>
        </w:tc>
      </w:tr>
    </w:tbl>
    <w:p w14:paraId="0EB04C83" w14:textId="77777777" w:rsidR="006351A1" w:rsidRPr="005C45E4" w:rsidRDefault="006351A1" w:rsidP="006351A1">
      <w:pPr>
        <w:jc w:val="both"/>
        <w:rPr>
          <w:rFonts w:cs="Arial"/>
        </w:rPr>
      </w:pPr>
    </w:p>
    <w:p w14:paraId="1C740453" w14:textId="77777777" w:rsidR="006351A1" w:rsidRPr="005C45E4" w:rsidRDefault="006351A1" w:rsidP="006351A1">
      <w:pPr>
        <w:jc w:val="both"/>
        <w:rPr>
          <w:rFonts w:cs="Arial"/>
        </w:rPr>
      </w:pPr>
    </w:p>
    <w:p w14:paraId="29D6A99D" w14:textId="77777777" w:rsidR="006351A1" w:rsidRPr="00EE7310" w:rsidRDefault="004A7A82" w:rsidP="006351A1">
      <w:pPr>
        <w:jc w:val="both"/>
        <w:rPr>
          <w:rFonts w:cs="Arial"/>
          <w:i/>
        </w:rPr>
      </w:pPr>
      <w:r w:rsidRPr="00EE7310">
        <w:rPr>
          <w:rFonts w:cs="Arial"/>
          <w:i/>
        </w:rPr>
        <w:t>Unsupported borrowing</w:t>
      </w:r>
    </w:p>
    <w:p w14:paraId="2B35AE20" w14:textId="77777777" w:rsidR="006351A1" w:rsidRPr="005C45E4" w:rsidRDefault="006351A1" w:rsidP="006351A1">
      <w:pPr>
        <w:jc w:val="both"/>
        <w:rPr>
          <w:rFonts w:cs="Arial"/>
        </w:rPr>
      </w:pPr>
    </w:p>
    <w:p w14:paraId="4565BD0B" w14:textId="77777777" w:rsidR="006351A1" w:rsidRPr="005C45E4" w:rsidRDefault="004A7A82" w:rsidP="006351A1">
      <w:pPr>
        <w:jc w:val="both"/>
        <w:rPr>
          <w:rFonts w:cs="Arial"/>
        </w:rPr>
      </w:pPr>
      <w:r w:rsidRPr="005C45E4">
        <w:rPr>
          <w:rFonts w:cs="Arial"/>
        </w:rPr>
        <w:t xml:space="preserve">The </w:t>
      </w:r>
      <w:r w:rsidRPr="00CE00F0">
        <w:rPr>
          <w:rFonts w:cs="Arial"/>
        </w:rPr>
        <w:t>Minimum Revenue Provision</w:t>
      </w:r>
      <w:r w:rsidRPr="005C45E4">
        <w:rPr>
          <w:rFonts w:cs="Arial"/>
        </w:rPr>
        <w:t xml:space="preserve"> for Capital expenditure financed from unsupported borrowing has been calculated using the Asset Life Method on an annuity basis. It is proposed that this continues for calculating the </w:t>
      </w:r>
      <w:r w:rsidRPr="00CE00F0">
        <w:rPr>
          <w:rFonts w:cs="Arial"/>
        </w:rPr>
        <w:t>Minimum Revenue Provision</w:t>
      </w:r>
      <w:r w:rsidRPr="005C45E4">
        <w:rPr>
          <w:rFonts w:cs="Arial"/>
        </w:rPr>
        <w:t xml:space="preserve"> for 202</w:t>
      </w:r>
      <w:r>
        <w:rPr>
          <w:rFonts w:cs="Arial"/>
        </w:rPr>
        <w:t>4</w:t>
      </w:r>
      <w:r w:rsidRPr="005C45E4">
        <w:rPr>
          <w:rFonts w:cs="Arial"/>
        </w:rPr>
        <w:t>/2</w:t>
      </w:r>
      <w:r>
        <w:rPr>
          <w:rFonts w:cs="Arial"/>
        </w:rPr>
        <w:t>5</w:t>
      </w:r>
      <w:r w:rsidRPr="005C45E4">
        <w:rPr>
          <w:rFonts w:cs="Arial"/>
        </w:rPr>
        <w:t>. This includes expenditure incurred in 2008/09 to 2014/15</w:t>
      </w:r>
      <w:r>
        <w:rPr>
          <w:rFonts w:cs="Arial"/>
        </w:rPr>
        <w:t>,</w:t>
      </w:r>
      <w:r w:rsidRPr="005C45E4">
        <w:rPr>
          <w:rFonts w:cs="Arial"/>
        </w:rPr>
        <w:t xml:space="preserve"> when the </w:t>
      </w:r>
      <w:r w:rsidRPr="003428D1">
        <w:rPr>
          <w:rFonts w:cs="Arial"/>
        </w:rPr>
        <w:t>Minimum Revenue Provision</w:t>
      </w:r>
      <w:r w:rsidRPr="005C45E4">
        <w:rPr>
          <w:rFonts w:cs="Arial"/>
        </w:rPr>
        <w:t xml:space="preserve"> was initially calculated using </w:t>
      </w:r>
      <w:r>
        <w:rPr>
          <w:rFonts w:cs="Arial"/>
        </w:rPr>
        <w:t xml:space="preserve">the </w:t>
      </w:r>
      <w:r w:rsidRPr="005C45E4">
        <w:rPr>
          <w:rFonts w:cs="Arial"/>
        </w:rPr>
        <w:t xml:space="preserve">Asset Life method (Equal Charge approach). </w:t>
      </w:r>
    </w:p>
    <w:p w14:paraId="6B122A68" w14:textId="77777777" w:rsidR="006351A1" w:rsidRPr="005C45E4" w:rsidRDefault="006351A1" w:rsidP="006351A1">
      <w:pPr>
        <w:jc w:val="both"/>
        <w:rPr>
          <w:rFonts w:cs="Arial"/>
        </w:rPr>
      </w:pPr>
    </w:p>
    <w:p w14:paraId="32F1C8B3" w14:textId="77777777" w:rsidR="006351A1" w:rsidRPr="005C45E4" w:rsidRDefault="004A7A82" w:rsidP="006351A1">
      <w:pPr>
        <w:jc w:val="both"/>
        <w:rPr>
          <w:rFonts w:cs="Arial"/>
        </w:rPr>
      </w:pPr>
      <w:r w:rsidRPr="005C45E4">
        <w:rPr>
          <w:rFonts w:cs="Arial"/>
        </w:rPr>
        <w:t>Private Finance Initiative</w:t>
      </w:r>
      <w:r>
        <w:rPr>
          <w:rFonts w:cs="Arial"/>
        </w:rPr>
        <w:t xml:space="preserve"> and any leases </w:t>
      </w:r>
      <w:r w:rsidRPr="005C45E4">
        <w:rPr>
          <w:rFonts w:cs="Arial"/>
        </w:rPr>
        <w:t>payments will be made in line with the amounts due to repay the liability under the contract</w:t>
      </w:r>
      <w:r>
        <w:rPr>
          <w:rFonts w:cs="Arial"/>
        </w:rPr>
        <w:t>.</w:t>
      </w:r>
    </w:p>
    <w:p w14:paraId="00AD4AAE" w14:textId="77777777" w:rsidR="006351A1" w:rsidRPr="005C45E4" w:rsidRDefault="006351A1" w:rsidP="006351A1">
      <w:pPr>
        <w:jc w:val="both"/>
        <w:rPr>
          <w:rFonts w:cs="Arial"/>
        </w:rPr>
      </w:pPr>
    </w:p>
    <w:p w14:paraId="1316ABE9" w14:textId="77777777" w:rsidR="006351A1" w:rsidRPr="00193BFB" w:rsidRDefault="004A7A82" w:rsidP="006351A1">
      <w:pPr>
        <w:jc w:val="both"/>
        <w:rPr>
          <w:rFonts w:cs="Arial"/>
        </w:rPr>
      </w:pPr>
      <w:r w:rsidRPr="00193BFB">
        <w:rPr>
          <w:rFonts w:cs="Arial"/>
        </w:rPr>
        <w:t xml:space="preserve">Minimum Revenue Provision will not be made in relation to </w:t>
      </w:r>
      <w:r w:rsidRPr="00F43912">
        <w:rPr>
          <w:rFonts w:cs="Arial"/>
        </w:rPr>
        <w:t>new assets until the financial year after which the project is deemed to be operational.</w:t>
      </w:r>
    </w:p>
    <w:p w14:paraId="67CDD40C" w14:textId="77777777" w:rsidR="006351A1" w:rsidRPr="005C45E4" w:rsidRDefault="006351A1" w:rsidP="006351A1">
      <w:pPr>
        <w:jc w:val="both"/>
        <w:rPr>
          <w:rFonts w:cs="Arial"/>
        </w:rPr>
      </w:pPr>
    </w:p>
    <w:p w14:paraId="5E4CC3DC" w14:textId="77777777" w:rsidR="006351A1" w:rsidRPr="00EE7310" w:rsidRDefault="004A7A82" w:rsidP="006351A1">
      <w:pPr>
        <w:jc w:val="both"/>
        <w:rPr>
          <w:rFonts w:cs="Arial"/>
          <w:i/>
        </w:rPr>
      </w:pPr>
      <w:r w:rsidRPr="00EE7310">
        <w:rPr>
          <w:rFonts w:cs="Arial"/>
          <w:i/>
        </w:rPr>
        <w:t>Overpayments</w:t>
      </w:r>
    </w:p>
    <w:p w14:paraId="4202BBDE" w14:textId="77777777" w:rsidR="006351A1" w:rsidRPr="005C45E4" w:rsidRDefault="006351A1" w:rsidP="006351A1">
      <w:pPr>
        <w:jc w:val="both"/>
        <w:rPr>
          <w:rFonts w:cs="Arial"/>
        </w:rPr>
      </w:pPr>
    </w:p>
    <w:p w14:paraId="7DEE1188" w14:textId="77777777" w:rsidR="006351A1" w:rsidRPr="005C45E4" w:rsidRDefault="004A7A82" w:rsidP="006351A1">
      <w:pPr>
        <w:jc w:val="both"/>
        <w:rPr>
          <w:rFonts w:cs="Arial"/>
        </w:rPr>
      </w:pPr>
      <w:r w:rsidRPr="005C45E4">
        <w:rPr>
          <w:rFonts w:cs="Arial"/>
        </w:rPr>
        <w:t xml:space="preserve">The guidance does allow for charges </w:t>
      </w:r>
      <w:proofErr w:type="gramStart"/>
      <w:r w:rsidRPr="005C45E4">
        <w:rPr>
          <w:rFonts w:cs="Arial"/>
        </w:rPr>
        <w:t>in excess of</w:t>
      </w:r>
      <w:proofErr w:type="gramEnd"/>
      <w:r w:rsidRPr="005C45E4">
        <w:rPr>
          <w:rFonts w:cs="Arial"/>
        </w:rPr>
        <w:t xml:space="preserve"> the minimum to be made. It is not proposed that any overpayments will be made in 202</w:t>
      </w:r>
      <w:r>
        <w:rPr>
          <w:rFonts w:cs="Arial"/>
        </w:rPr>
        <w:t>4</w:t>
      </w:r>
      <w:r w:rsidRPr="005C45E4">
        <w:rPr>
          <w:rFonts w:cs="Arial"/>
        </w:rPr>
        <w:t>/2</w:t>
      </w:r>
      <w:r>
        <w:rPr>
          <w:rFonts w:cs="Arial"/>
        </w:rPr>
        <w:t>5</w:t>
      </w:r>
      <w:r w:rsidRPr="005C45E4">
        <w:rPr>
          <w:rFonts w:cs="Arial"/>
        </w:rPr>
        <w:t xml:space="preserve">. </w:t>
      </w:r>
    </w:p>
    <w:p w14:paraId="31237F1A" w14:textId="77777777" w:rsidR="006351A1" w:rsidRPr="005C45E4" w:rsidRDefault="006351A1" w:rsidP="006351A1">
      <w:pPr>
        <w:rPr>
          <w:rFonts w:cs="Arial"/>
        </w:rPr>
      </w:pPr>
    </w:p>
    <w:p w14:paraId="39CFC31D" w14:textId="77777777" w:rsidR="006351A1" w:rsidRPr="005C45E4" w:rsidRDefault="004A7A82" w:rsidP="005838A0">
      <w:pPr>
        <w:pStyle w:val="ListParagraph"/>
        <w:numPr>
          <w:ilvl w:val="0"/>
          <w:numId w:val="45"/>
        </w:numPr>
        <w:rPr>
          <w:rFonts w:cs="Arial"/>
          <w:b/>
        </w:rPr>
      </w:pPr>
      <w:r w:rsidRPr="005C45E4">
        <w:rPr>
          <w:rFonts w:cs="Arial"/>
          <w:b/>
        </w:rPr>
        <w:t xml:space="preserve">Recommendations </w:t>
      </w:r>
    </w:p>
    <w:p w14:paraId="727D11FD" w14:textId="77777777" w:rsidR="006351A1" w:rsidRPr="005C45E4" w:rsidRDefault="006351A1" w:rsidP="006351A1">
      <w:pPr>
        <w:pStyle w:val="ListParagraph"/>
        <w:ind w:left="360"/>
        <w:rPr>
          <w:rFonts w:cs="Arial"/>
        </w:rPr>
      </w:pPr>
    </w:p>
    <w:p w14:paraId="43280AAD" w14:textId="77777777" w:rsidR="006351A1" w:rsidRPr="005C45E4" w:rsidRDefault="004A7A82" w:rsidP="006351A1">
      <w:pPr>
        <w:jc w:val="both"/>
        <w:rPr>
          <w:rFonts w:cs="Arial"/>
        </w:rPr>
      </w:pPr>
      <w:r w:rsidRPr="005C45E4">
        <w:rPr>
          <w:rFonts w:cs="Arial"/>
        </w:rPr>
        <w:t xml:space="preserve">In respect of the methodology for applying the minimum revenue provision </w:t>
      </w:r>
      <w:r>
        <w:rPr>
          <w:rFonts w:cs="Arial"/>
        </w:rPr>
        <w:t xml:space="preserve">for the </w:t>
      </w:r>
      <w:r w:rsidRPr="005C45E4">
        <w:rPr>
          <w:rFonts w:cs="Arial"/>
        </w:rPr>
        <w:t>repayment of debt, it is recommend</w:t>
      </w:r>
      <w:r>
        <w:rPr>
          <w:rFonts w:cs="Arial"/>
        </w:rPr>
        <w:t>ed</w:t>
      </w:r>
      <w:r w:rsidRPr="005C45E4">
        <w:rPr>
          <w:rFonts w:cs="Arial"/>
        </w:rPr>
        <w:t xml:space="preserve"> that the Full Council: </w:t>
      </w:r>
    </w:p>
    <w:p w14:paraId="722E5ABF" w14:textId="77777777" w:rsidR="006351A1" w:rsidRPr="005C45E4" w:rsidRDefault="006351A1" w:rsidP="006351A1">
      <w:pPr>
        <w:jc w:val="both"/>
        <w:rPr>
          <w:rFonts w:cs="Arial"/>
        </w:rPr>
      </w:pPr>
    </w:p>
    <w:p w14:paraId="775C51A9" w14:textId="77777777" w:rsidR="006351A1" w:rsidRPr="00EE7310" w:rsidRDefault="004A7A82" w:rsidP="005838A0">
      <w:pPr>
        <w:pStyle w:val="ListParagraph"/>
        <w:numPr>
          <w:ilvl w:val="0"/>
          <w:numId w:val="46"/>
        </w:numPr>
        <w:jc w:val="both"/>
        <w:rPr>
          <w:rFonts w:cs="Arial"/>
        </w:rPr>
      </w:pPr>
      <w:r w:rsidRPr="00EE7310">
        <w:rPr>
          <w:rFonts w:cs="Arial"/>
        </w:rPr>
        <w:t>Approves the Capital Financing Requirement method and the Asset Life method for expenditure as outlined in section</w:t>
      </w:r>
      <w:r>
        <w:rPr>
          <w:rFonts w:cs="Arial"/>
        </w:rPr>
        <w:t xml:space="preserve"> four</w:t>
      </w:r>
      <w:r w:rsidRPr="00EE7310">
        <w:rPr>
          <w:rFonts w:cs="Arial"/>
        </w:rPr>
        <w:t xml:space="preserve">. </w:t>
      </w:r>
    </w:p>
    <w:p w14:paraId="2BB5BF66" w14:textId="77777777" w:rsidR="006351A1" w:rsidRPr="00EE7310" w:rsidRDefault="004A7A82" w:rsidP="005838A0">
      <w:pPr>
        <w:pStyle w:val="ListParagraph"/>
        <w:numPr>
          <w:ilvl w:val="0"/>
          <w:numId w:val="46"/>
        </w:numPr>
        <w:jc w:val="both"/>
        <w:rPr>
          <w:rFonts w:cs="Arial"/>
        </w:rPr>
      </w:pPr>
      <w:r w:rsidRPr="00EE7310">
        <w:rPr>
          <w:rFonts w:cs="Arial"/>
        </w:rPr>
        <w:t xml:space="preserve">Charges to revenue a sum equal to the repayment of any credit liability. </w:t>
      </w:r>
    </w:p>
    <w:p w14:paraId="767C8165" w14:textId="77777777" w:rsidR="006351A1" w:rsidRPr="00EE7310" w:rsidRDefault="004A7A82" w:rsidP="005838A0">
      <w:pPr>
        <w:pStyle w:val="ListParagraph"/>
        <w:numPr>
          <w:ilvl w:val="0"/>
          <w:numId w:val="46"/>
        </w:numPr>
        <w:jc w:val="both"/>
        <w:rPr>
          <w:rFonts w:cs="Arial"/>
        </w:rPr>
      </w:pPr>
      <w:r w:rsidRPr="00EE7310">
        <w:rPr>
          <w:rFonts w:cs="Arial"/>
        </w:rPr>
        <w:t>Approve the policy of not starting charging revenue until the capital project is operational.</w:t>
      </w:r>
    </w:p>
    <w:p w14:paraId="2269DDD9" w14:textId="77777777" w:rsidR="00A64552" w:rsidRDefault="00A64552" w:rsidP="00320643">
      <w:pPr>
        <w:autoSpaceDE w:val="0"/>
        <w:autoSpaceDN w:val="0"/>
        <w:adjustRightInd w:val="0"/>
        <w:jc w:val="both"/>
        <w:rPr>
          <w:rFonts w:eastAsia="Calibri" w:cs="Helvetica-Light"/>
          <w:color w:val="000000"/>
        </w:rPr>
      </w:pPr>
    </w:p>
    <w:p w14:paraId="249F9CEF" w14:textId="77777777" w:rsidR="00C40133" w:rsidRDefault="00C40133" w:rsidP="00320643">
      <w:pPr>
        <w:autoSpaceDE w:val="0"/>
        <w:autoSpaceDN w:val="0"/>
        <w:adjustRightInd w:val="0"/>
        <w:jc w:val="both"/>
        <w:rPr>
          <w:rFonts w:eastAsia="Calibri" w:cs="Helvetica-Light"/>
          <w:color w:val="000000"/>
        </w:rPr>
      </w:pPr>
    </w:p>
    <w:p w14:paraId="4EB1AB9D" w14:textId="77777777" w:rsidR="00C40133" w:rsidRDefault="00C40133" w:rsidP="00320643">
      <w:pPr>
        <w:autoSpaceDE w:val="0"/>
        <w:autoSpaceDN w:val="0"/>
        <w:adjustRightInd w:val="0"/>
        <w:jc w:val="both"/>
        <w:rPr>
          <w:rFonts w:eastAsia="Calibri" w:cs="Helvetica-Light"/>
          <w:color w:val="000000"/>
        </w:rPr>
      </w:pPr>
    </w:p>
    <w:p w14:paraId="7BFD9E3F" w14:textId="050AAFAB" w:rsidR="00116EA4" w:rsidRDefault="004A7A82" w:rsidP="00320643">
      <w:pPr>
        <w:autoSpaceDE w:val="0"/>
        <w:autoSpaceDN w:val="0"/>
        <w:adjustRightInd w:val="0"/>
        <w:jc w:val="both"/>
        <w:rPr>
          <w:rFonts w:eastAsia="Calibri" w:cs="Helvetica-Light"/>
          <w:b/>
          <w:bCs/>
          <w:color w:val="000000"/>
          <w:u w:val="single"/>
        </w:rPr>
      </w:pPr>
      <w:r>
        <w:rPr>
          <w:rFonts w:eastAsia="Calibri" w:cs="Helvetica-Light"/>
          <w:b/>
          <w:bCs/>
          <w:color w:val="000000"/>
          <w:u w:val="single"/>
        </w:rPr>
        <w:lastRenderedPageBreak/>
        <w:t xml:space="preserve">Annex J – </w:t>
      </w:r>
      <w:r w:rsidR="00682D00">
        <w:rPr>
          <w:rFonts w:eastAsia="Calibri" w:cs="Helvetica-Light"/>
          <w:b/>
          <w:bCs/>
          <w:color w:val="000000"/>
          <w:u w:val="single"/>
        </w:rPr>
        <w:t xml:space="preserve">Annual </w:t>
      </w:r>
      <w:r>
        <w:rPr>
          <w:rFonts w:eastAsia="Calibri" w:cs="Helvetica-Light"/>
          <w:b/>
          <w:bCs/>
          <w:color w:val="000000"/>
          <w:u w:val="single"/>
        </w:rPr>
        <w:t>Pay Policy Statement</w:t>
      </w:r>
      <w:r w:rsidR="00781F0F">
        <w:rPr>
          <w:rFonts w:eastAsia="Calibri" w:cs="Helvetica-Light"/>
          <w:b/>
          <w:bCs/>
          <w:color w:val="000000"/>
          <w:u w:val="single"/>
        </w:rPr>
        <w:t xml:space="preserve"> 2024/25 (</w:t>
      </w:r>
      <w:r w:rsidR="00FC4258">
        <w:rPr>
          <w:rFonts w:eastAsia="Calibri" w:cs="Helvetica-Light"/>
          <w:b/>
          <w:bCs/>
          <w:color w:val="000000"/>
          <w:u w:val="single"/>
        </w:rPr>
        <w:t>The Localism Act 2011)</w:t>
      </w:r>
    </w:p>
    <w:p w14:paraId="132BDF6B" w14:textId="77777777" w:rsidR="00FC4258" w:rsidRDefault="00FC4258" w:rsidP="00320643">
      <w:pPr>
        <w:autoSpaceDE w:val="0"/>
        <w:autoSpaceDN w:val="0"/>
        <w:adjustRightInd w:val="0"/>
        <w:jc w:val="both"/>
        <w:rPr>
          <w:rFonts w:eastAsia="Calibri" w:cs="Helvetica-Light"/>
          <w:b/>
          <w:bCs/>
          <w:color w:val="000000"/>
          <w:u w:val="single"/>
        </w:rPr>
      </w:pPr>
    </w:p>
    <w:p w14:paraId="3A7F9394" w14:textId="77777777" w:rsidR="0087427C" w:rsidRPr="00CF75EA" w:rsidRDefault="004A7A82" w:rsidP="0087427C">
      <w:pPr>
        <w:rPr>
          <w:rFonts w:cs="Arial"/>
          <w:b/>
        </w:rPr>
      </w:pPr>
      <w:r w:rsidRPr="00CF75EA">
        <w:rPr>
          <w:rFonts w:cs="Arial"/>
          <w:b/>
        </w:rPr>
        <w:t>Introduction</w:t>
      </w:r>
    </w:p>
    <w:p w14:paraId="4B4D6430" w14:textId="77777777" w:rsidR="0087427C" w:rsidRPr="00CF75EA" w:rsidRDefault="0087427C" w:rsidP="0087427C">
      <w:pPr>
        <w:rPr>
          <w:rFonts w:cs="Arial"/>
          <w:b/>
        </w:rPr>
      </w:pPr>
    </w:p>
    <w:p w14:paraId="730973F4" w14:textId="77777777" w:rsidR="0087427C" w:rsidRPr="00CF75EA" w:rsidRDefault="004A7A82" w:rsidP="0087427C">
      <w:pPr>
        <w:jc w:val="both"/>
        <w:rPr>
          <w:rFonts w:cs="Arial"/>
        </w:rPr>
      </w:pPr>
      <w:r w:rsidRPr="00CF75EA">
        <w:rPr>
          <w:rFonts w:cs="Arial"/>
        </w:rPr>
        <w:t xml:space="preserve">The Localism Act 2011 (the Act) requires the council to prepare a Pay Policy Statement each year.  The pay policy statement must articulate the council's approach to a range of issues relating to the pay of its workforce, particularly its senior staff (or 'chief officers') and its lowest paid employees.  </w:t>
      </w:r>
    </w:p>
    <w:p w14:paraId="4CB254C5" w14:textId="77777777" w:rsidR="0087427C" w:rsidRPr="00CF75EA" w:rsidRDefault="0087427C" w:rsidP="0087427C">
      <w:pPr>
        <w:jc w:val="both"/>
        <w:rPr>
          <w:rFonts w:cs="Arial"/>
        </w:rPr>
      </w:pPr>
    </w:p>
    <w:p w14:paraId="706AF097" w14:textId="14362A86" w:rsidR="0087427C" w:rsidRPr="00CF75EA" w:rsidRDefault="004A7A82" w:rsidP="0087427C">
      <w:pPr>
        <w:jc w:val="both"/>
        <w:rPr>
          <w:rFonts w:cs="Arial"/>
        </w:rPr>
      </w:pPr>
      <w:r w:rsidRPr="00CF75EA">
        <w:rPr>
          <w:rFonts w:cs="Arial"/>
        </w:rPr>
        <w:t xml:space="preserve">The following Pay Policy Statement has been </w:t>
      </w:r>
      <w:r w:rsidR="00D30968">
        <w:rPr>
          <w:rFonts w:cs="Arial"/>
        </w:rPr>
        <w:t>recommended by the Employment Committee for</w:t>
      </w:r>
      <w:r w:rsidR="00D30968" w:rsidRPr="00CF75EA">
        <w:rPr>
          <w:rFonts w:cs="Arial"/>
        </w:rPr>
        <w:t xml:space="preserve"> </w:t>
      </w:r>
      <w:r w:rsidRPr="00CF75EA">
        <w:rPr>
          <w:rFonts w:cs="Arial"/>
        </w:rPr>
        <w:t>approv</w:t>
      </w:r>
      <w:r w:rsidR="00D30968">
        <w:rPr>
          <w:rFonts w:cs="Arial"/>
        </w:rPr>
        <w:t>al</w:t>
      </w:r>
      <w:r w:rsidRPr="00CF75EA">
        <w:rPr>
          <w:rFonts w:cs="Arial"/>
        </w:rPr>
        <w:t xml:space="preserve"> by Full Council and will come into effect from 1 April 202</w:t>
      </w:r>
      <w:r w:rsidR="00B120F2">
        <w:rPr>
          <w:rFonts w:cs="Arial"/>
        </w:rPr>
        <w:t>4</w:t>
      </w:r>
      <w:r w:rsidRPr="00CF75EA">
        <w:rPr>
          <w:rFonts w:cs="Arial"/>
        </w:rPr>
        <w:t xml:space="preserve">.  This annual Pay Policy Statement will be subject to annual review and approval by Full Council by 31 March each year. </w:t>
      </w:r>
      <w:r>
        <w:rPr>
          <w:rFonts w:cs="Arial"/>
        </w:rPr>
        <w:t xml:space="preserve"> </w:t>
      </w:r>
      <w:r w:rsidRPr="00CF75EA">
        <w:rPr>
          <w:rFonts w:cs="Arial"/>
        </w:rPr>
        <w:t>In exceptional circumstances the statement may be reviewed/amended mid-year by the Full Council.</w:t>
      </w:r>
    </w:p>
    <w:p w14:paraId="519CC7B1" w14:textId="77777777" w:rsidR="0087427C" w:rsidRPr="00CF75EA" w:rsidRDefault="0087427C" w:rsidP="0087427C">
      <w:pPr>
        <w:jc w:val="both"/>
        <w:rPr>
          <w:rFonts w:cs="Arial"/>
        </w:rPr>
      </w:pPr>
    </w:p>
    <w:p w14:paraId="06A5AE71" w14:textId="77777777" w:rsidR="0087427C" w:rsidRPr="00CF75EA" w:rsidRDefault="004A7A82" w:rsidP="0087427C">
      <w:pPr>
        <w:jc w:val="both"/>
        <w:rPr>
          <w:rFonts w:cs="Arial"/>
        </w:rPr>
      </w:pPr>
      <w:r w:rsidRPr="00CF75EA">
        <w:rPr>
          <w:rFonts w:cs="Arial"/>
        </w:rPr>
        <w:t xml:space="preserve">This statement will be published on the council's website following each review and approval by Full Council. </w:t>
      </w:r>
    </w:p>
    <w:p w14:paraId="1D21D010" w14:textId="77777777" w:rsidR="0087427C" w:rsidRPr="00CF75EA" w:rsidRDefault="0087427C" w:rsidP="0087427C">
      <w:pPr>
        <w:jc w:val="both"/>
        <w:rPr>
          <w:rFonts w:cs="Arial"/>
        </w:rPr>
      </w:pPr>
    </w:p>
    <w:p w14:paraId="3537B354" w14:textId="77777777" w:rsidR="0087427C" w:rsidRPr="00CF75EA" w:rsidRDefault="004A7A82" w:rsidP="0087427C">
      <w:pPr>
        <w:jc w:val="both"/>
        <w:rPr>
          <w:rFonts w:cs="Arial"/>
        </w:rPr>
      </w:pPr>
      <w:r w:rsidRPr="00CF75EA">
        <w:rPr>
          <w:rFonts w:cs="Arial"/>
        </w:rPr>
        <w:t xml:space="preserve">The purpose of this statement is to provide transparency </w:t>
      </w:r>
      <w:proofErr w:type="gramStart"/>
      <w:r w:rsidRPr="00CF75EA">
        <w:rPr>
          <w:rFonts w:cs="Arial"/>
        </w:rPr>
        <w:t>with regard to</w:t>
      </w:r>
      <w:proofErr w:type="gramEnd"/>
      <w:r w:rsidRPr="00CF75EA">
        <w:rPr>
          <w:rFonts w:cs="Arial"/>
        </w:rPr>
        <w:t xml:space="preserve"> the council’s approach to setting the pay of its employees (excluding staff working in local authority schools) by identifying:</w:t>
      </w:r>
    </w:p>
    <w:p w14:paraId="34E77C3A" w14:textId="77777777" w:rsidR="0087427C" w:rsidRPr="00CF75EA" w:rsidRDefault="0087427C" w:rsidP="0087427C">
      <w:pPr>
        <w:jc w:val="both"/>
        <w:rPr>
          <w:rFonts w:cs="Arial"/>
        </w:rPr>
      </w:pPr>
    </w:p>
    <w:p w14:paraId="2F958753" w14:textId="77777777" w:rsidR="0087427C" w:rsidRPr="00CF75EA" w:rsidRDefault="004A7A82" w:rsidP="0087427C">
      <w:pPr>
        <w:numPr>
          <w:ilvl w:val="0"/>
          <w:numId w:val="53"/>
        </w:numPr>
        <w:spacing w:after="200" w:line="276" w:lineRule="auto"/>
        <w:contextualSpacing/>
        <w:jc w:val="both"/>
        <w:rPr>
          <w:rFonts w:cs="Arial"/>
        </w:rPr>
      </w:pPr>
      <w:r w:rsidRPr="00CF75EA">
        <w:rPr>
          <w:rFonts w:cs="Arial"/>
        </w:rPr>
        <w:t xml:space="preserve">the methods by which salaries of all employees are </w:t>
      </w:r>
      <w:proofErr w:type="gramStart"/>
      <w:r w:rsidRPr="00CF75EA">
        <w:rPr>
          <w:rFonts w:cs="Arial"/>
        </w:rPr>
        <w:t>determined;</w:t>
      </w:r>
      <w:proofErr w:type="gramEnd"/>
    </w:p>
    <w:p w14:paraId="16755538" w14:textId="77777777" w:rsidR="0087427C" w:rsidRPr="00CF75EA" w:rsidRDefault="004A7A82" w:rsidP="0087427C">
      <w:pPr>
        <w:numPr>
          <w:ilvl w:val="0"/>
          <w:numId w:val="53"/>
        </w:numPr>
        <w:spacing w:after="200" w:line="276" w:lineRule="auto"/>
        <w:contextualSpacing/>
        <w:jc w:val="both"/>
        <w:rPr>
          <w:rFonts w:cs="Arial"/>
        </w:rPr>
      </w:pPr>
      <w:r w:rsidRPr="00CF75EA">
        <w:rPr>
          <w:rFonts w:cs="Arial"/>
        </w:rPr>
        <w:t xml:space="preserve">the detail and level of remuneration of the council's most senior </w:t>
      </w:r>
      <w:proofErr w:type="gramStart"/>
      <w:r w:rsidRPr="00CF75EA">
        <w:rPr>
          <w:rFonts w:cs="Arial"/>
        </w:rPr>
        <w:t>staff;</w:t>
      </w:r>
      <w:proofErr w:type="gramEnd"/>
    </w:p>
    <w:p w14:paraId="2E53058F" w14:textId="77777777" w:rsidR="0087427C" w:rsidRPr="00CF75EA" w:rsidRDefault="004A7A82" w:rsidP="0087427C">
      <w:pPr>
        <w:numPr>
          <w:ilvl w:val="0"/>
          <w:numId w:val="53"/>
        </w:numPr>
        <w:spacing w:after="200" w:line="276" w:lineRule="auto"/>
        <w:contextualSpacing/>
        <w:jc w:val="both"/>
        <w:rPr>
          <w:rFonts w:cs="Arial"/>
        </w:rPr>
      </w:pPr>
      <w:r w:rsidRPr="00CF75EA">
        <w:rPr>
          <w:rFonts w:cs="Arial"/>
        </w:rPr>
        <w:t>the remuneration of the council's lowest-paid employees, and</w:t>
      </w:r>
    </w:p>
    <w:p w14:paraId="42090BFA" w14:textId="77777777" w:rsidR="0087427C" w:rsidRPr="00CF75EA" w:rsidRDefault="004A7A82" w:rsidP="0087427C">
      <w:pPr>
        <w:numPr>
          <w:ilvl w:val="0"/>
          <w:numId w:val="53"/>
        </w:numPr>
        <w:spacing w:line="276" w:lineRule="auto"/>
        <w:contextualSpacing/>
        <w:jc w:val="both"/>
        <w:rPr>
          <w:rFonts w:cs="Arial"/>
        </w:rPr>
      </w:pPr>
      <w:r w:rsidRPr="00CF75EA">
        <w:rPr>
          <w:rFonts w:cs="Arial"/>
        </w:rPr>
        <w:t>the relationship between the remuneration of chief officers and those employees who are not chief officers.</w:t>
      </w:r>
    </w:p>
    <w:p w14:paraId="701D452B" w14:textId="77777777" w:rsidR="0087427C" w:rsidRPr="00CF75EA" w:rsidRDefault="0087427C" w:rsidP="0087427C">
      <w:pPr>
        <w:ind w:left="720" w:hanging="720"/>
        <w:jc w:val="both"/>
        <w:rPr>
          <w:rFonts w:cs="Arial"/>
        </w:rPr>
      </w:pPr>
    </w:p>
    <w:p w14:paraId="2DF36A2C" w14:textId="77777777" w:rsidR="0087427C" w:rsidRPr="00CF75EA" w:rsidRDefault="004A7A82" w:rsidP="0087427C">
      <w:pPr>
        <w:jc w:val="both"/>
        <w:rPr>
          <w:rFonts w:cs="Arial"/>
        </w:rPr>
      </w:pPr>
      <w:r w:rsidRPr="00CF75EA">
        <w:rPr>
          <w:rFonts w:cs="Arial"/>
        </w:rPr>
        <w:t>This Pay Policy Statement sets out the council’s approach to pay policy in accordance with the requirements of Section 38 of the Act.  Section 40(1) of the Act requires local authorities to have regard to guidance issued by the Secretary of State in performing their functions and approving Pay Policy Statements.  In preparing this Pay Policy Statement regard has been given to the guidance issued by the Department for Communities and Local Government in February 2012 alongside the supplementary guidance issued in February 2013.</w:t>
      </w:r>
    </w:p>
    <w:p w14:paraId="6E3CF505" w14:textId="77777777" w:rsidR="0087427C" w:rsidRPr="00CF75EA" w:rsidRDefault="0087427C" w:rsidP="0087427C">
      <w:pPr>
        <w:jc w:val="both"/>
        <w:rPr>
          <w:rFonts w:cs="Arial"/>
        </w:rPr>
      </w:pPr>
    </w:p>
    <w:p w14:paraId="3390B542" w14:textId="77777777" w:rsidR="0087427C" w:rsidRPr="00CF75EA" w:rsidRDefault="004A7A82" w:rsidP="0087427C">
      <w:pPr>
        <w:jc w:val="both"/>
        <w:rPr>
          <w:rFonts w:cs="Arial"/>
          <w:b/>
        </w:rPr>
      </w:pPr>
      <w:r w:rsidRPr="00CF75EA">
        <w:rPr>
          <w:rFonts w:cs="Arial"/>
          <w:b/>
        </w:rPr>
        <w:t>1.</w:t>
      </w:r>
      <w:r w:rsidRPr="00CF75EA">
        <w:rPr>
          <w:rFonts w:cs="Arial"/>
          <w:b/>
        </w:rPr>
        <w:tab/>
        <w:t>The Council's Pay and Grading Structure</w:t>
      </w:r>
    </w:p>
    <w:p w14:paraId="518662F1" w14:textId="77777777" w:rsidR="0087427C" w:rsidRPr="00CF75EA" w:rsidRDefault="0087427C" w:rsidP="0087427C">
      <w:pPr>
        <w:jc w:val="both"/>
        <w:rPr>
          <w:rFonts w:cs="Arial"/>
        </w:rPr>
      </w:pPr>
    </w:p>
    <w:p w14:paraId="2B8E99B5" w14:textId="77777777" w:rsidR="0087427C" w:rsidRPr="00CF75EA" w:rsidRDefault="004A7A82" w:rsidP="0087427C">
      <w:pPr>
        <w:ind w:left="720" w:hanging="720"/>
        <w:jc w:val="both"/>
        <w:rPr>
          <w:rFonts w:cs="Arial"/>
        </w:rPr>
      </w:pPr>
      <w:r w:rsidRPr="00CF75EA">
        <w:rPr>
          <w:rFonts w:cs="Arial"/>
        </w:rPr>
        <w:t>1.1</w:t>
      </w:r>
      <w:r w:rsidRPr="00CF75EA">
        <w:rPr>
          <w:rFonts w:cs="Arial"/>
        </w:rPr>
        <w:tab/>
        <w:t xml:space="preserve">Section 112 of the Local Government Act 1972 provides that a local authority shall appoint such officers as they think fit for the proper discharge of their functions.  Officers so appointed shall hold office on such reasonable terms and conditions, including conditions as to remuneration, as the local authority thinks fit.  </w:t>
      </w:r>
    </w:p>
    <w:p w14:paraId="18AB8CA6" w14:textId="77777777" w:rsidR="0087427C" w:rsidRPr="00CF75EA" w:rsidRDefault="0087427C" w:rsidP="0087427C">
      <w:pPr>
        <w:ind w:left="720" w:hanging="720"/>
        <w:jc w:val="both"/>
        <w:rPr>
          <w:rFonts w:cs="Arial"/>
        </w:rPr>
      </w:pPr>
    </w:p>
    <w:p w14:paraId="083F7242" w14:textId="77777777" w:rsidR="0087427C" w:rsidRPr="00CF75EA" w:rsidRDefault="004A7A82" w:rsidP="0087427C">
      <w:pPr>
        <w:ind w:left="720" w:hanging="720"/>
        <w:jc w:val="both"/>
        <w:rPr>
          <w:rFonts w:cs="Arial"/>
        </w:rPr>
      </w:pPr>
      <w:r w:rsidRPr="00CF75EA">
        <w:rPr>
          <w:rFonts w:cs="Arial"/>
        </w:rPr>
        <w:t>1.2</w:t>
      </w:r>
      <w:r w:rsidRPr="00CF75EA">
        <w:rPr>
          <w:rFonts w:cs="Arial"/>
        </w:rPr>
        <w:tab/>
        <w:t xml:space="preserve">In determining the pay and remuneration of </w:t>
      </w:r>
      <w:proofErr w:type="gramStart"/>
      <w:r w:rsidRPr="00CF75EA">
        <w:rPr>
          <w:rFonts w:cs="Arial"/>
        </w:rPr>
        <w:t>all of</w:t>
      </w:r>
      <w:proofErr w:type="gramEnd"/>
      <w:r w:rsidRPr="00CF75EA">
        <w:rPr>
          <w:rFonts w:cs="Arial"/>
        </w:rPr>
        <w:t xml:space="preserve"> its employees, the council will comply with all relevant employment legislation.  The council will ensure that there is no pay discrimination within its pay and grading structures and that all pay differentials can be objectively justified </w:t>
      </w:r>
      <w:proofErr w:type="gramStart"/>
      <w:r w:rsidRPr="00CF75EA">
        <w:rPr>
          <w:rFonts w:cs="Arial"/>
        </w:rPr>
        <w:t>through the use of</w:t>
      </w:r>
      <w:proofErr w:type="gramEnd"/>
      <w:r w:rsidRPr="00CF75EA">
        <w:rPr>
          <w:rFonts w:cs="Arial"/>
        </w:rPr>
        <w:t xml:space="preserve"> job evaluation </w:t>
      </w:r>
      <w:r w:rsidRPr="00CF75EA">
        <w:rPr>
          <w:rFonts w:cs="Arial"/>
        </w:rPr>
        <w:lastRenderedPageBreak/>
        <w:t xml:space="preserve">mechanisms, which directly establish the relative levels of posts in grades according to the requirements, demands and responsibilities of the role. </w:t>
      </w:r>
    </w:p>
    <w:p w14:paraId="050EF910" w14:textId="77777777" w:rsidR="0087427C" w:rsidRPr="00CF75EA" w:rsidRDefault="0087427C" w:rsidP="0087427C">
      <w:pPr>
        <w:jc w:val="both"/>
        <w:rPr>
          <w:rFonts w:cs="Arial"/>
        </w:rPr>
      </w:pPr>
    </w:p>
    <w:p w14:paraId="2A759F4C" w14:textId="77777777" w:rsidR="0087427C" w:rsidRPr="00CF75EA" w:rsidRDefault="004A7A82" w:rsidP="0087427C">
      <w:pPr>
        <w:ind w:left="720" w:hanging="720"/>
        <w:jc w:val="both"/>
        <w:rPr>
          <w:rFonts w:cs="Arial"/>
        </w:rPr>
      </w:pPr>
      <w:r w:rsidRPr="00CF75EA">
        <w:rPr>
          <w:rFonts w:cs="Arial"/>
        </w:rPr>
        <w:t>1.3</w:t>
      </w:r>
      <w:r w:rsidRPr="00CF75EA">
        <w:rPr>
          <w:rFonts w:cs="Arial"/>
        </w:rPr>
        <w:tab/>
        <w:t xml:space="preserve">The remuneration of </w:t>
      </w:r>
      <w:proofErr w:type="gramStart"/>
      <w:r w:rsidRPr="00CF75EA">
        <w:rPr>
          <w:rFonts w:cs="Arial"/>
        </w:rPr>
        <w:t>the vast majority of</w:t>
      </w:r>
      <w:proofErr w:type="gramEnd"/>
      <w:r w:rsidRPr="00CF75EA">
        <w:rPr>
          <w:rFonts w:cs="Arial"/>
        </w:rPr>
        <w:t xml:space="preserve"> employees of the council, other than those employee groups set out below, is in accordance with an objectively evaluated grade profile or job description as determined under the council's job evaluation scheme.  The evaluated score for the grade profile/job description will determine the grading level paid within a locally agreed pay spine (the Lancashire Pay Spine (see Annex 1)).  The council presently use</w:t>
      </w:r>
      <w:r>
        <w:rPr>
          <w:rFonts w:cs="Arial"/>
        </w:rPr>
        <w:t>s</w:t>
      </w:r>
      <w:r w:rsidRPr="00CF75EA">
        <w:rPr>
          <w:rFonts w:cs="Arial"/>
        </w:rPr>
        <w:t xml:space="preserve"> the Local Government Single Status Job Evaluation Scheme (the NJC scheme) to evaluate posts up to Grade 6 on the Lancashire Pay Spine and the Hay Group Job Evaluation Scheme for other managerial and professional grades.</w:t>
      </w:r>
    </w:p>
    <w:p w14:paraId="7D6D0132" w14:textId="77777777" w:rsidR="0087427C" w:rsidRPr="00CF75EA" w:rsidRDefault="0087427C" w:rsidP="0087427C">
      <w:pPr>
        <w:jc w:val="both"/>
        <w:rPr>
          <w:rFonts w:cs="Arial"/>
        </w:rPr>
      </w:pPr>
    </w:p>
    <w:p w14:paraId="59D3CC28" w14:textId="77777777" w:rsidR="0087427C" w:rsidRPr="00CF75EA" w:rsidRDefault="004A7A82" w:rsidP="0087427C">
      <w:pPr>
        <w:ind w:left="720" w:hanging="720"/>
        <w:jc w:val="both"/>
        <w:rPr>
          <w:rFonts w:cs="Arial"/>
        </w:rPr>
      </w:pPr>
      <w:r w:rsidRPr="00CF75EA">
        <w:rPr>
          <w:rFonts w:cs="Arial"/>
        </w:rPr>
        <w:t>1.4</w:t>
      </w:r>
      <w:r w:rsidRPr="00CF75EA">
        <w:rPr>
          <w:rFonts w:cs="Arial"/>
        </w:rPr>
        <w:tab/>
        <w:t>The following employee groups are not presently paid in accordance with an evaluated grade profile/job description determined by the council, unless employees have subsequently been appointed to a post that is paid in accordance with the Lancashire Pay Spine, and instead nationally or locally determined rates apply:</w:t>
      </w:r>
    </w:p>
    <w:p w14:paraId="2D4BF113" w14:textId="77777777" w:rsidR="0087427C" w:rsidRPr="00CF75EA" w:rsidRDefault="0087427C" w:rsidP="0087427C">
      <w:pPr>
        <w:jc w:val="both"/>
        <w:rPr>
          <w:rFonts w:cs="Arial"/>
        </w:rPr>
      </w:pPr>
    </w:p>
    <w:p w14:paraId="556C37DF" w14:textId="77777777" w:rsidR="0087427C" w:rsidRPr="00CF75EA" w:rsidRDefault="004A7A82" w:rsidP="0087427C">
      <w:pPr>
        <w:numPr>
          <w:ilvl w:val="0"/>
          <w:numId w:val="54"/>
        </w:numPr>
        <w:spacing w:line="276" w:lineRule="auto"/>
        <w:ind w:left="1080"/>
        <w:contextualSpacing/>
        <w:jc w:val="both"/>
        <w:rPr>
          <w:rFonts w:cs="Arial"/>
        </w:rPr>
      </w:pPr>
      <w:r w:rsidRPr="00CF75EA">
        <w:rPr>
          <w:rFonts w:cs="Arial"/>
        </w:rPr>
        <w:t xml:space="preserve">Employees whose pay and conditions are determined by the </w:t>
      </w:r>
      <w:proofErr w:type="spellStart"/>
      <w:r w:rsidRPr="00CF75EA">
        <w:rPr>
          <w:rFonts w:cs="Arial"/>
        </w:rPr>
        <w:t>Soulbury</w:t>
      </w:r>
      <w:proofErr w:type="spellEnd"/>
      <w:r w:rsidRPr="00CF75EA">
        <w:rPr>
          <w:rFonts w:cs="Arial"/>
        </w:rPr>
        <w:t xml:space="preserve"> </w:t>
      </w:r>
      <w:proofErr w:type="gramStart"/>
      <w:r w:rsidRPr="00CF75EA">
        <w:rPr>
          <w:rFonts w:cs="Arial"/>
        </w:rPr>
        <w:t>Committee;</w:t>
      </w:r>
      <w:proofErr w:type="gramEnd"/>
    </w:p>
    <w:p w14:paraId="33A85B47" w14:textId="77777777" w:rsidR="0087427C" w:rsidRPr="00CF75EA" w:rsidRDefault="0087427C" w:rsidP="0087427C">
      <w:pPr>
        <w:spacing w:line="276" w:lineRule="auto"/>
        <w:ind w:left="720"/>
        <w:contextualSpacing/>
        <w:jc w:val="both"/>
        <w:rPr>
          <w:rFonts w:cs="Arial"/>
        </w:rPr>
      </w:pPr>
    </w:p>
    <w:p w14:paraId="5CC27088" w14:textId="77777777" w:rsidR="0087427C" w:rsidRPr="00CF75EA" w:rsidRDefault="004A7A82" w:rsidP="0087427C">
      <w:pPr>
        <w:numPr>
          <w:ilvl w:val="0"/>
          <w:numId w:val="54"/>
        </w:numPr>
        <w:spacing w:line="276" w:lineRule="auto"/>
        <w:ind w:left="1077" w:hanging="357"/>
        <w:contextualSpacing/>
        <w:jc w:val="both"/>
        <w:rPr>
          <w:rFonts w:cs="Arial"/>
        </w:rPr>
      </w:pPr>
      <w:r w:rsidRPr="00CF75EA">
        <w:rPr>
          <w:rFonts w:cs="Arial"/>
        </w:rPr>
        <w:t xml:space="preserve">Employees whose pay and conditions of service are determined by the Joint Negotiating Committee for Youth and Community </w:t>
      </w:r>
      <w:proofErr w:type="gramStart"/>
      <w:r w:rsidRPr="00CF75EA">
        <w:rPr>
          <w:rFonts w:cs="Arial"/>
        </w:rPr>
        <w:t>Workers;</w:t>
      </w:r>
      <w:proofErr w:type="gramEnd"/>
    </w:p>
    <w:p w14:paraId="2A640506" w14:textId="77777777" w:rsidR="0087427C" w:rsidRPr="00CF75EA" w:rsidRDefault="0087427C" w:rsidP="0087427C">
      <w:pPr>
        <w:jc w:val="both"/>
        <w:rPr>
          <w:rFonts w:cs="Arial"/>
        </w:rPr>
      </w:pPr>
    </w:p>
    <w:p w14:paraId="5A217512" w14:textId="77777777" w:rsidR="0087427C" w:rsidRPr="00CF75EA" w:rsidRDefault="004A7A82" w:rsidP="0087427C">
      <w:pPr>
        <w:numPr>
          <w:ilvl w:val="0"/>
          <w:numId w:val="54"/>
        </w:numPr>
        <w:spacing w:line="276" w:lineRule="auto"/>
        <w:ind w:left="1080"/>
        <w:contextualSpacing/>
        <w:jc w:val="both"/>
        <w:rPr>
          <w:rFonts w:cs="Arial"/>
        </w:rPr>
      </w:pPr>
      <w:r w:rsidRPr="00CF75EA">
        <w:rPr>
          <w:rFonts w:cs="Arial"/>
        </w:rPr>
        <w:t xml:space="preserve">Employees who have transferred from the NHS to the council following a TUPE or statutory </w:t>
      </w:r>
      <w:proofErr w:type="gramStart"/>
      <w:r w:rsidRPr="00CF75EA">
        <w:rPr>
          <w:rFonts w:cs="Arial"/>
        </w:rPr>
        <w:t>transfer;</w:t>
      </w:r>
      <w:proofErr w:type="gramEnd"/>
    </w:p>
    <w:p w14:paraId="50950EBA" w14:textId="77777777" w:rsidR="0087427C" w:rsidRPr="00CF75EA" w:rsidRDefault="0087427C" w:rsidP="0087427C">
      <w:pPr>
        <w:ind w:left="720"/>
        <w:contextualSpacing/>
        <w:jc w:val="both"/>
        <w:rPr>
          <w:rFonts w:cs="Arial"/>
        </w:rPr>
      </w:pPr>
    </w:p>
    <w:p w14:paraId="0162D196" w14:textId="77777777" w:rsidR="0087427C" w:rsidRPr="00CF75EA" w:rsidRDefault="004A7A82" w:rsidP="0087427C">
      <w:pPr>
        <w:numPr>
          <w:ilvl w:val="0"/>
          <w:numId w:val="54"/>
        </w:numPr>
        <w:spacing w:line="276" w:lineRule="auto"/>
        <w:ind w:left="1080"/>
        <w:contextualSpacing/>
        <w:jc w:val="both"/>
        <w:rPr>
          <w:rFonts w:cs="Arial"/>
        </w:rPr>
      </w:pPr>
      <w:r w:rsidRPr="00CF75EA">
        <w:rPr>
          <w:rFonts w:cs="Arial"/>
        </w:rPr>
        <w:t xml:space="preserve">Employees who have retained terms and conditions of employment from other employers following a Transfer of Undertakings (Protection of Employment) regulations (TUPE) transfer to the council. </w:t>
      </w:r>
    </w:p>
    <w:p w14:paraId="470F1D11" w14:textId="77777777" w:rsidR="0087427C" w:rsidRPr="00CF75EA" w:rsidRDefault="0087427C" w:rsidP="0087427C">
      <w:pPr>
        <w:ind w:left="720" w:hanging="720"/>
        <w:jc w:val="both"/>
        <w:rPr>
          <w:rFonts w:cs="Arial"/>
        </w:rPr>
      </w:pPr>
    </w:p>
    <w:p w14:paraId="29DAEA26" w14:textId="77777777" w:rsidR="0087427C" w:rsidRPr="00CF75EA" w:rsidRDefault="004A7A82" w:rsidP="0087427C">
      <w:pPr>
        <w:ind w:left="720" w:hanging="720"/>
        <w:jc w:val="both"/>
        <w:rPr>
          <w:rFonts w:cs="Arial"/>
        </w:rPr>
      </w:pPr>
      <w:r w:rsidRPr="00CF75EA">
        <w:rPr>
          <w:rFonts w:cs="Arial"/>
        </w:rPr>
        <w:t>1.5</w:t>
      </w:r>
      <w:r w:rsidRPr="00CF75EA">
        <w:rPr>
          <w:rFonts w:cs="Arial"/>
        </w:rPr>
        <w:tab/>
        <w:t>The council presently adopts the national pay bargaining arrangements in respect of the revision of pay spines through any agreed annual pay increases negotiated with joint trade unions.</w:t>
      </w:r>
    </w:p>
    <w:p w14:paraId="4E5571FF" w14:textId="77777777" w:rsidR="0087427C" w:rsidRPr="00CF75EA" w:rsidRDefault="0087427C" w:rsidP="0087427C">
      <w:pPr>
        <w:jc w:val="both"/>
        <w:rPr>
          <w:rFonts w:cs="Arial"/>
        </w:rPr>
      </w:pPr>
    </w:p>
    <w:p w14:paraId="3F031456" w14:textId="77777777" w:rsidR="0087427C" w:rsidRPr="00CF75EA" w:rsidRDefault="004A7A82" w:rsidP="0087427C">
      <w:pPr>
        <w:ind w:left="720" w:hanging="720"/>
        <w:jc w:val="both"/>
        <w:rPr>
          <w:rFonts w:cs="Arial"/>
        </w:rPr>
      </w:pPr>
      <w:r w:rsidRPr="00CF75EA">
        <w:rPr>
          <w:rFonts w:cs="Arial"/>
        </w:rPr>
        <w:t>1.6</w:t>
      </w:r>
      <w:r w:rsidRPr="00CF75EA">
        <w:rPr>
          <w:rFonts w:cs="Arial"/>
        </w:rPr>
        <w:tab/>
        <w:t>All other pay related enhancements and payable allowances/expenses are the subject of either nationally or locally negotiated and/or determined rates.  The enhancements to pay and allowances/expenses payable as determined from time to time are provided at Annex 2 (Payable Enhancements) and Annex 3 (Allowances and Expenses) respectively.</w:t>
      </w:r>
    </w:p>
    <w:p w14:paraId="742FF2C4" w14:textId="77777777" w:rsidR="0087427C" w:rsidRPr="00CF75EA" w:rsidRDefault="0087427C" w:rsidP="0087427C">
      <w:pPr>
        <w:jc w:val="both"/>
        <w:rPr>
          <w:rFonts w:cs="Arial"/>
        </w:rPr>
      </w:pPr>
    </w:p>
    <w:p w14:paraId="6E814D00" w14:textId="77777777" w:rsidR="0087427C" w:rsidRPr="00CF75EA" w:rsidRDefault="004A7A82" w:rsidP="0087427C">
      <w:pPr>
        <w:ind w:left="720" w:hanging="720"/>
        <w:jc w:val="both"/>
        <w:rPr>
          <w:rFonts w:cs="Arial"/>
        </w:rPr>
      </w:pPr>
      <w:r w:rsidRPr="00CF75EA">
        <w:rPr>
          <w:rFonts w:cs="Arial"/>
        </w:rPr>
        <w:t>1.7</w:t>
      </w:r>
      <w:r w:rsidRPr="00CF75EA">
        <w:rPr>
          <w:rFonts w:cs="Arial"/>
        </w:rPr>
        <w:tab/>
        <w:t xml:space="preserve">New appointments will normally be made at the minimum of the relevant pay scale for the grade, although recruiting managers have discretion to offer a higher scale point to secure the best candidate. </w:t>
      </w:r>
    </w:p>
    <w:p w14:paraId="7173E651" w14:textId="77777777" w:rsidR="0087427C" w:rsidRPr="00CF75EA" w:rsidRDefault="0087427C" w:rsidP="0087427C">
      <w:pPr>
        <w:jc w:val="both"/>
        <w:rPr>
          <w:rFonts w:cs="Arial"/>
        </w:rPr>
      </w:pPr>
    </w:p>
    <w:p w14:paraId="0657B23B" w14:textId="77777777" w:rsidR="0087427C" w:rsidRPr="00CF75EA" w:rsidRDefault="004A7A82" w:rsidP="0087427C">
      <w:pPr>
        <w:ind w:left="720" w:hanging="720"/>
        <w:jc w:val="both"/>
        <w:rPr>
          <w:rFonts w:cs="Arial"/>
        </w:rPr>
      </w:pPr>
      <w:r w:rsidRPr="00CF75EA">
        <w:rPr>
          <w:rFonts w:cs="Arial"/>
        </w:rPr>
        <w:t>1.8</w:t>
      </w:r>
      <w:r w:rsidRPr="00CF75EA">
        <w:rPr>
          <w:rFonts w:cs="Arial"/>
        </w:rPr>
        <w:tab/>
        <w:t xml:space="preserve">Progression within each grade will normally be by annual increment </w:t>
      </w:r>
      <w:proofErr w:type="gramStart"/>
      <w:r w:rsidRPr="00CF75EA">
        <w:rPr>
          <w:rFonts w:cs="Arial"/>
        </w:rPr>
        <w:t>at</w:t>
      </w:r>
      <w:proofErr w:type="gramEnd"/>
      <w:r w:rsidRPr="00CF75EA">
        <w:rPr>
          <w:rFonts w:cs="Arial"/>
        </w:rPr>
        <w:t xml:space="preserve"> 1 April each year subject to the maximum of the grade.  However, heads of service have discretion to advance an individual employee's incremental progression </w:t>
      </w:r>
      <w:r w:rsidRPr="00CF75EA">
        <w:rPr>
          <w:rFonts w:cs="Arial"/>
        </w:rPr>
        <w:lastRenderedPageBreak/>
        <w:t xml:space="preserve">within the grade on the grounds of special merit or ability to assist in the retention of able professional or other staff. </w:t>
      </w:r>
    </w:p>
    <w:p w14:paraId="6D5D3E33" w14:textId="77777777" w:rsidR="0087427C" w:rsidRPr="00CF75EA" w:rsidRDefault="0087427C" w:rsidP="0087427C">
      <w:pPr>
        <w:jc w:val="both"/>
        <w:rPr>
          <w:rFonts w:cs="Arial"/>
        </w:rPr>
      </w:pPr>
    </w:p>
    <w:p w14:paraId="2D281048" w14:textId="77777777" w:rsidR="0087427C" w:rsidRPr="00CF75EA" w:rsidRDefault="004A7A82" w:rsidP="0087427C">
      <w:pPr>
        <w:ind w:left="720" w:hanging="720"/>
        <w:jc w:val="both"/>
        <w:rPr>
          <w:rFonts w:cs="Arial"/>
        </w:rPr>
      </w:pPr>
      <w:r w:rsidRPr="00CF75EA">
        <w:rPr>
          <w:rFonts w:cs="Arial"/>
        </w:rPr>
        <w:t>1.9</w:t>
      </w:r>
      <w:r w:rsidRPr="00CF75EA">
        <w:rPr>
          <w:rFonts w:cs="Arial"/>
        </w:rPr>
        <w:tab/>
        <w:t>Any temporary supplement to the salary scale for the grade for taking on additional duties or responsibilities must be approved in accordance with the council's agreed policy relating to honoraria and acting up payments.</w:t>
      </w:r>
    </w:p>
    <w:p w14:paraId="75056768" w14:textId="77777777" w:rsidR="0087427C" w:rsidRPr="00CF75EA" w:rsidRDefault="0087427C" w:rsidP="0087427C">
      <w:pPr>
        <w:jc w:val="both"/>
        <w:rPr>
          <w:rFonts w:cs="Arial"/>
        </w:rPr>
      </w:pPr>
    </w:p>
    <w:p w14:paraId="6B5CE508" w14:textId="77777777" w:rsidR="0087427C" w:rsidRPr="00CF75EA" w:rsidRDefault="004A7A82" w:rsidP="0087427C">
      <w:pPr>
        <w:ind w:left="720" w:hanging="720"/>
        <w:jc w:val="both"/>
        <w:rPr>
          <w:rFonts w:cs="Arial"/>
        </w:rPr>
      </w:pPr>
      <w:r w:rsidRPr="00CF75EA">
        <w:rPr>
          <w:rFonts w:cs="Arial"/>
        </w:rPr>
        <w:t xml:space="preserve">1.10 </w:t>
      </w:r>
      <w:r w:rsidRPr="00CF75EA">
        <w:rPr>
          <w:rFonts w:cs="Arial"/>
        </w:rPr>
        <w:tab/>
        <w:t xml:space="preserve">From time to time it may be necessary to take account of the external pay levels in the labour market </w:t>
      </w:r>
      <w:proofErr w:type="gramStart"/>
      <w:r w:rsidRPr="00CF75EA">
        <w:rPr>
          <w:rFonts w:cs="Arial"/>
        </w:rPr>
        <w:t>in order to</w:t>
      </w:r>
      <w:proofErr w:type="gramEnd"/>
      <w:r w:rsidRPr="00CF75EA">
        <w:rPr>
          <w:rFonts w:cs="Arial"/>
        </w:rPr>
        <w:t xml:space="preserve"> attract and retain employees with particular experience, skills and capacity.  Where necessary, the council will ensure the requirement for such is objectively justified by reference to clear and transparent evidence of relevant market comparators, using data sources available from within the local government sector and outside, as appropriate. </w:t>
      </w:r>
    </w:p>
    <w:p w14:paraId="65CB659B" w14:textId="77777777" w:rsidR="0087427C" w:rsidRPr="00CF75EA" w:rsidRDefault="0087427C" w:rsidP="0087427C">
      <w:pPr>
        <w:jc w:val="both"/>
        <w:rPr>
          <w:rFonts w:cs="Arial"/>
        </w:rPr>
      </w:pPr>
    </w:p>
    <w:p w14:paraId="4705D555" w14:textId="078B9731" w:rsidR="0087427C" w:rsidRPr="00434015" w:rsidRDefault="004A7A82" w:rsidP="00434015">
      <w:pPr>
        <w:pStyle w:val="ListParagraph"/>
        <w:numPr>
          <w:ilvl w:val="0"/>
          <w:numId w:val="22"/>
        </w:numPr>
        <w:jc w:val="both"/>
        <w:rPr>
          <w:rFonts w:cs="Arial"/>
          <w:b/>
        </w:rPr>
      </w:pPr>
      <w:r w:rsidRPr="00434015">
        <w:rPr>
          <w:rFonts w:cs="Arial"/>
          <w:b/>
        </w:rPr>
        <w:t>Chief Officer Remuneration</w:t>
      </w:r>
    </w:p>
    <w:p w14:paraId="676ACEC7" w14:textId="77777777" w:rsidR="00434015" w:rsidRPr="00434015" w:rsidRDefault="00434015" w:rsidP="00434015">
      <w:pPr>
        <w:pStyle w:val="ListParagraph"/>
        <w:jc w:val="both"/>
        <w:rPr>
          <w:rFonts w:cs="Arial"/>
        </w:rPr>
      </w:pPr>
    </w:p>
    <w:p w14:paraId="45D5F88B" w14:textId="77777777" w:rsidR="0087427C" w:rsidRPr="00CF75EA" w:rsidRDefault="004A7A82" w:rsidP="0087427C">
      <w:pPr>
        <w:ind w:left="720" w:hanging="720"/>
        <w:jc w:val="both"/>
        <w:rPr>
          <w:rFonts w:cs="Arial"/>
        </w:rPr>
      </w:pPr>
      <w:r w:rsidRPr="00CF75EA">
        <w:rPr>
          <w:rFonts w:cs="Arial"/>
        </w:rPr>
        <w:t>2.1</w:t>
      </w:r>
      <w:r w:rsidRPr="00CF75EA">
        <w:rPr>
          <w:rFonts w:cs="Arial"/>
        </w:rPr>
        <w:tab/>
        <w:t>The Act defines chief officers as the following (the post titles in brackets identify the relevant posts within the council's senior management structure):</w:t>
      </w:r>
    </w:p>
    <w:p w14:paraId="3CACBE18" w14:textId="77777777" w:rsidR="0087427C" w:rsidRPr="00CF75EA" w:rsidRDefault="0087427C" w:rsidP="0087427C">
      <w:pPr>
        <w:jc w:val="both"/>
        <w:rPr>
          <w:rFonts w:cs="Arial"/>
        </w:rPr>
      </w:pPr>
    </w:p>
    <w:p w14:paraId="4A057124" w14:textId="77777777" w:rsidR="0087427C" w:rsidRPr="00CF75EA" w:rsidRDefault="004A7A82" w:rsidP="0087427C">
      <w:pPr>
        <w:numPr>
          <w:ilvl w:val="0"/>
          <w:numId w:val="55"/>
        </w:numPr>
        <w:spacing w:line="276" w:lineRule="auto"/>
        <w:ind w:left="1080"/>
        <w:contextualSpacing/>
        <w:jc w:val="both"/>
        <w:rPr>
          <w:rFonts w:cs="Arial"/>
        </w:rPr>
      </w:pPr>
      <w:r w:rsidRPr="00CF75EA">
        <w:rPr>
          <w:rFonts w:cs="Arial"/>
        </w:rPr>
        <w:t>The Head of the Paid Service (the Chief Executive</w:t>
      </w:r>
      <w:proofErr w:type="gramStart"/>
      <w:r w:rsidRPr="00CF75EA">
        <w:rPr>
          <w:rFonts w:cs="Arial"/>
        </w:rPr>
        <w:t>);</w:t>
      </w:r>
      <w:proofErr w:type="gramEnd"/>
    </w:p>
    <w:p w14:paraId="4DD2446C" w14:textId="77777777" w:rsidR="0087427C" w:rsidRPr="00CF75EA" w:rsidRDefault="0087427C" w:rsidP="0087427C">
      <w:pPr>
        <w:ind w:left="720"/>
        <w:jc w:val="both"/>
        <w:rPr>
          <w:rFonts w:cs="Arial"/>
        </w:rPr>
      </w:pPr>
    </w:p>
    <w:p w14:paraId="1697D4FA" w14:textId="77777777" w:rsidR="0087427C" w:rsidRPr="00CF75EA" w:rsidRDefault="004A7A82" w:rsidP="0087427C">
      <w:pPr>
        <w:numPr>
          <w:ilvl w:val="0"/>
          <w:numId w:val="55"/>
        </w:numPr>
        <w:spacing w:line="276" w:lineRule="auto"/>
        <w:ind w:left="1080"/>
        <w:contextualSpacing/>
        <w:jc w:val="both"/>
        <w:rPr>
          <w:rFonts w:cs="Arial"/>
        </w:rPr>
      </w:pPr>
      <w:r w:rsidRPr="00CF75EA">
        <w:rPr>
          <w:rFonts w:cs="Arial"/>
        </w:rPr>
        <w:t xml:space="preserve">The Monitoring Officer (the Director of </w:t>
      </w:r>
      <w:r>
        <w:rPr>
          <w:rFonts w:cs="Arial"/>
        </w:rPr>
        <w:t>Law and Governance</w:t>
      </w:r>
      <w:proofErr w:type="gramStart"/>
      <w:r w:rsidRPr="00CF75EA">
        <w:rPr>
          <w:rFonts w:cs="Arial"/>
        </w:rPr>
        <w:t>);</w:t>
      </w:r>
      <w:proofErr w:type="gramEnd"/>
    </w:p>
    <w:p w14:paraId="59D24A51" w14:textId="77777777" w:rsidR="0087427C" w:rsidRPr="00CF75EA" w:rsidRDefault="0087427C" w:rsidP="0087427C">
      <w:pPr>
        <w:ind w:left="720"/>
        <w:jc w:val="both"/>
        <w:rPr>
          <w:rFonts w:cs="Arial"/>
        </w:rPr>
      </w:pPr>
    </w:p>
    <w:p w14:paraId="7379FAE9" w14:textId="77777777" w:rsidR="0087427C" w:rsidRPr="00CF75EA" w:rsidRDefault="004A7A82" w:rsidP="0087427C">
      <w:pPr>
        <w:numPr>
          <w:ilvl w:val="0"/>
          <w:numId w:val="55"/>
        </w:numPr>
        <w:spacing w:line="276" w:lineRule="auto"/>
        <w:ind w:left="1080"/>
        <w:contextualSpacing/>
        <w:jc w:val="both"/>
        <w:rPr>
          <w:rFonts w:cs="Arial"/>
        </w:rPr>
      </w:pPr>
      <w:r w:rsidRPr="00CF75EA">
        <w:rPr>
          <w:rFonts w:cs="Arial"/>
        </w:rPr>
        <w:t xml:space="preserve">A statutory chief officer (the Executive Director of Education and Children's Services, the Executive Director of Adult Services, the </w:t>
      </w:r>
      <w:r>
        <w:rPr>
          <w:rFonts w:cs="Arial"/>
        </w:rPr>
        <w:t>Executive</w:t>
      </w:r>
      <w:r w:rsidRPr="00CF75EA">
        <w:rPr>
          <w:rFonts w:cs="Arial"/>
        </w:rPr>
        <w:t xml:space="preserve"> Director Resources</w:t>
      </w:r>
      <w:r>
        <w:rPr>
          <w:rFonts w:cs="Arial"/>
        </w:rPr>
        <w:t>,</w:t>
      </w:r>
      <w:r w:rsidRPr="00CF75EA">
        <w:rPr>
          <w:rFonts w:cs="Arial"/>
        </w:rPr>
        <w:t xml:space="preserve"> and the Director of Public Health</w:t>
      </w:r>
      <w:r>
        <w:rPr>
          <w:rFonts w:cs="Arial"/>
        </w:rPr>
        <w:t>, Wellbeing and Communities</w:t>
      </w:r>
      <w:r w:rsidRPr="00CF75EA">
        <w:rPr>
          <w:rFonts w:cs="Arial"/>
        </w:rPr>
        <w:t>).</w:t>
      </w:r>
    </w:p>
    <w:p w14:paraId="299BB5A8" w14:textId="77777777" w:rsidR="0087427C" w:rsidRPr="00CF75EA" w:rsidRDefault="0087427C" w:rsidP="0087427C">
      <w:pPr>
        <w:ind w:left="1080"/>
        <w:contextualSpacing/>
        <w:jc w:val="both"/>
        <w:rPr>
          <w:rFonts w:cs="Arial"/>
        </w:rPr>
      </w:pPr>
    </w:p>
    <w:p w14:paraId="5594AEFE" w14:textId="77777777" w:rsidR="0087427C" w:rsidRPr="00CF75EA" w:rsidRDefault="004A7A82" w:rsidP="0087427C">
      <w:pPr>
        <w:numPr>
          <w:ilvl w:val="0"/>
          <w:numId w:val="55"/>
        </w:numPr>
        <w:spacing w:line="276" w:lineRule="auto"/>
        <w:ind w:left="1080"/>
        <w:contextualSpacing/>
        <w:jc w:val="both"/>
        <w:rPr>
          <w:rFonts w:cs="Arial"/>
        </w:rPr>
      </w:pPr>
      <w:r w:rsidRPr="00CF75EA">
        <w:rPr>
          <w:rFonts w:cs="Arial"/>
        </w:rPr>
        <w:t>A non-statutory chief officer (the Executive Director of Growth, Environment</w:t>
      </w:r>
      <w:r>
        <w:rPr>
          <w:rFonts w:cs="Arial"/>
        </w:rPr>
        <w:t xml:space="preserve">, </w:t>
      </w:r>
      <w:r w:rsidRPr="00CF75EA">
        <w:rPr>
          <w:rFonts w:cs="Arial"/>
        </w:rPr>
        <w:t>Transport</w:t>
      </w:r>
      <w:r>
        <w:rPr>
          <w:rFonts w:cs="Arial"/>
        </w:rPr>
        <w:t xml:space="preserve"> and Health, </w:t>
      </w:r>
      <w:r w:rsidRPr="00CF75EA">
        <w:rPr>
          <w:rFonts w:cs="Arial"/>
        </w:rPr>
        <w:t xml:space="preserve">and any other postholder reporting directly to the </w:t>
      </w:r>
      <w:r>
        <w:rPr>
          <w:rFonts w:cs="Arial"/>
        </w:rPr>
        <w:t>Chief Executive or a statutory chief officer</w:t>
      </w:r>
      <w:proofErr w:type="gramStart"/>
      <w:r w:rsidRPr="00CF75EA">
        <w:rPr>
          <w:rFonts w:cs="Arial"/>
        </w:rPr>
        <w:t>);</w:t>
      </w:r>
      <w:proofErr w:type="gramEnd"/>
    </w:p>
    <w:p w14:paraId="440A329F" w14:textId="77777777" w:rsidR="0087427C" w:rsidRPr="00CF75EA" w:rsidRDefault="0087427C" w:rsidP="0087427C">
      <w:pPr>
        <w:ind w:left="1440" w:hanging="720"/>
        <w:jc w:val="both"/>
        <w:rPr>
          <w:rFonts w:cs="Arial"/>
        </w:rPr>
      </w:pPr>
    </w:p>
    <w:p w14:paraId="5644CA43" w14:textId="77777777" w:rsidR="0087427C" w:rsidRPr="00CF75EA" w:rsidRDefault="004A7A82" w:rsidP="0087427C">
      <w:pPr>
        <w:numPr>
          <w:ilvl w:val="0"/>
          <w:numId w:val="55"/>
        </w:numPr>
        <w:spacing w:line="276" w:lineRule="auto"/>
        <w:ind w:left="1080"/>
        <w:contextualSpacing/>
        <w:jc w:val="both"/>
        <w:rPr>
          <w:rFonts w:cs="Arial"/>
        </w:rPr>
      </w:pPr>
      <w:r w:rsidRPr="00CF75EA">
        <w:rPr>
          <w:rFonts w:cs="Arial"/>
        </w:rPr>
        <w:t>A deputy chief officer (all other director grade posts</w:t>
      </w:r>
      <w:r>
        <w:rPr>
          <w:rFonts w:cs="Arial"/>
        </w:rPr>
        <w:t>, and any other postholder reporting directly to a non-statutory chief officer</w:t>
      </w:r>
      <w:r w:rsidRPr="00CF75EA">
        <w:rPr>
          <w:rFonts w:cs="Arial"/>
        </w:rPr>
        <w:t>).</w:t>
      </w:r>
    </w:p>
    <w:p w14:paraId="281057A4" w14:textId="77777777" w:rsidR="0087427C" w:rsidRPr="00CF75EA" w:rsidRDefault="0087427C" w:rsidP="0087427C">
      <w:pPr>
        <w:jc w:val="both"/>
        <w:rPr>
          <w:rFonts w:cs="Arial"/>
        </w:rPr>
      </w:pPr>
    </w:p>
    <w:p w14:paraId="15FEE641" w14:textId="77777777" w:rsidR="0087427C" w:rsidRPr="00CF75EA" w:rsidRDefault="004A7A82" w:rsidP="0087427C">
      <w:pPr>
        <w:ind w:left="720" w:hanging="720"/>
        <w:jc w:val="both"/>
        <w:rPr>
          <w:rFonts w:cs="Arial"/>
        </w:rPr>
      </w:pPr>
      <w:r w:rsidRPr="00CF75EA">
        <w:rPr>
          <w:rFonts w:cs="Arial"/>
        </w:rPr>
        <w:t>2.2</w:t>
      </w:r>
      <w:r w:rsidRPr="00CF75EA">
        <w:rPr>
          <w:rFonts w:cs="Arial"/>
        </w:rPr>
        <w:tab/>
        <w:t xml:space="preserve">The terms and conditions of employment applicable to officers on director grades and above are as determined by the NJC for Local Government Services ('Green Book') as amended, supplemented or superseded by decisions on conditions of service made by the council from time to time. </w:t>
      </w:r>
      <w:r>
        <w:rPr>
          <w:rFonts w:cs="Arial"/>
        </w:rPr>
        <w:t xml:space="preserve"> </w:t>
      </w:r>
      <w:r w:rsidRPr="00CF75EA">
        <w:rPr>
          <w:rFonts w:cs="Arial"/>
        </w:rPr>
        <w:t xml:space="preserve">This also applies to the Chief Executive </w:t>
      </w:r>
      <w:proofErr w:type="gramStart"/>
      <w:r w:rsidRPr="00CF75EA">
        <w:rPr>
          <w:rFonts w:cs="Arial"/>
        </w:rPr>
        <w:t>with the exception of</w:t>
      </w:r>
      <w:proofErr w:type="gramEnd"/>
      <w:r w:rsidRPr="00CF75EA">
        <w:rPr>
          <w:rFonts w:cs="Arial"/>
        </w:rPr>
        <w:t xml:space="preserve"> an additional provision relating to remuneration in relation to acting as returning officer (see below) and a time limited restriction on re-employment.</w:t>
      </w:r>
    </w:p>
    <w:p w14:paraId="6ED3FD83" w14:textId="77777777" w:rsidR="0087427C" w:rsidRPr="00CF75EA" w:rsidRDefault="0087427C" w:rsidP="0087427C">
      <w:pPr>
        <w:ind w:left="720" w:hanging="720"/>
        <w:jc w:val="both"/>
        <w:rPr>
          <w:rFonts w:cs="Arial"/>
        </w:rPr>
      </w:pPr>
    </w:p>
    <w:p w14:paraId="55B189BE" w14:textId="77777777" w:rsidR="0087427C" w:rsidRPr="00CF75EA" w:rsidRDefault="004A7A82" w:rsidP="0087427C">
      <w:pPr>
        <w:ind w:left="720" w:hanging="720"/>
        <w:jc w:val="both"/>
        <w:rPr>
          <w:rFonts w:cs="Arial"/>
        </w:rPr>
      </w:pPr>
      <w:r w:rsidRPr="00CF75EA">
        <w:rPr>
          <w:rFonts w:cs="Arial"/>
        </w:rPr>
        <w:t xml:space="preserve">2.3   </w:t>
      </w:r>
      <w:r w:rsidRPr="00CF75EA">
        <w:rPr>
          <w:rFonts w:cs="Arial"/>
        </w:rPr>
        <w:tab/>
        <w:t xml:space="preserve">The council's pay and grading structure is as approved by Full Council.  The grade profile/job description of each chief officer post has been objectively evaluated using a recognised job evaluation scheme (the Hay Group Job Evaluation Scheme).  The evaluated score of the grade profile/job description will determine the grading level paid within the Lancashire Pay Spine.  Salary packages take account of such factors as the requirements of the job, the </w:t>
      </w:r>
      <w:r w:rsidRPr="00CF75EA">
        <w:rPr>
          <w:rFonts w:cs="Arial"/>
        </w:rPr>
        <w:lastRenderedPageBreak/>
        <w:t xml:space="preserve">relative size of the organisation, local and national market rates and the relationship with other posts within the grading structure. </w:t>
      </w:r>
    </w:p>
    <w:p w14:paraId="16FE214E" w14:textId="77777777" w:rsidR="0087427C" w:rsidRPr="00CF75EA" w:rsidRDefault="0087427C" w:rsidP="0087427C">
      <w:pPr>
        <w:jc w:val="both"/>
        <w:rPr>
          <w:rFonts w:cs="Arial"/>
        </w:rPr>
      </w:pPr>
    </w:p>
    <w:p w14:paraId="2E507AAA" w14:textId="77777777" w:rsidR="0087427C" w:rsidRPr="00CF75EA" w:rsidRDefault="004A7A82" w:rsidP="0087427C">
      <w:pPr>
        <w:ind w:left="720" w:hanging="720"/>
        <w:jc w:val="both"/>
        <w:rPr>
          <w:rFonts w:cs="Arial"/>
        </w:rPr>
      </w:pPr>
      <w:r w:rsidRPr="00CF75EA">
        <w:rPr>
          <w:rFonts w:cs="Arial"/>
        </w:rPr>
        <w:t xml:space="preserve">2.4   </w:t>
      </w:r>
      <w:r w:rsidRPr="00CF75EA">
        <w:rPr>
          <w:rFonts w:cs="Arial"/>
        </w:rPr>
        <w:tab/>
        <w:t xml:space="preserve">Details of chief officers' basic salaries are set out below (salaries are as applicable </w:t>
      </w:r>
      <w:proofErr w:type="gramStart"/>
      <w:r w:rsidRPr="00CF75EA">
        <w:rPr>
          <w:rFonts w:cs="Arial"/>
        </w:rPr>
        <w:t>at</w:t>
      </w:r>
      <w:proofErr w:type="gramEnd"/>
      <w:r w:rsidRPr="00CF75EA">
        <w:rPr>
          <w:rFonts w:cs="Arial"/>
        </w:rPr>
        <w:t xml:space="preserve"> 1 April 202</w:t>
      </w:r>
      <w:r>
        <w:rPr>
          <w:rFonts w:cs="Arial"/>
        </w:rPr>
        <w:t>3</w:t>
      </w:r>
      <w:r w:rsidRPr="00CF75EA">
        <w:rPr>
          <w:rFonts w:cs="Arial"/>
        </w:rPr>
        <w:t>, as a national pay agreement for 202</w:t>
      </w:r>
      <w:r>
        <w:rPr>
          <w:rFonts w:cs="Arial"/>
        </w:rPr>
        <w:t>4</w:t>
      </w:r>
      <w:r w:rsidRPr="00CF75EA">
        <w:rPr>
          <w:rFonts w:cs="Arial"/>
        </w:rPr>
        <w:t>-2</w:t>
      </w:r>
      <w:r>
        <w:rPr>
          <w:rFonts w:cs="Arial"/>
        </w:rPr>
        <w:t>5</w:t>
      </w:r>
      <w:r w:rsidRPr="00CF75EA">
        <w:rPr>
          <w:rFonts w:cs="Arial"/>
        </w:rPr>
        <w:t xml:space="preserve"> for Local Government Services has not yet been reached).  A structure chart identifying all posts covered by the statutory definition of chief officer posts is provided at Annex 4.</w:t>
      </w:r>
    </w:p>
    <w:p w14:paraId="607E909E" w14:textId="77777777" w:rsidR="0087427C" w:rsidRPr="00CF75EA" w:rsidRDefault="0087427C" w:rsidP="0087427C">
      <w:pPr>
        <w:jc w:val="both"/>
        <w:rPr>
          <w:rFonts w:cs="Arial"/>
        </w:rPr>
      </w:pPr>
    </w:p>
    <w:p w14:paraId="727ED476" w14:textId="77777777" w:rsidR="0087427C" w:rsidRPr="00CF75EA" w:rsidRDefault="004A7A82" w:rsidP="0087427C">
      <w:pPr>
        <w:jc w:val="both"/>
        <w:rPr>
          <w:rFonts w:cs="Arial"/>
          <w:b/>
        </w:rPr>
      </w:pPr>
      <w:r w:rsidRPr="00CF75EA">
        <w:rPr>
          <w:rFonts w:cs="Arial"/>
          <w:b/>
        </w:rPr>
        <w:t xml:space="preserve">Chief Executive   </w:t>
      </w:r>
    </w:p>
    <w:p w14:paraId="06A9B59F" w14:textId="77777777" w:rsidR="0087427C" w:rsidRPr="00CF75EA" w:rsidRDefault="0087427C" w:rsidP="0087427C">
      <w:pPr>
        <w:jc w:val="both"/>
        <w:rPr>
          <w:rFonts w:cs="Arial"/>
          <w:b/>
        </w:rPr>
      </w:pPr>
    </w:p>
    <w:p w14:paraId="37A946E4" w14:textId="77777777" w:rsidR="0087427C" w:rsidRPr="00CF75EA" w:rsidRDefault="004A7A82" w:rsidP="0087427C">
      <w:pPr>
        <w:jc w:val="both"/>
        <w:rPr>
          <w:rFonts w:cs="Arial"/>
        </w:rPr>
      </w:pPr>
      <w:r w:rsidRPr="00CF75EA">
        <w:rPr>
          <w:rFonts w:cs="Arial"/>
        </w:rPr>
        <w:t>The current basic salary package of the post of Chief Executive is £2</w:t>
      </w:r>
      <w:r>
        <w:rPr>
          <w:rFonts w:cs="Arial"/>
        </w:rPr>
        <w:t>31,180</w:t>
      </w:r>
      <w:r w:rsidRPr="00CF75EA">
        <w:rPr>
          <w:rFonts w:cs="Arial"/>
        </w:rPr>
        <w:t xml:space="preserve"> per annum, a single, spot salary (SCP 90). </w:t>
      </w:r>
    </w:p>
    <w:p w14:paraId="74116028" w14:textId="77777777" w:rsidR="0087427C" w:rsidRPr="00CF75EA" w:rsidRDefault="0087427C" w:rsidP="0087427C">
      <w:pPr>
        <w:jc w:val="both"/>
        <w:rPr>
          <w:rFonts w:cs="Arial"/>
        </w:rPr>
      </w:pPr>
    </w:p>
    <w:p w14:paraId="59A2DBBC" w14:textId="77777777" w:rsidR="0087427C" w:rsidRPr="00CF75EA" w:rsidRDefault="004A7A82" w:rsidP="0087427C">
      <w:pPr>
        <w:jc w:val="both"/>
        <w:rPr>
          <w:rFonts w:cs="Arial"/>
        </w:rPr>
      </w:pPr>
      <w:r w:rsidRPr="00CF75EA">
        <w:rPr>
          <w:rFonts w:cs="Arial"/>
        </w:rPr>
        <w:t>The Chief Executive also acts as Returning Officer for all county council elections for which an additional allowance is payable in relation to the overall supervision and ultimate responsibility for the conduct of council elections.</w:t>
      </w:r>
    </w:p>
    <w:p w14:paraId="57D4A937" w14:textId="77777777" w:rsidR="0087427C" w:rsidRPr="00CF75EA" w:rsidRDefault="0087427C" w:rsidP="0087427C">
      <w:pPr>
        <w:jc w:val="both"/>
        <w:rPr>
          <w:rFonts w:cs="Arial"/>
        </w:rPr>
      </w:pPr>
    </w:p>
    <w:p w14:paraId="146C8EBB" w14:textId="77777777" w:rsidR="0087427C" w:rsidRPr="00CF75EA" w:rsidRDefault="004A7A82" w:rsidP="0087427C">
      <w:pPr>
        <w:jc w:val="both"/>
        <w:rPr>
          <w:rFonts w:cs="Arial"/>
        </w:rPr>
      </w:pPr>
      <w:r w:rsidRPr="00CF75EA">
        <w:rPr>
          <w:rFonts w:cs="Arial"/>
        </w:rPr>
        <w:t xml:space="preserve">The fee payable is calculated in accordance with a formula approved by Full Council, currently 15% of the total fees payable to Deputy Returning Officers employed by district councils (which are based on a set amount for each councillor to be elected, currently £71.25).  In a contested election, the council presently has 84 elected members.  Elections take place on a </w:t>
      </w:r>
      <w:proofErr w:type="gramStart"/>
      <w:r w:rsidRPr="00CF75EA">
        <w:rPr>
          <w:rFonts w:cs="Arial"/>
        </w:rPr>
        <w:t>4 year</w:t>
      </w:r>
      <w:proofErr w:type="gramEnd"/>
      <w:r w:rsidRPr="00CF75EA">
        <w:rPr>
          <w:rFonts w:cs="Arial"/>
        </w:rPr>
        <w:t xml:space="preserve"> cycle although by-elections may take place at other times.</w:t>
      </w:r>
    </w:p>
    <w:p w14:paraId="23AC570E" w14:textId="77777777" w:rsidR="0087427C" w:rsidRPr="00CF75EA" w:rsidRDefault="0087427C" w:rsidP="0087427C">
      <w:pPr>
        <w:jc w:val="both"/>
        <w:rPr>
          <w:rFonts w:cs="Arial"/>
          <w:b/>
        </w:rPr>
      </w:pPr>
    </w:p>
    <w:p w14:paraId="259473A1" w14:textId="77777777" w:rsidR="0087427C" w:rsidRPr="00CF75EA" w:rsidRDefault="004A7A82" w:rsidP="0087427C">
      <w:pPr>
        <w:jc w:val="both"/>
        <w:rPr>
          <w:rFonts w:cs="Arial"/>
          <w:b/>
        </w:rPr>
      </w:pPr>
      <w:bookmarkStart w:id="17" w:name="_Hlk124947526"/>
      <w:r w:rsidRPr="00CF75EA">
        <w:rPr>
          <w:rFonts w:cs="Arial"/>
          <w:b/>
        </w:rPr>
        <w:t>Executive Directors</w:t>
      </w:r>
    </w:p>
    <w:p w14:paraId="4B249C2A" w14:textId="77777777" w:rsidR="0087427C" w:rsidRPr="00CF75EA" w:rsidRDefault="0087427C" w:rsidP="0087427C">
      <w:pPr>
        <w:jc w:val="both"/>
        <w:rPr>
          <w:rFonts w:cs="Arial"/>
          <w:b/>
        </w:rPr>
      </w:pPr>
    </w:p>
    <w:p w14:paraId="5687C555" w14:textId="77777777" w:rsidR="0087427C" w:rsidRPr="00CF75EA" w:rsidRDefault="004A7A82" w:rsidP="0087427C">
      <w:pPr>
        <w:jc w:val="both"/>
        <w:rPr>
          <w:rFonts w:cs="Arial"/>
        </w:rPr>
      </w:pPr>
      <w:r w:rsidRPr="00CF75EA">
        <w:rPr>
          <w:rFonts w:cs="Arial"/>
        </w:rPr>
        <w:t>The current basic salary package for posts designated as Executive Director fall within a range of five incremental points between £1</w:t>
      </w:r>
      <w:r>
        <w:rPr>
          <w:rFonts w:cs="Arial"/>
        </w:rPr>
        <w:t>39,030</w:t>
      </w:r>
      <w:r w:rsidRPr="00CF75EA">
        <w:rPr>
          <w:rFonts w:cs="Arial"/>
        </w:rPr>
        <w:t xml:space="preserve"> (SCP 85) rising to a maximum of £1</w:t>
      </w:r>
      <w:r>
        <w:rPr>
          <w:rFonts w:cs="Arial"/>
        </w:rPr>
        <w:t>50,922</w:t>
      </w:r>
      <w:r w:rsidRPr="00CF75EA">
        <w:rPr>
          <w:rFonts w:cs="Arial"/>
        </w:rPr>
        <w:t xml:space="preserve"> (SCP 89). </w:t>
      </w:r>
    </w:p>
    <w:p w14:paraId="31AA320F" w14:textId="77777777" w:rsidR="0087427C" w:rsidRDefault="0087427C" w:rsidP="0087427C">
      <w:pPr>
        <w:jc w:val="both"/>
        <w:rPr>
          <w:rFonts w:cs="Arial"/>
        </w:rPr>
      </w:pPr>
    </w:p>
    <w:p w14:paraId="694F3DAB" w14:textId="77777777" w:rsidR="0087427C" w:rsidRDefault="004A7A82" w:rsidP="0087427C">
      <w:pPr>
        <w:jc w:val="both"/>
        <w:rPr>
          <w:rFonts w:cs="Arial"/>
        </w:rPr>
      </w:pPr>
      <w:r w:rsidRPr="00CF75EA">
        <w:rPr>
          <w:rFonts w:cs="Arial"/>
        </w:rPr>
        <w:t xml:space="preserve">The post of Executive Director of Education and Children's Services attracts a market supplement of </w:t>
      </w:r>
      <w:r>
        <w:rPr>
          <w:rFonts w:cs="Arial"/>
        </w:rPr>
        <w:t>£</w:t>
      </w:r>
      <w:r w:rsidRPr="00BC052C">
        <w:rPr>
          <w:rFonts w:cs="Arial"/>
        </w:rPr>
        <w:t>17,201</w:t>
      </w:r>
      <w:r w:rsidRPr="00CF75EA">
        <w:rPr>
          <w:rFonts w:cs="Arial"/>
        </w:rPr>
        <w:t xml:space="preserve"> per annum, which is paid in addition to the salary for an Executive Director graded post.</w:t>
      </w:r>
    </w:p>
    <w:p w14:paraId="1FFDA942" w14:textId="77777777" w:rsidR="0087427C" w:rsidRDefault="0087427C" w:rsidP="0087427C">
      <w:pPr>
        <w:jc w:val="both"/>
        <w:rPr>
          <w:rFonts w:cs="Arial"/>
        </w:rPr>
      </w:pPr>
    </w:p>
    <w:p w14:paraId="6152FE2D" w14:textId="77777777" w:rsidR="0087427C" w:rsidRPr="00CF75EA" w:rsidRDefault="004A7A82" w:rsidP="0087427C">
      <w:pPr>
        <w:jc w:val="both"/>
        <w:rPr>
          <w:rFonts w:cs="Arial"/>
        </w:rPr>
      </w:pPr>
      <w:r>
        <w:rPr>
          <w:rFonts w:cs="Arial"/>
        </w:rPr>
        <w:t>The post of Executive Director Resources attracts a market supplement of £12,254 per annum, which is paid in addition to the salary for an Executive Director graded post.</w:t>
      </w:r>
    </w:p>
    <w:p w14:paraId="47EDDCD6" w14:textId="77777777" w:rsidR="0087427C" w:rsidRDefault="0087427C" w:rsidP="0087427C">
      <w:pPr>
        <w:jc w:val="both"/>
        <w:rPr>
          <w:rFonts w:cs="Arial"/>
          <w:b/>
        </w:rPr>
      </w:pPr>
    </w:p>
    <w:p w14:paraId="0B3DEB71" w14:textId="77777777" w:rsidR="0087427C" w:rsidRDefault="004A7A82" w:rsidP="0087427C">
      <w:pPr>
        <w:jc w:val="both"/>
        <w:rPr>
          <w:rFonts w:cs="Arial"/>
        </w:rPr>
      </w:pPr>
      <w:r w:rsidRPr="00B277B6">
        <w:rPr>
          <w:rFonts w:cs="Arial"/>
        </w:rPr>
        <w:t>The post of Executive Director of Adult Services attracts an additional payment of £</w:t>
      </w:r>
      <w:r>
        <w:rPr>
          <w:rFonts w:cs="Arial"/>
        </w:rPr>
        <w:t>14,655</w:t>
      </w:r>
      <w:r w:rsidRPr="00B277B6">
        <w:rPr>
          <w:rFonts w:cs="Arial"/>
        </w:rPr>
        <w:t xml:space="preserve"> per annum, which is paid in addition to the salary for an Executive Director graded role.  This additional payment is a salary uplift due to the postholder being seconded to Lancashire and South Cumbria Integrated Care Board (LSC ICB) as Director of Health and Care Integration until 4 December 2025.</w:t>
      </w:r>
      <w:r>
        <w:rPr>
          <w:rFonts w:cs="Arial"/>
        </w:rPr>
        <w:t xml:space="preserve">  This additional payment brings the overall package for the Executive Director/Director of Health and Care Integration in line with the NHS VSM grade.</w:t>
      </w:r>
      <w:r w:rsidRPr="00B277B6">
        <w:rPr>
          <w:rFonts w:cs="Arial"/>
        </w:rPr>
        <w:t xml:space="preserve">  </w:t>
      </w:r>
      <w:r>
        <w:rPr>
          <w:rFonts w:cs="Arial"/>
        </w:rPr>
        <w:t>The</w:t>
      </w:r>
      <w:r w:rsidRPr="00B277B6">
        <w:rPr>
          <w:rFonts w:cs="Arial"/>
        </w:rPr>
        <w:t xml:space="preserve"> postholder is working 80% of their time for the LSC ICB and 20% of their time with the council</w:t>
      </w:r>
      <w:r>
        <w:rPr>
          <w:rFonts w:cs="Arial"/>
        </w:rPr>
        <w:t xml:space="preserve"> for the period of the secondment</w:t>
      </w:r>
      <w:r w:rsidRPr="00B277B6">
        <w:rPr>
          <w:rFonts w:cs="Arial"/>
        </w:rPr>
        <w:t>.  They continue to hold the statutory Director of Adult Services role in relation to their council post.  The LSC ICB are paying 80% of the salary costs, superannuation costs and national insurance contributions</w:t>
      </w:r>
      <w:r>
        <w:rPr>
          <w:rFonts w:cs="Arial"/>
        </w:rPr>
        <w:t>,</w:t>
      </w:r>
      <w:r w:rsidRPr="00B277B6">
        <w:rPr>
          <w:rFonts w:cs="Arial"/>
        </w:rPr>
        <w:t xml:space="preserve"> in addition to the full additional payment </w:t>
      </w:r>
      <w:r>
        <w:rPr>
          <w:rFonts w:cs="Arial"/>
        </w:rPr>
        <w:t xml:space="preserve">(salary </w:t>
      </w:r>
      <w:r w:rsidRPr="00B277B6">
        <w:rPr>
          <w:rFonts w:cs="Arial"/>
        </w:rPr>
        <w:t>uplift</w:t>
      </w:r>
      <w:r>
        <w:rPr>
          <w:rFonts w:cs="Arial"/>
        </w:rPr>
        <w:t>)</w:t>
      </w:r>
      <w:r w:rsidRPr="00B277B6">
        <w:rPr>
          <w:rFonts w:cs="Arial"/>
        </w:rPr>
        <w:t xml:space="preserve"> for the duration of the secondment.</w:t>
      </w:r>
      <w:r>
        <w:rPr>
          <w:rFonts w:cs="Arial"/>
        </w:rPr>
        <w:t xml:space="preserve">  A Deputy </w:t>
      </w:r>
      <w:r>
        <w:rPr>
          <w:rFonts w:cs="Arial"/>
        </w:rPr>
        <w:lastRenderedPageBreak/>
        <w:t xml:space="preserve">Executive Director of Adult Services post has been created, to deputise for the Executive Director of Adult Services.  The salary grade for this post is Director 3 and further information about the salary package is set out below. </w:t>
      </w:r>
    </w:p>
    <w:bookmarkEnd w:id="17"/>
    <w:p w14:paraId="617DFE87" w14:textId="77777777" w:rsidR="0087427C" w:rsidRPr="00CF75EA" w:rsidRDefault="0087427C" w:rsidP="0087427C">
      <w:pPr>
        <w:jc w:val="both"/>
        <w:rPr>
          <w:rFonts w:cs="Arial"/>
          <w:b/>
        </w:rPr>
      </w:pPr>
    </w:p>
    <w:p w14:paraId="399A6EE3" w14:textId="77777777" w:rsidR="0087427C" w:rsidRPr="00CF75EA" w:rsidRDefault="004A7A82" w:rsidP="0087427C">
      <w:pPr>
        <w:jc w:val="both"/>
        <w:rPr>
          <w:rFonts w:cs="Arial"/>
          <w:b/>
        </w:rPr>
      </w:pPr>
      <w:r w:rsidRPr="00CF75EA">
        <w:rPr>
          <w:rFonts w:cs="Arial"/>
          <w:b/>
        </w:rPr>
        <w:t>Director Grades</w:t>
      </w:r>
    </w:p>
    <w:p w14:paraId="749CDF3E" w14:textId="77777777" w:rsidR="0087427C" w:rsidRPr="00CF75EA" w:rsidRDefault="0087427C" w:rsidP="0087427C">
      <w:pPr>
        <w:jc w:val="both"/>
        <w:rPr>
          <w:rFonts w:cs="Arial"/>
        </w:rPr>
      </w:pPr>
    </w:p>
    <w:p w14:paraId="412D3320" w14:textId="77777777" w:rsidR="0087427C" w:rsidRPr="00CF75EA" w:rsidRDefault="004A7A82" w:rsidP="0087427C">
      <w:pPr>
        <w:jc w:val="both"/>
        <w:rPr>
          <w:rFonts w:cs="Arial"/>
        </w:rPr>
      </w:pPr>
      <w:r w:rsidRPr="00CF75EA">
        <w:rPr>
          <w:rFonts w:cs="Arial"/>
        </w:rPr>
        <w:t xml:space="preserve">The current basic salary package of posts within the director grades </w:t>
      </w:r>
      <w:proofErr w:type="gramStart"/>
      <w:r w:rsidRPr="00CF75EA">
        <w:rPr>
          <w:rFonts w:cs="Arial"/>
        </w:rPr>
        <w:t>fall</w:t>
      </w:r>
      <w:proofErr w:type="gramEnd"/>
      <w:r w:rsidRPr="00CF75EA">
        <w:rPr>
          <w:rFonts w:cs="Arial"/>
        </w:rPr>
        <w:t xml:space="preserve"> within a range of three levels each comprising of five incremental points as set out below:</w:t>
      </w:r>
    </w:p>
    <w:p w14:paraId="7E0F3826" w14:textId="77777777" w:rsidR="0087427C" w:rsidRPr="00CF75EA" w:rsidRDefault="0087427C" w:rsidP="0087427C">
      <w:pPr>
        <w:jc w:val="both"/>
        <w:rPr>
          <w:rFonts w:cs="Arial"/>
        </w:rPr>
      </w:pPr>
    </w:p>
    <w:p w14:paraId="28EA0EBB" w14:textId="77777777" w:rsidR="0087427C" w:rsidRPr="00CF75EA" w:rsidRDefault="004A7A82" w:rsidP="0087427C">
      <w:pPr>
        <w:numPr>
          <w:ilvl w:val="0"/>
          <w:numId w:val="51"/>
        </w:numPr>
        <w:contextualSpacing/>
        <w:jc w:val="both"/>
        <w:rPr>
          <w:rFonts w:cs="Arial"/>
        </w:rPr>
      </w:pPr>
      <w:r w:rsidRPr="00CF75EA">
        <w:rPr>
          <w:rFonts w:cs="Arial"/>
        </w:rPr>
        <w:t>Director Grade 1 (D1) - £</w:t>
      </w:r>
      <w:r>
        <w:rPr>
          <w:rFonts w:cs="Arial"/>
        </w:rPr>
        <w:t>92,011</w:t>
      </w:r>
      <w:r w:rsidRPr="00CF75EA">
        <w:rPr>
          <w:rFonts w:cs="Arial"/>
        </w:rPr>
        <w:t xml:space="preserve"> (SCP 70) rising to £</w:t>
      </w:r>
      <w:r>
        <w:rPr>
          <w:rFonts w:cs="Arial"/>
        </w:rPr>
        <w:t>100,801</w:t>
      </w:r>
      <w:r w:rsidRPr="00CF75EA">
        <w:rPr>
          <w:rFonts w:cs="Arial"/>
        </w:rPr>
        <w:t xml:space="preserve"> (SCP 74)</w:t>
      </w:r>
    </w:p>
    <w:p w14:paraId="3643D867" w14:textId="77777777" w:rsidR="0087427C" w:rsidRPr="00CF75EA" w:rsidRDefault="004A7A82" w:rsidP="0087427C">
      <w:pPr>
        <w:numPr>
          <w:ilvl w:val="0"/>
          <w:numId w:val="51"/>
        </w:numPr>
        <w:contextualSpacing/>
        <w:jc w:val="both"/>
        <w:rPr>
          <w:rFonts w:cs="Arial"/>
        </w:rPr>
      </w:pPr>
      <w:r w:rsidRPr="00CF75EA">
        <w:rPr>
          <w:rFonts w:cs="Arial"/>
        </w:rPr>
        <w:t>Director Grade 2 (D2) - £</w:t>
      </w:r>
      <w:r>
        <w:rPr>
          <w:rFonts w:cs="Arial"/>
        </w:rPr>
        <w:t>102,757</w:t>
      </w:r>
      <w:r w:rsidRPr="00CF75EA">
        <w:rPr>
          <w:rFonts w:cs="Arial"/>
        </w:rPr>
        <w:t xml:space="preserve"> (SCP 75) rising to £1</w:t>
      </w:r>
      <w:r>
        <w:rPr>
          <w:rFonts w:cs="Arial"/>
        </w:rPr>
        <w:t>11,550</w:t>
      </w:r>
      <w:r w:rsidRPr="00CF75EA">
        <w:rPr>
          <w:rFonts w:cs="Arial"/>
        </w:rPr>
        <w:t xml:space="preserve"> (SCP 79)</w:t>
      </w:r>
    </w:p>
    <w:p w14:paraId="63D1B14C" w14:textId="77777777" w:rsidR="0087427C" w:rsidRPr="00CF75EA" w:rsidRDefault="004A7A82" w:rsidP="0087427C">
      <w:pPr>
        <w:numPr>
          <w:ilvl w:val="0"/>
          <w:numId w:val="51"/>
        </w:numPr>
        <w:contextualSpacing/>
        <w:jc w:val="both"/>
        <w:rPr>
          <w:rFonts w:cs="Arial"/>
        </w:rPr>
      </w:pPr>
      <w:r w:rsidRPr="00CF75EA">
        <w:rPr>
          <w:rFonts w:cs="Arial"/>
        </w:rPr>
        <w:t>Director Grade 3 (D3) - £1</w:t>
      </w:r>
      <w:r>
        <w:rPr>
          <w:rFonts w:cs="Arial"/>
        </w:rPr>
        <w:t>23,028</w:t>
      </w:r>
      <w:r w:rsidRPr="00CF75EA">
        <w:rPr>
          <w:rFonts w:cs="Arial"/>
        </w:rPr>
        <w:t xml:space="preserve"> (SCP 80) rising to £1</w:t>
      </w:r>
      <w:r>
        <w:rPr>
          <w:rFonts w:cs="Arial"/>
        </w:rPr>
        <w:t>34,554</w:t>
      </w:r>
      <w:r w:rsidRPr="00CF75EA">
        <w:rPr>
          <w:rFonts w:cs="Arial"/>
        </w:rPr>
        <w:t xml:space="preserve"> (SCP 84)</w:t>
      </w:r>
    </w:p>
    <w:p w14:paraId="7E8B8E31" w14:textId="77777777" w:rsidR="0087427C" w:rsidRPr="00CF75EA" w:rsidRDefault="0087427C" w:rsidP="0087427C">
      <w:pPr>
        <w:contextualSpacing/>
        <w:jc w:val="both"/>
        <w:rPr>
          <w:rFonts w:cs="Arial"/>
        </w:rPr>
      </w:pPr>
    </w:p>
    <w:p w14:paraId="4ADAE8FC" w14:textId="77777777" w:rsidR="0087427C" w:rsidRDefault="004A7A82" w:rsidP="0087427C">
      <w:pPr>
        <w:contextualSpacing/>
        <w:jc w:val="both"/>
        <w:rPr>
          <w:rFonts w:cs="Arial"/>
        </w:rPr>
      </w:pPr>
      <w:r w:rsidRPr="00CF75EA">
        <w:rPr>
          <w:rFonts w:cs="Arial"/>
        </w:rPr>
        <w:t>The post of Director of Investment attracts a market supplement of £26,688 per annum, which is paid in addition to the salary for a Director Grade 3 (D3) post.</w:t>
      </w:r>
    </w:p>
    <w:p w14:paraId="4B28D6B3" w14:textId="77777777" w:rsidR="0087427C" w:rsidRDefault="0087427C" w:rsidP="0087427C">
      <w:pPr>
        <w:contextualSpacing/>
        <w:jc w:val="both"/>
        <w:rPr>
          <w:rFonts w:cs="Arial"/>
        </w:rPr>
      </w:pPr>
    </w:p>
    <w:p w14:paraId="78C171FB" w14:textId="77777777" w:rsidR="0087427C" w:rsidRPr="00CF75EA" w:rsidRDefault="004A7A82" w:rsidP="0087427C">
      <w:pPr>
        <w:contextualSpacing/>
        <w:jc w:val="both"/>
        <w:rPr>
          <w:rFonts w:cs="Arial"/>
        </w:rPr>
      </w:pPr>
      <w:r>
        <w:rPr>
          <w:rFonts w:cs="Arial"/>
        </w:rPr>
        <w:t>The post of Director of People attracts a market supplement of £7,600 per annum, which is paid in addition to the salary for a Director Grade 2 (D2) post.</w:t>
      </w:r>
    </w:p>
    <w:p w14:paraId="303EAC09" w14:textId="77777777" w:rsidR="0087427C" w:rsidRPr="00CF75EA" w:rsidRDefault="0087427C" w:rsidP="0087427C">
      <w:pPr>
        <w:contextualSpacing/>
        <w:jc w:val="both"/>
        <w:rPr>
          <w:rFonts w:cs="Arial"/>
        </w:rPr>
      </w:pPr>
    </w:p>
    <w:p w14:paraId="6F5AA6DD" w14:textId="77777777" w:rsidR="0087427C" w:rsidRPr="00CF75EA" w:rsidRDefault="004A7A82" w:rsidP="0087427C">
      <w:pPr>
        <w:jc w:val="both"/>
        <w:rPr>
          <w:rFonts w:cs="Arial"/>
          <w:b/>
        </w:rPr>
      </w:pPr>
      <w:r w:rsidRPr="00CF75EA">
        <w:rPr>
          <w:rFonts w:cs="Arial"/>
          <w:b/>
        </w:rPr>
        <w:t>Officers Reporting Direct to the Chief Executive, Statutory and Non-statutory Chief Officers</w:t>
      </w:r>
    </w:p>
    <w:p w14:paraId="03C06513" w14:textId="77777777" w:rsidR="0087427C" w:rsidRPr="00CF75EA" w:rsidRDefault="0087427C" w:rsidP="0087427C">
      <w:pPr>
        <w:jc w:val="both"/>
        <w:rPr>
          <w:rFonts w:cs="Arial"/>
          <w:b/>
        </w:rPr>
      </w:pPr>
    </w:p>
    <w:p w14:paraId="06F235E4" w14:textId="77777777" w:rsidR="0087427C" w:rsidRPr="00CF75EA" w:rsidRDefault="004A7A82" w:rsidP="0087427C">
      <w:pPr>
        <w:jc w:val="both"/>
        <w:rPr>
          <w:rFonts w:cs="Arial"/>
        </w:rPr>
      </w:pPr>
      <w:r w:rsidRPr="00CF75EA">
        <w:rPr>
          <w:rFonts w:cs="Arial"/>
        </w:rPr>
        <w:t xml:space="preserve">There are currently </w:t>
      </w:r>
      <w:proofErr w:type="gramStart"/>
      <w:r w:rsidRPr="00CF75EA">
        <w:rPr>
          <w:rFonts w:cs="Arial"/>
        </w:rPr>
        <w:t>a number of</w:t>
      </w:r>
      <w:proofErr w:type="gramEnd"/>
      <w:r w:rsidRPr="00CF75EA">
        <w:rPr>
          <w:rFonts w:cs="Arial"/>
        </w:rPr>
        <w:t xml:space="preserve"> officers at head of service level who meet the statutory definition of non-statutory chief officer, or deputy chief officer, but who are not employed on director grades or chief officer terms and conditions.  These posts are identified on the structure chart provided at Annex 4.</w:t>
      </w:r>
    </w:p>
    <w:p w14:paraId="150A10D8" w14:textId="77777777" w:rsidR="0087427C" w:rsidRPr="00CF75EA" w:rsidRDefault="004A7A82" w:rsidP="0087427C">
      <w:pPr>
        <w:jc w:val="both"/>
        <w:rPr>
          <w:rFonts w:cs="Arial"/>
        </w:rPr>
      </w:pPr>
      <w:r w:rsidRPr="00CF75EA">
        <w:rPr>
          <w:rFonts w:cs="Arial"/>
        </w:rPr>
        <w:t xml:space="preserve"> </w:t>
      </w:r>
    </w:p>
    <w:p w14:paraId="3E34FDF8" w14:textId="77777777" w:rsidR="0087427C" w:rsidRPr="00CF75EA" w:rsidRDefault="004A7A82" w:rsidP="0087427C">
      <w:pPr>
        <w:ind w:left="720" w:hanging="720"/>
        <w:jc w:val="both"/>
        <w:rPr>
          <w:rFonts w:cs="Arial"/>
        </w:rPr>
      </w:pPr>
      <w:r w:rsidRPr="00CF75EA">
        <w:rPr>
          <w:rFonts w:cs="Arial"/>
        </w:rPr>
        <w:t>2.5</w:t>
      </w:r>
      <w:r w:rsidRPr="00CF75EA">
        <w:rPr>
          <w:rFonts w:cs="Arial"/>
        </w:rPr>
        <w:tab/>
        <w:t>Progression through the grade is by annual increment, which normally happens on 1 April each year.</w:t>
      </w:r>
    </w:p>
    <w:p w14:paraId="11FFE239" w14:textId="77777777" w:rsidR="0087427C" w:rsidRPr="00CF75EA" w:rsidRDefault="0087427C" w:rsidP="0087427C">
      <w:pPr>
        <w:jc w:val="both"/>
        <w:rPr>
          <w:rFonts w:cs="Arial"/>
        </w:rPr>
      </w:pPr>
    </w:p>
    <w:p w14:paraId="209650FE" w14:textId="77777777" w:rsidR="0087427C" w:rsidRPr="00CF75EA" w:rsidRDefault="004A7A82" w:rsidP="0087427C">
      <w:pPr>
        <w:ind w:left="720" w:hanging="720"/>
        <w:jc w:val="both"/>
        <w:rPr>
          <w:rFonts w:cs="Arial"/>
        </w:rPr>
      </w:pPr>
      <w:proofErr w:type="gramStart"/>
      <w:r w:rsidRPr="00CF75EA">
        <w:rPr>
          <w:rFonts w:cs="Arial"/>
        </w:rPr>
        <w:t xml:space="preserve">2.6  </w:t>
      </w:r>
      <w:r w:rsidRPr="00CF75EA">
        <w:rPr>
          <w:rFonts w:cs="Arial"/>
        </w:rPr>
        <w:tab/>
      </w:r>
      <w:proofErr w:type="gramEnd"/>
      <w:r w:rsidRPr="00CF75EA">
        <w:rPr>
          <w:rFonts w:cs="Arial"/>
        </w:rPr>
        <w:t>Salary levels are increased in accordance with any nationally agreed pay settlement negotiated through the NJC for Local Government Services.</w:t>
      </w:r>
    </w:p>
    <w:p w14:paraId="41ADE129" w14:textId="77777777" w:rsidR="0087427C" w:rsidRPr="00CF75EA" w:rsidRDefault="0087427C" w:rsidP="0087427C">
      <w:pPr>
        <w:jc w:val="both"/>
        <w:rPr>
          <w:rFonts w:cs="Arial"/>
        </w:rPr>
      </w:pPr>
    </w:p>
    <w:p w14:paraId="46A3C746" w14:textId="77777777" w:rsidR="0087427C" w:rsidRDefault="004A7A82" w:rsidP="0087427C">
      <w:pPr>
        <w:jc w:val="both"/>
        <w:rPr>
          <w:rFonts w:cs="Arial"/>
          <w:u w:val="single"/>
        </w:rPr>
      </w:pPr>
      <w:r w:rsidRPr="00CF75EA">
        <w:rPr>
          <w:rFonts w:cs="Arial"/>
        </w:rPr>
        <w:t>2.7</w:t>
      </w:r>
      <w:r w:rsidRPr="00CF75EA">
        <w:rPr>
          <w:rFonts w:cs="Arial"/>
        </w:rPr>
        <w:tab/>
      </w:r>
      <w:r w:rsidRPr="00CF75EA">
        <w:rPr>
          <w:rFonts w:cs="Arial"/>
          <w:u w:val="single"/>
        </w:rPr>
        <w:t>Other Remuneration Elements</w:t>
      </w:r>
    </w:p>
    <w:p w14:paraId="1420990E" w14:textId="77777777" w:rsidR="0087427C" w:rsidRPr="00CF75EA" w:rsidRDefault="0087427C" w:rsidP="0087427C">
      <w:pPr>
        <w:jc w:val="both"/>
        <w:rPr>
          <w:rFonts w:cs="Arial"/>
        </w:rPr>
      </w:pPr>
    </w:p>
    <w:p w14:paraId="419C72A5" w14:textId="77777777" w:rsidR="0087427C" w:rsidRPr="00CF75EA" w:rsidRDefault="004A7A82" w:rsidP="0087427C">
      <w:pPr>
        <w:jc w:val="both"/>
        <w:rPr>
          <w:rFonts w:cs="Arial"/>
        </w:rPr>
      </w:pPr>
      <w:r w:rsidRPr="00CF75EA">
        <w:rPr>
          <w:rFonts w:cs="Arial"/>
        </w:rPr>
        <w:t>2.7.1</w:t>
      </w:r>
      <w:r w:rsidRPr="00CF75EA">
        <w:rPr>
          <w:rFonts w:cs="Arial"/>
        </w:rPr>
        <w:tab/>
        <w:t>In addition to basic salary, all chief officer posts are entitled to:</w:t>
      </w:r>
    </w:p>
    <w:p w14:paraId="29E70580" w14:textId="77777777" w:rsidR="0087427C" w:rsidRPr="00CF75EA" w:rsidRDefault="004A7A82" w:rsidP="0087427C">
      <w:pPr>
        <w:jc w:val="both"/>
        <w:rPr>
          <w:rFonts w:cs="Arial"/>
        </w:rPr>
      </w:pPr>
      <w:r w:rsidRPr="00CF75EA">
        <w:rPr>
          <w:rFonts w:cs="Arial"/>
        </w:rPr>
        <w:t xml:space="preserve">              </w:t>
      </w:r>
    </w:p>
    <w:p w14:paraId="1ECAC603" w14:textId="77777777" w:rsidR="0087427C" w:rsidRPr="00CF75EA" w:rsidRDefault="004A7A82" w:rsidP="0087427C">
      <w:pPr>
        <w:numPr>
          <w:ilvl w:val="0"/>
          <w:numId w:val="52"/>
        </w:numPr>
        <w:spacing w:line="276" w:lineRule="auto"/>
        <w:ind w:left="1080"/>
        <w:contextualSpacing/>
        <w:jc w:val="both"/>
        <w:rPr>
          <w:rFonts w:cs="Arial"/>
        </w:rPr>
      </w:pPr>
      <w:r w:rsidRPr="00CF75EA">
        <w:rPr>
          <w:rFonts w:cs="Arial"/>
        </w:rPr>
        <w:t>A lease car. The current maximum contribution by the council, based on the annual rental payable for any vehicle, is £6,000 (£6,500 for the Chief Executive); or,</w:t>
      </w:r>
    </w:p>
    <w:p w14:paraId="641B11A4" w14:textId="77777777" w:rsidR="0087427C" w:rsidRPr="00CF75EA" w:rsidRDefault="0087427C" w:rsidP="0087427C">
      <w:pPr>
        <w:ind w:left="1080" w:hanging="720"/>
        <w:jc w:val="both"/>
        <w:rPr>
          <w:rFonts w:cs="Arial"/>
        </w:rPr>
      </w:pPr>
    </w:p>
    <w:p w14:paraId="7D80B563" w14:textId="77777777" w:rsidR="0087427C" w:rsidRPr="00CF75EA" w:rsidRDefault="004A7A82" w:rsidP="0087427C">
      <w:pPr>
        <w:numPr>
          <w:ilvl w:val="0"/>
          <w:numId w:val="52"/>
        </w:numPr>
        <w:spacing w:line="276" w:lineRule="auto"/>
        <w:ind w:left="1080"/>
        <w:contextualSpacing/>
        <w:jc w:val="both"/>
        <w:rPr>
          <w:rFonts w:cs="Arial"/>
        </w:rPr>
      </w:pPr>
      <w:r w:rsidRPr="00CF75EA">
        <w:rPr>
          <w:rFonts w:cs="Arial"/>
        </w:rPr>
        <w:t xml:space="preserve">As an alternative to a lease car, or </w:t>
      </w:r>
      <w:proofErr w:type="gramStart"/>
      <w:r w:rsidRPr="00CF75EA">
        <w:rPr>
          <w:rFonts w:cs="Arial"/>
        </w:rPr>
        <w:t>where</w:t>
      </w:r>
      <w:proofErr w:type="gramEnd"/>
      <w:r w:rsidRPr="00CF75EA">
        <w:rPr>
          <w:rFonts w:cs="Arial"/>
        </w:rPr>
        <w:t xml:space="preserve"> engaged on a contract for less than three years, a chief officer may opt to receive a cash equivalent sum of £5,300 per annum (as at 1</w:t>
      </w:r>
      <w:r w:rsidRPr="00CF75EA">
        <w:rPr>
          <w:rFonts w:cs="Arial"/>
          <w:vertAlign w:val="superscript"/>
        </w:rPr>
        <w:t xml:space="preserve"> </w:t>
      </w:r>
      <w:r w:rsidRPr="00CF75EA">
        <w:rPr>
          <w:rFonts w:cs="Arial"/>
        </w:rPr>
        <w:t>April 202</w:t>
      </w:r>
      <w:r>
        <w:rPr>
          <w:rFonts w:cs="Arial"/>
        </w:rPr>
        <w:t>4</w:t>
      </w:r>
      <w:r w:rsidRPr="00CF75EA">
        <w:rPr>
          <w:rFonts w:cs="Arial"/>
        </w:rPr>
        <w:t xml:space="preserve">) (this sum is subject to annual review); </w:t>
      </w:r>
    </w:p>
    <w:p w14:paraId="4DBB9DFC" w14:textId="77777777" w:rsidR="0087427C" w:rsidRPr="00CF75EA" w:rsidRDefault="0087427C" w:rsidP="0087427C">
      <w:pPr>
        <w:ind w:left="1080" w:hanging="720"/>
        <w:jc w:val="both"/>
        <w:rPr>
          <w:rFonts w:cs="Arial"/>
        </w:rPr>
      </w:pPr>
    </w:p>
    <w:p w14:paraId="31A8B2AD" w14:textId="77777777" w:rsidR="0087427C" w:rsidRPr="00CF75EA" w:rsidRDefault="004A7A82" w:rsidP="0087427C">
      <w:pPr>
        <w:numPr>
          <w:ilvl w:val="0"/>
          <w:numId w:val="52"/>
        </w:numPr>
        <w:spacing w:line="276" w:lineRule="auto"/>
        <w:ind w:left="1080"/>
        <w:contextualSpacing/>
        <w:jc w:val="both"/>
        <w:rPr>
          <w:rFonts w:cs="Arial"/>
        </w:rPr>
      </w:pPr>
      <w:r w:rsidRPr="00CF75EA">
        <w:rPr>
          <w:rFonts w:cs="Arial"/>
        </w:rPr>
        <w:t xml:space="preserve">The council operates a policy of reimbursing the membership fees incurred by a chief officer in relation to membership of a professional </w:t>
      </w:r>
      <w:proofErr w:type="gramStart"/>
      <w:r w:rsidRPr="00CF75EA">
        <w:rPr>
          <w:rFonts w:cs="Arial"/>
        </w:rPr>
        <w:t>body;</w:t>
      </w:r>
      <w:proofErr w:type="gramEnd"/>
      <w:r w:rsidRPr="00CF75EA">
        <w:rPr>
          <w:rFonts w:cs="Arial"/>
        </w:rPr>
        <w:t xml:space="preserve"> </w:t>
      </w:r>
    </w:p>
    <w:p w14:paraId="2FDB606E" w14:textId="77777777" w:rsidR="0087427C" w:rsidRPr="00CF75EA" w:rsidRDefault="0087427C" w:rsidP="0087427C">
      <w:pPr>
        <w:ind w:left="1080" w:hanging="720"/>
        <w:jc w:val="both"/>
        <w:rPr>
          <w:rFonts w:cs="Arial"/>
        </w:rPr>
      </w:pPr>
    </w:p>
    <w:p w14:paraId="0E0F1DAD" w14:textId="77777777" w:rsidR="0087427C" w:rsidRPr="00CF75EA" w:rsidRDefault="004A7A82" w:rsidP="0087427C">
      <w:pPr>
        <w:numPr>
          <w:ilvl w:val="0"/>
          <w:numId w:val="52"/>
        </w:numPr>
        <w:spacing w:line="276" w:lineRule="auto"/>
        <w:ind w:left="1080"/>
        <w:contextualSpacing/>
        <w:jc w:val="both"/>
        <w:rPr>
          <w:rFonts w:cs="Arial"/>
        </w:rPr>
      </w:pPr>
      <w:r w:rsidRPr="00CF75EA">
        <w:rPr>
          <w:rFonts w:cs="Arial"/>
        </w:rPr>
        <w:lastRenderedPageBreak/>
        <w:t xml:space="preserve">Official business mileage undertaken by chief officers is reimbursed at the prevailing advisory rate set by HMRC in relation to company cars.  This rate is calculated on the basis that it does not include any taxable profit and no national insurance contribution liability as the rate is intended to reflect actual fuel costs. </w:t>
      </w:r>
    </w:p>
    <w:p w14:paraId="74F234C9" w14:textId="77777777" w:rsidR="0087427C" w:rsidRPr="00CF75EA" w:rsidRDefault="0087427C" w:rsidP="0087427C">
      <w:pPr>
        <w:ind w:left="1080" w:hanging="720"/>
        <w:jc w:val="both"/>
        <w:rPr>
          <w:rFonts w:cs="Arial"/>
        </w:rPr>
      </w:pPr>
    </w:p>
    <w:p w14:paraId="0ADFF30A" w14:textId="77777777" w:rsidR="0087427C" w:rsidRPr="00CF75EA" w:rsidRDefault="004A7A82" w:rsidP="0087427C">
      <w:pPr>
        <w:numPr>
          <w:ilvl w:val="0"/>
          <w:numId w:val="52"/>
        </w:numPr>
        <w:spacing w:line="276" w:lineRule="auto"/>
        <w:ind w:left="1080"/>
        <w:contextualSpacing/>
        <w:jc w:val="both"/>
        <w:rPr>
          <w:rFonts w:cs="Arial"/>
        </w:rPr>
      </w:pPr>
      <w:r w:rsidRPr="00CF75EA">
        <w:rPr>
          <w:rFonts w:cs="Arial"/>
        </w:rPr>
        <w:t>Other allowances and expenses that chief officers may claim are as set out within the list provided at Annex 3 (Allowances and Expenses).  The allowances and expenses that may be claimed are as applicable to other employees of the council.</w:t>
      </w:r>
    </w:p>
    <w:p w14:paraId="4C7B8F63" w14:textId="77777777" w:rsidR="0087427C" w:rsidRPr="00CF75EA" w:rsidRDefault="0087427C" w:rsidP="0087427C">
      <w:pPr>
        <w:ind w:left="1080" w:hanging="720"/>
        <w:jc w:val="both"/>
        <w:rPr>
          <w:rFonts w:cs="Arial"/>
        </w:rPr>
      </w:pPr>
    </w:p>
    <w:p w14:paraId="3B38B11E" w14:textId="77777777" w:rsidR="0087427C" w:rsidRPr="00CF75EA" w:rsidRDefault="004A7A82" w:rsidP="0087427C">
      <w:pPr>
        <w:numPr>
          <w:ilvl w:val="0"/>
          <w:numId w:val="52"/>
        </w:numPr>
        <w:spacing w:line="276" w:lineRule="auto"/>
        <w:ind w:left="1080"/>
        <w:contextualSpacing/>
        <w:jc w:val="both"/>
        <w:rPr>
          <w:rFonts w:cs="Arial"/>
        </w:rPr>
      </w:pPr>
      <w:r w:rsidRPr="00CF75EA">
        <w:rPr>
          <w:rFonts w:cs="Arial"/>
        </w:rPr>
        <w:t>Chief officers are not permitted to claim any payable enhancements as documented at Annex 2 (for example, planned overtime payments or enhancements for weekend working).</w:t>
      </w:r>
    </w:p>
    <w:p w14:paraId="08EF91CF" w14:textId="77777777" w:rsidR="0087427C" w:rsidRPr="00CF75EA" w:rsidRDefault="0087427C" w:rsidP="0087427C">
      <w:pPr>
        <w:ind w:left="720" w:hanging="720"/>
        <w:jc w:val="both"/>
        <w:rPr>
          <w:rFonts w:cs="Arial"/>
        </w:rPr>
      </w:pPr>
    </w:p>
    <w:p w14:paraId="69B977BB" w14:textId="77777777" w:rsidR="0087427C" w:rsidRPr="00CF75EA" w:rsidRDefault="004A7A82" w:rsidP="0087427C">
      <w:pPr>
        <w:ind w:left="720" w:hanging="720"/>
        <w:jc w:val="both"/>
        <w:rPr>
          <w:rFonts w:cs="Arial"/>
        </w:rPr>
      </w:pPr>
      <w:r w:rsidRPr="00CF75EA">
        <w:rPr>
          <w:rFonts w:cs="Arial"/>
        </w:rPr>
        <w:t>2.7.2</w:t>
      </w:r>
      <w:r w:rsidRPr="00CF75EA">
        <w:rPr>
          <w:rFonts w:cs="Arial"/>
        </w:rPr>
        <w:tab/>
        <w:t>To meet specific operational requirements it may be necessary in exceptional circumstances for an individual to temporarily take on additional duties or responsibilities.  Where this is necessary and justified a temporary supplement to the salary scale for the grade must be approved in accordance with the council's agreed policy relating to honoraria and acting up payments.</w:t>
      </w:r>
    </w:p>
    <w:p w14:paraId="0B33305B" w14:textId="77777777" w:rsidR="0087427C" w:rsidRPr="00CF75EA" w:rsidRDefault="0087427C" w:rsidP="0087427C">
      <w:pPr>
        <w:jc w:val="both"/>
        <w:rPr>
          <w:rFonts w:cs="Arial"/>
        </w:rPr>
      </w:pPr>
    </w:p>
    <w:p w14:paraId="45D2CA5B" w14:textId="77777777" w:rsidR="0087427C" w:rsidRPr="00CF75EA" w:rsidRDefault="004A7A82" w:rsidP="0087427C">
      <w:pPr>
        <w:jc w:val="both"/>
        <w:rPr>
          <w:rFonts w:cs="Arial"/>
        </w:rPr>
      </w:pPr>
      <w:r w:rsidRPr="00CF75EA">
        <w:rPr>
          <w:rFonts w:cs="Arial"/>
        </w:rPr>
        <w:t>2.8</w:t>
      </w:r>
      <w:r w:rsidRPr="00CF75EA">
        <w:rPr>
          <w:rFonts w:cs="Arial"/>
        </w:rPr>
        <w:tab/>
      </w:r>
      <w:r w:rsidRPr="00CF75EA">
        <w:rPr>
          <w:rFonts w:cs="Arial"/>
          <w:u w:val="single"/>
        </w:rPr>
        <w:t>Performance Related Pay/Bonus Scheme</w:t>
      </w:r>
    </w:p>
    <w:p w14:paraId="42A9E0D9" w14:textId="77777777" w:rsidR="0087427C" w:rsidRPr="00CF75EA" w:rsidRDefault="0087427C" w:rsidP="0087427C">
      <w:pPr>
        <w:jc w:val="both"/>
        <w:rPr>
          <w:rFonts w:cs="Arial"/>
        </w:rPr>
      </w:pPr>
    </w:p>
    <w:p w14:paraId="0A23ABDE" w14:textId="77777777" w:rsidR="0087427C" w:rsidRPr="00CF75EA" w:rsidRDefault="004A7A82" w:rsidP="0087427C">
      <w:pPr>
        <w:ind w:left="720"/>
        <w:jc w:val="both"/>
        <w:rPr>
          <w:rFonts w:cs="Arial"/>
        </w:rPr>
      </w:pPr>
      <w:proofErr w:type="gramStart"/>
      <w:r w:rsidRPr="00CF75EA">
        <w:rPr>
          <w:rFonts w:cs="Arial"/>
        </w:rPr>
        <w:t>With the exception of</w:t>
      </w:r>
      <w:proofErr w:type="gramEnd"/>
      <w:r w:rsidRPr="00CF75EA">
        <w:rPr>
          <w:rFonts w:cs="Arial"/>
        </w:rPr>
        <w:t xml:space="preserve"> progression through the incremental scale of the relevant grade, the level of remuneration is not variable or dependent upon the achievement of defined targets.  </w:t>
      </w:r>
    </w:p>
    <w:p w14:paraId="15851E9F" w14:textId="77777777" w:rsidR="0087427C" w:rsidRPr="00CF75EA" w:rsidRDefault="0087427C" w:rsidP="0087427C">
      <w:pPr>
        <w:jc w:val="both"/>
        <w:rPr>
          <w:rFonts w:cs="Arial"/>
        </w:rPr>
      </w:pPr>
    </w:p>
    <w:p w14:paraId="2EF46B5E" w14:textId="77777777" w:rsidR="0087427C" w:rsidRPr="00CF75EA" w:rsidRDefault="004A7A82" w:rsidP="0087427C">
      <w:pPr>
        <w:ind w:left="720"/>
        <w:jc w:val="both"/>
        <w:rPr>
          <w:rFonts w:cs="Arial"/>
        </w:rPr>
      </w:pPr>
      <w:r w:rsidRPr="00CF75EA">
        <w:rPr>
          <w:rFonts w:cs="Arial"/>
        </w:rPr>
        <w:t>The council does not operate a performance related pay scheme in relation to its chief officers nor does it pay bonuses or any other cash incentive.</w:t>
      </w:r>
    </w:p>
    <w:p w14:paraId="71C7B210" w14:textId="77777777" w:rsidR="0087427C" w:rsidRPr="00CF75EA" w:rsidRDefault="0087427C" w:rsidP="0087427C">
      <w:pPr>
        <w:jc w:val="both"/>
        <w:rPr>
          <w:rFonts w:cs="Arial"/>
        </w:rPr>
      </w:pPr>
    </w:p>
    <w:p w14:paraId="15070381" w14:textId="77777777" w:rsidR="0087427C" w:rsidRPr="00CF75EA" w:rsidRDefault="004A7A82" w:rsidP="0087427C">
      <w:pPr>
        <w:jc w:val="both"/>
        <w:rPr>
          <w:rFonts w:cs="Arial"/>
        </w:rPr>
      </w:pPr>
      <w:r w:rsidRPr="00CF75EA">
        <w:rPr>
          <w:rFonts w:cs="Arial"/>
        </w:rPr>
        <w:t xml:space="preserve">2.9   </w:t>
      </w:r>
      <w:r w:rsidRPr="00CF75EA">
        <w:rPr>
          <w:rFonts w:cs="Arial"/>
        </w:rPr>
        <w:tab/>
      </w:r>
      <w:r w:rsidRPr="00CF75EA">
        <w:rPr>
          <w:rFonts w:cs="Arial"/>
          <w:u w:val="single"/>
        </w:rPr>
        <w:t>Recruitment of Chief Officers</w:t>
      </w:r>
    </w:p>
    <w:p w14:paraId="491E30B9" w14:textId="77777777" w:rsidR="0087427C" w:rsidRPr="00CF75EA" w:rsidRDefault="0087427C" w:rsidP="0087427C">
      <w:pPr>
        <w:jc w:val="both"/>
        <w:rPr>
          <w:rFonts w:cs="Arial"/>
        </w:rPr>
      </w:pPr>
    </w:p>
    <w:p w14:paraId="26400047" w14:textId="77777777" w:rsidR="0087427C" w:rsidRPr="00CF75EA" w:rsidRDefault="004A7A82" w:rsidP="0087427C">
      <w:pPr>
        <w:ind w:left="720" w:hanging="720"/>
        <w:jc w:val="both"/>
        <w:rPr>
          <w:rFonts w:cs="Arial"/>
        </w:rPr>
      </w:pPr>
      <w:r w:rsidRPr="00CF75EA">
        <w:rPr>
          <w:rFonts w:cs="Arial"/>
        </w:rPr>
        <w:t xml:space="preserve">2.9.1 </w:t>
      </w:r>
      <w:r w:rsidRPr="00CF75EA">
        <w:rPr>
          <w:rFonts w:cs="Arial"/>
        </w:rPr>
        <w:tab/>
        <w:t xml:space="preserve">The council has delegated the appointment and dismissal of the Chief Executive (Head of </w:t>
      </w:r>
      <w:r>
        <w:rPr>
          <w:rFonts w:cs="Arial"/>
        </w:rPr>
        <w:t xml:space="preserve">the </w:t>
      </w:r>
      <w:r w:rsidRPr="00CF75EA">
        <w:rPr>
          <w:rFonts w:cs="Arial"/>
        </w:rPr>
        <w:t>Paid Servi</w:t>
      </w:r>
      <w:r>
        <w:rPr>
          <w:rFonts w:cs="Arial"/>
        </w:rPr>
        <w:t>ce)</w:t>
      </w:r>
      <w:r w:rsidRPr="00CF75EA">
        <w:rPr>
          <w:rFonts w:cs="Arial"/>
        </w:rPr>
        <w:t>, Executive Directors,</w:t>
      </w:r>
      <w:r>
        <w:rPr>
          <w:rFonts w:cs="Arial"/>
        </w:rPr>
        <w:t xml:space="preserve"> </w:t>
      </w:r>
      <w:r w:rsidRPr="00CF75EA">
        <w:rPr>
          <w:rFonts w:cs="Arial"/>
        </w:rPr>
        <w:t>the Monitoring Officer</w:t>
      </w:r>
      <w:r>
        <w:rPr>
          <w:rFonts w:cs="Arial"/>
        </w:rPr>
        <w:t xml:space="preserve"> and the Chief Financial Officer (s.151 Officer)</w:t>
      </w:r>
      <w:r w:rsidRPr="00CF75EA">
        <w:rPr>
          <w:rFonts w:cs="Arial"/>
        </w:rPr>
        <w:t>, collectively referred to as 'senior officers', to the Employment Committee.  The committee is also responsible for the appointment of Directors who hold the statutory responsibilities for Children's Services (the Executive Director of Education and Children's Services), Adult Services (the Executive Director of Adult Services) and Public Health (the Director of Public Health</w:t>
      </w:r>
      <w:r>
        <w:rPr>
          <w:rFonts w:cs="Arial"/>
        </w:rPr>
        <w:t>, Wellbeing and Communities</w:t>
      </w:r>
      <w:r w:rsidRPr="00CF75EA">
        <w:rPr>
          <w:rFonts w:cs="Arial"/>
        </w:rPr>
        <w:t>).</w:t>
      </w:r>
    </w:p>
    <w:p w14:paraId="005759D2" w14:textId="77777777" w:rsidR="0087427C" w:rsidRPr="00CF75EA" w:rsidRDefault="0087427C" w:rsidP="0087427C">
      <w:pPr>
        <w:ind w:left="720" w:hanging="720"/>
        <w:jc w:val="both"/>
        <w:rPr>
          <w:rFonts w:cs="Arial"/>
        </w:rPr>
      </w:pPr>
    </w:p>
    <w:p w14:paraId="321D7F58" w14:textId="77777777" w:rsidR="0087427C" w:rsidRPr="00CF75EA" w:rsidRDefault="004A7A82" w:rsidP="0087427C">
      <w:pPr>
        <w:ind w:left="720" w:hanging="720"/>
        <w:jc w:val="both"/>
        <w:rPr>
          <w:rFonts w:cs="Arial"/>
        </w:rPr>
      </w:pPr>
      <w:r w:rsidRPr="00CF75EA">
        <w:rPr>
          <w:rFonts w:cs="Arial"/>
        </w:rPr>
        <w:t>2.9.2</w:t>
      </w:r>
      <w:r w:rsidRPr="00CF75EA">
        <w:rPr>
          <w:rFonts w:cs="Arial"/>
        </w:rPr>
        <w:tab/>
        <w:t xml:space="preserve">When recruiting to all chief officer posts the council is required to comply with the statutory requirement that no appointment or dismissal (including dismissal by reason of redundancy) may proceed until all Cabinet Members have been notified of the proposed appointment or dismissal to allow them the opportunity to object.  Where the committee is appointing or dismissing the Head of </w:t>
      </w:r>
      <w:r>
        <w:rPr>
          <w:rFonts w:cs="Arial"/>
        </w:rPr>
        <w:t xml:space="preserve">the </w:t>
      </w:r>
      <w:r w:rsidRPr="00CF75EA">
        <w:rPr>
          <w:rFonts w:cs="Arial"/>
        </w:rPr>
        <w:t xml:space="preserve">Paid Service, the Monitoring Officer or the Chief Financial Officer, the Full Council </w:t>
      </w:r>
      <w:r w:rsidRPr="00CF75EA">
        <w:rPr>
          <w:rFonts w:cs="Arial"/>
        </w:rPr>
        <w:lastRenderedPageBreak/>
        <w:t>must also approve the appointment or dismissal before an offer of appointment is made or notice of dismissal is given.</w:t>
      </w:r>
    </w:p>
    <w:p w14:paraId="30AB1356" w14:textId="77777777" w:rsidR="0087427C" w:rsidRPr="00CF75EA" w:rsidRDefault="004A7A82" w:rsidP="0087427C">
      <w:pPr>
        <w:ind w:left="720" w:hanging="720"/>
        <w:jc w:val="both"/>
        <w:rPr>
          <w:rFonts w:cs="Arial"/>
        </w:rPr>
      </w:pPr>
      <w:r w:rsidRPr="00CF75EA">
        <w:rPr>
          <w:rFonts w:cs="Arial"/>
        </w:rPr>
        <w:tab/>
      </w:r>
    </w:p>
    <w:p w14:paraId="2E118D3B" w14:textId="77777777" w:rsidR="0087427C" w:rsidRPr="00CF75EA" w:rsidRDefault="004A7A82" w:rsidP="0087427C">
      <w:pPr>
        <w:ind w:left="720" w:hanging="720"/>
        <w:jc w:val="both"/>
        <w:rPr>
          <w:rFonts w:cs="Arial"/>
        </w:rPr>
      </w:pPr>
      <w:r w:rsidRPr="00CF75EA">
        <w:rPr>
          <w:rFonts w:cs="Arial"/>
        </w:rPr>
        <w:t xml:space="preserve">2.9.3 </w:t>
      </w:r>
      <w:r w:rsidRPr="00CF75EA">
        <w:rPr>
          <w:rFonts w:cs="Arial"/>
        </w:rPr>
        <w:tab/>
        <w:t xml:space="preserve">Remuneration on appointment is determined by the committee at a scale point within the evaluated grade for the post, having regard to the qualifications and experience of the successful candidate.  The committee has further discretion to agree the payment of an additional market supplement, where appropriate.   </w:t>
      </w:r>
    </w:p>
    <w:p w14:paraId="7263D2BE" w14:textId="77777777" w:rsidR="0087427C" w:rsidRPr="00CF75EA" w:rsidRDefault="0087427C" w:rsidP="0087427C">
      <w:pPr>
        <w:jc w:val="both"/>
        <w:rPr>
          <w:rFonts w:cs="Arial"/>
        </w:rPr>
      </w:pPr>
    </w:p>
    <w:p w14:paraId="7A98B9B5" w14:textId="77777777" w:rsidR="0087427C" w:rsidRPr="00CF75EA" w:rsidRDefault="004A7A82" w:rsidP="0087427C">
      <w:pPr>
        <w:ind w:left="720" w:hanging="720"/>
        <w:jc w:val="both"/>
        <w:rPr>
          <w:rFonts w:cs="Arial"/>
        </w:rPr>
      </w:pPr>
      <w:r w:rsidRPr="00CF75EA">
        <w:rPr>
          <w:rFonts w:cs="Arial"/>
        </w:rPr>
        <w:t>2.9.4</w:t>
      </w:r>
      <w:r w:rsidRPr="00CF75EA">
        <w:rPr>
          <w:rFonts w:cs="Arial"/>
        </w:rPr>
        <w:tab/>
        <w:t xml:space="preserve">Relocation allowances paid to chief officers are in accordance with the council's relocation allowances scheme, which applies to permanent employees (and fixed term appointments of two years or more) who are appointed </w:t>
      </w:r>
      <w:proofErr w:type="gramStart"/>
      <w:r w:rsidRPr="00CF75EA">
        <w:rPr>
          <w:rFonts w:cs="Arial"/>
        </w:rPr>
        <w:t>as a result of</w:t>
      </w:r>
      <w:proofErr w:type="gramEnd"/>
      <w:r w:rsidRPr="00CF75EA">
        <w:rPr>
          <w:rFonts w:cs="Arial"/>
        </w:rPr>
        <w:t xml:space="preserve"> external advertisement, and who are obliged to relocate their place of residence as a direct result of taking up their initial appointment with the council.  </w:t>
      </w:r>
    </w:p>
    <w:p w14:paraId="50194A2A" w14:textId="77777777" w:rsidR="0087427C" w:rsidRPr="00CF75EA" w:rsidRDefault="0087427C" w:rsidP="0087427C">
      <w:pPr>
        <w:ind w:left="720" w:hanging="720"/>
        <w:jc w:val="both"/>
        <w:rPr>
          <w:rFonts w:cs="Arial"/>
        </w:rPr>
      </w:pPr>
    </w:p>
    <w:p w14:paraId="753F1F5F" w14:textId="77777777" w:rsidR="0087427C" w:rsidRPr="00CF75EA" w:rsidRDefault="004A7A82" w:rsidP="0087427C">
      <w:pPr>
        <w:ind w:left="720"/>
        <w:jc w:val="both"/>
        <w:rPr>
          <w:rFonts w:cs="Arial"/>
        </w:rPr>
      </w:pPr>
      <w:r w:rsidRPr="00CF75EA">
        <w:rPr>
          <w:rFonts w:cs="Arial"/>
        </w:rPr>
        <w:t>The maximum amount payable under the relocation scheme is £</w:t>
      </w:r>
      <w:r>
        <w:rPr>
          <w:rFonts w:cs="Arial"/>
        </w:rPr>
        <w:t>9,364</w:t>
      </w:r>
      <w:r w:rsidRPr="00CF75EA">
        <w:rPr>
          <w:rFonts w:cs="Arial"/>
        </w:rPr>
        <w:t xml:space="preserve"> net of VAT (as </w:t>
      </w:r>
      <w:proofErr w:type="gramStart"/>
      <w:r w:rsidRPr="00CF75EA">
        <w:rPr>
          <w:rFonts w:cs="Arial"/>
        </w:rPr>
        <w:t>at</w:t>
      </w:r>
      <w:proofErr w:type="gramEnd"/>
      <w:r w:rsidRPr="00CF75EA">
        <w:rPr>
          <w:rFonts w:cs="Arial"/>
        </w:rPr>
        <w:t xml:space="preserve"> 1 April 202</w:t>
      </w:r>
      <w:r>
        <w:rPr>
          <w:rFonts w:cs="Arial"/>
        </w:rPr>
        <w:t>3</w:t>
      </w:r>
      <w:r w:rsidRPr="00CF75EA">
        <w:rPr>
          <w:rFonts w:cs="Arial"/>
        </w:rPr>
        <w:t xml:space="preserve">) plus an additional discretionary element of £2,000 is payable in exceptional circumstances.  The Employment Committee has further discretion to agree to relocation allowances outside the provisions of the relocation scheme where they consider this to be reasonable and appropriate. </w:t>
      </w:r>
    </w:p>
    <w:p w14:paraId="11A371DB" w14:textId="77777777" w:rsidR="0087427C" w:rsidRPr="00CF75EA" w:rsidRDefault="0087427C" w:rsidP="0087427C">
      <w:pPr>
        <w:jc w:val="both"/>
        <w:rPr>
          <w:rFonts w:cs="Arial"/>
        </w:rPr>
      </w:pPr>
    </w:p>
    <w:p w14:paraId="4653993A" w14:textId="77777777" w:rsidR="0087427C" w:rsidRPr="00CF75EA" w:rsidRDefault="004A7A82" w:rsidP="0087427C">
      <w:pPr>
        <w:ind w:left="720" w:hanging="720"/>
        <w:jc w:val="both"/>
        <w:rPr>
          <w:rFonts w:cs="Arial"/>
        </w:rPr>
      </w:pPr>
      <w:r w:rsidRPr="00CF75EA">
        <w:rPr>
          <w:rFonts w:cs="Arial"/>
        </w:rPr>
        <w:t>2.9.5</w:t>
      </w:r>
      <w:r w:rsidRPr="00CF75EA">
        <w:rPr>
          <w:rFonts w:cs="Arial"/>
        </w:rPr>
        <w:tab/>
        <w:t xml:space="preserve">Where the council is unable to recruit chief officers, or there is a need for interim support to provide cover for a substantive chief officer post, the council will, where necessary, consider engaging individuals under a ‘contract for service’.  These will be sourced through an appropriate procurement process ensuring that the council is able to demonstrate the maximum value for money benefits from competition in securing the relevant service.  In making such assessments it should be noted that in respect of such engagements the council is not required to make either pension or national insurance contributions for such individuals.  </w:t>
      </w:r>
      <w:r>
        <w:rPr>
          <w:rFonts w:cs="Arial"/>
        </w:rPr>
        <w:t xml:space="preserve">A Public Health Consultant post is being covered by an interim.  </w:t>
      </w:r>
      <w:r w:rsidRPr="00CF75EA">
        <w:rPr>
          <w:rFonts w:cs="Arial"/>
        </w:rPr>
        <w:t xml:space="preserve">If an interim worker uses an intermediary personal service company the council is responsible for assessing their tax and national insurance liability under the IR35 rules, alongside deducting and paying the correct tax. </w:t>
      </w:r>
    </w:p>
    <w:p w14:paraId="102A2888" w14:textId="77777777" w:rsidR="0087427C" w:rsidRPr="00CF75EA" w:rsidRDefault="0087427C" w:rsidP="0087427C">
      <w:pPr>
        <w:jc w:val="both"/>
        <w:rPr>
          <w:rFonts w:cs="Arial"/>
        </w:rPr>
      </w:pPr>
    </w:p>
    <w:p w14:paraId="3C619072" w14:textId="77777777" w:rsidR="0087427C" w:rsidRPr="00CF75EA" w:rsidRDefault="004A7A82" w:rsidP="0087427C">
      <w:pPr>
        <w:jc w:val="both"/>
        <w:rPr>
          <w:rFonts w:cs="Arial"/>
        </w:rPr>
      </w:pPr>
      <w:r w:rsidRPr="00CF75EA">
        <w:rPr>
          <w:rFonts w:cs="Arial"/>
        </w:rPr>
        <w:t>2.10</w:t>
      </w:r>
      <w:r w:rsidRPr="00CF75EA">
        <w:rPr>
          <w:rFonts w:cs="Arial"/>
        </w:rPr>
        <w:tab/>
      </w:r>
      <w:r w:rsidRPr="00CF75EA">
        <w:rPr>
          <w:rFonts w:cs="Arial"/>
          <w:u w:val="single"/>
        </w:rPr>
        <w:t>Payments on Termination of Employment</w:t>
      </w:r>
    </w:p>
    <w:p w14:paraId="05EF313F" w14:textId="77777777" w:rsidR="0087427C" w:rsidRPr="00CF75EA" w:rsidRDefault="0087427C" w:rsidP="0087427C">
      <w:pPr>
        <w:jc w:val="both"/>
        <w:rPr>
          <w:rFonts w:cs="Arial"/>
        </w:rPr>
      </w:pPr>
    </w:p>
    <w:p w14:paraId="4440EA78" w14:textId="77777777" w:rsidR="0087427C" w:rsidRPr="00CF75EA" w:rsidRDefault="004A7A82" w:rsidP="0087427C">
      <w:pPr>
        <w:ind w:left="720" w:hanging="720"/>
        <w:jc w:val="both"/>
        <w:rPr>
          <w:rFonts w:cs="Arial"/>
        </w:rPr>
      </w:pPr>
      <w:r w:rsidRPr="00CF75EA">
        <w:rPr>
          <w:rFonts w:cs="Arial"/>
        </w:rPr>
        <w:t>2.10.1</w:t>
      </w:r>
      <w:r w:rsidRPr="00CF75EA">
        <w:rPr>
          <w:rFonts w:cs="Arial"/>
        </w:rPr>
        <w:tab/>
        <w:t xml:space="preserve">The council's policies in relation to redundancy payments and early retirement are set out respectively within its Employer Discretions Policy, Redundancy Payments Scheme, Early Retirement and Business Efficiency (Early Retirement) Policies.  These policies are subject to review </w:t>
      </w:r>
      <w:proofErr w:type="gramStart"/>
      <w:r w:rsidRPr="00CF75EA">
        <w:rPr>
          <w:rFonts w:cs="Arial"/>
        </w:rPr>
        <w:t>in light of</w:t>
      </w:r>
      <w:proofErr w:type="gramEnd"/>
      <w:r w:rsidRPr="00CF75EA">
        <w:rPr>
          <w:rFonts w:cs="Arial"/>
        </w:rPr>
        <w:t xml:space="preserve"> possible future reforms to exit payments.  The council's policy in relation to payments on termination is as summarised below:</w:t>
      </w:r>
    </w:p>
    <w:p w14:paraId="096FDA5C" w14:textId="77777777" w:rsidR="0087427C" w:rsidRPr="00CF75EA" w:rsidRDefault="0087427C" w:rsidP="0087427C">
      <w:pPr>
        <w:jc w:val="both"/>
        <w:rPr>
          <w:rFonts w:cs="Arial"/>
        </w:rPr>
      </w:pPr>
    </w:p>
    <w:p w14:paraId="2318A9F4" w14:textId="77777777" w:rsidR="0087427C" w:rsidRPr="00CF75EA" w:rsidRDefault="004A7A82" w:rsidP="0087427C">
      <w:pPr>
        <w:ind w:left="720"/>
        <w:jc w:val="both"/>
        <w:rPr>
          <w:rFonts w:cs="Arial"/>
        </w:rPr>
      </w:pPr>
      <w:r w:rsidRPr="00CF75EA">
        <w:rPr>
          <w:rFonts w:cs="Arial"/>
        </w:rPr>
        <w:t>Redundancy payments, for both voluntary and compulsory redundancy, are based upon the statutory redundancy payments scale.</w:t>
      </w:r>
      <w:r>
        <w:rPr>
          <w:rFonts w:cs="Arial"/>
        </w:rPr>
        <w:t xml:space="preserve"> </w:t>
      </w:r>
      <w:r w:rsidRPr="00CF75EA">
        <w:rPr>
          <w:rFonts w:cs="Arial"/>
        </w:rPr>
        <w:t xml:space="preserve"> Under the Local Government (Early Termination of Employment) (Discretionary Compensation) (England and Wales) Regulations 2006, the council does not apply its discretion under Regulation 5 to base any redundancy payments on an employee's actual week's pay where this exceeds the statutory week's pay limit, nor does it apply its discretion under Regulation 6 to award lump sum compensation over and above that which is set out under the statutory redundancy payments scale.  A </w:t>
      </w:r>
      <w:r w:rsidRPr="00CF75EA">
        <w:rPr>
          <w:rFonts w:cs="Arial"/>
        </w:rPr>
        <w:lastRenderedPageBreak/>
        <w:t xml:space="preserve">week's pay does not include other payments (unless these are deemed to be contractual) nor does it include employer pension contributions. </w:t>
      </w:r>
    </w:p>
    <w:p w14:paraId="043CC7C4" w14:textId="77777777" w:rsidR="0087427C" w:rsidRPr="00CF75EA" w:rsidRDefault="0087427C" w:rsidP="0087427C">
      <w:pPr>
        <w:jc w:val="both"/>
        <w:rPr>
          <w:rFonts w:cs="Arial"/>
        </w:rPr>
      </w:pPr>
    </w:p>
    <w:p w14:paraId="2AC860AD" w14:textId="77777777" w:rsidR="0087427C" w:rsidRPr="00CF75EA" w:rsidRDefault="004A7A82" w:rsidP="0087427C">
      <w:pPr>
        <w:ind w:left="720"/>
        <w:jc w:val="both"/>
        <w:rPr>
          <w:rFonts w:cs="Arial"/>
        </w:rPr>
      </w:pPr>
      <w:r w:rsidRPr="00CF75EA">
        <w:rPr>
          <w:rFonts w:cs="Arial"/>
        </w:rPr>
        <w:t>Under Regulation 31 of the Local Government Pension Scheme Regulations 2013, the council may award additional pension of not more than £7,</w:t>
      </w:r>
      <w:r>
        <w:rPr>
          <w:rFonts w:cs="Arial"/>
        </w:rPr>
        <w:t>579</w:t>
      </w:r>
      <w:r w:rsidRPr="00CF75EA">
        <w:rPr>
          <w:rFonts w:cs="Arial"/>
        </w:rPr>
        <w:t xml:space="preserve"> a year (as </w:t>
      </w:r>
      <w:proofErr w:type="gramStart"/>
      <w:r w:rsidRPr="00CF75EA">
        <w:rPr>
          <w:rFonts w:cs="Arial"/>
        </w:rPr>
        <w:t>at</w:t>
      </w:r>
      <w:proofErr w:type="gramEnd"/>
      <w:r w:rsidRPr="00CF75EA">
        <w:rPr>
          <w:rFonts w:cs="Arial"/>
        </w:rPr>
        <w:t xml:space="preserve"> 1 April 202</w:t>
      </w:r>
      <w:r>
        <w:rPr>
          <w:rFonts w:cs="Arial"/>
        </w:rPr>
        <w:t>3</w:t>
      </w:r>
      <w:r w:rsidRPr="00CF75EA">
        <w:rPr>
          <w:rFonts w:cs="Arial"/>
        </w:rPr>
        <w:t>) in exceptional and justifiable circumstances.</w:t>
      </w:r>
    </w:p>
    <w:p w14:paraId="6431A8B5" w14:textId="77777777" w:rsidR="0087427C" w:rsidRPr="00CF75EA" w:rsidRDefault="0087427C" w:rsidP="0087427C">
      <w:pPr>
        <w:jc w:val="both"/>
        <w:rPr>
          <w:rFonts w:cs="Arial"/>
        </w:rPr>
      </w:pPr>
    </w:p>
    <w:p w14:paraId="60221C1E" w14:textId="77777777" w:rsidR="0087427C" w:rsidRPr="00CF75EA" w:rsidRDefault="004A7A82" w:rsidP="0087427C">
      <w:pPr>
        <w:ind w:left="720" w:hanging="720"/>
        <w:jc w:val="both"/>
        <w:rPr>
          <w:rFonts w:cs="Arial"/>
        </w:rPr>
      </w:pPr>
      <w:r w:rsidRPr="00CF75EA">
        <w:rPr>
          <w:rFonts w:cs="Arial"/>
        </w:rPr>
        <w:t>2.10.2</w:t>
      </w:r>
      <w:r w:rsidRPr="00CF75EA">
        <w:rPr>
          <w:rFonts w:cs="Arial"/>
        </w:rPr>
        <w:tab/>
        <w:t xml:space="preserve">The council does not operate a policy of making any specific or general payment to its chief officers on their ceasing to hold office or to be employed by the </w:t>
      </w:r>
      <w:proofErr w:type="gramStart"/>
      <w:r w:rsidRPr="00CF75EA">
        <w:rPr>
          <w:rFonts w:cs="Arial"/>
        </w:rPr>
        <w:t>council</w:t>
      </w:r>
      <w:proofErr w:type="gramEnd"/>
      <w:r w:rsidRPr="00CF75EA">
        <w:rPr>
          <w:rFonts w:cs="Arial"/>
        </w:rPr>
        <w:t xml:space="preserve"> but it may, where appropriate, agree to waive or pay contractual notice.   </w:t>
      </w:r>
    </w:p>
    <w:p w14:paraId="179D881D" w14:textId="77777777" w:rsidR="0087427C" w:rsidRPr="00CF75EA" w:rsidRDefault="0087427C" w:rsidP="0087427C">
      <w:pPr>
        <w:jc w:val="both"/>
        <w:rPr>
          <w:rFonts w:cs="Arial"/>
        </w:rPr>
      </w:pPr>
    </w:p>
    <w:p w14:paraId="117B7284" w14:textId="77777777" w:rsidR="0087427C" w:rsidRPr="00CF75EA" w:rsidRDefault="004A7A82" w:rsidP="0087427C">
      <w:pPr>
        <w:ind w:left="720" w:hanging="720"/>
        <w:jc w:val="both"/>
        <w:rPr>
          <w:rFonts w:cs="Arial"/>
        </w:rPr>
      </w:pPr>
      <w:r w:rsidRPr="00CF75EA">
        <w:rPr>
          <w:rFonts w:cs="Arial"/>
        </w:rPr>
        <w:t>2.10.3</w:t>
      </w:r>
      <w:r w:rsidRPr="00CF75EA">
        <w:rPr>
          <w:rFonts w:cs="Arial"/>
        </w:rPr>
        <w:tab/>
        <w:t>Any other forms of severance payment falling outside these provisions must be authorised by or on behalf of the Full Council.</w:t>
      </w:r>
    </w:p>
    <w:p w14:paraId="47E4EB59" w14:textId="77777777" w:rsidR="0087427C" w:rsidRPr="00CF75EA" w:rsidRDefault="0087427C" w:rsidP="0087427C">
      <w:pPr>
        <w:jc w:val="both"/>
        <w:rPr>
          <w:rFonts w:cs="Arial"/>
        </w:rPr>
      </w:pPr>
    </w:p>
    <w:p w14:paraId="3425946B" w14:textId="77777777" w:rsidR="0087427C" w:rsidRPr="00CF75EA" w:rsidRDefault="004A7A82" w:rsidP="0087427C">
      <w:pPr>
        <w:jc w:val="both"/>
        <w:rPr>
          <w:rFonts w:cs="Arial"/>
        </w:rPr>
      </w:pPr>
      <w:r w:rsidRPr="00CF75EA">
        <w:rPr>
          <w:rFonts w:cs="Arial"/>
        </w:rPr>
        <w:t>2.11</w:t>
      </w:r>
      <w:r w:rsidRPr="00CF75EA">
        <w:rPr>
          <w:rFonts w:cs="Arial"/>
        </w:rPr>
        <w:tab/>
      </w:r>
      <w:r w:rsidRPr="00CF75EA">
        <w:rPr>
          <w:rFonts w:cs="Arial"/>
          <w:u w:val="single"/>
        </w:rPr>
        <w:t>Tax Avoidance Measures</w:t>
      </w:r>
    </w:p>
    <w:p w14:paraId="20BB939B" w14:textId="77777777" w:rsidR="0087427C" w:rsidRPr="00CF75EA" w:rsidRDefault="0087427C" w:rsidP="0087427C">
      <w:pPr>
        <w:jc w:val="both"/>
        <w:rPr>
          <w:rFonts w:cs="Arial"/>
        </w:rPr>
      </w:pPr>
    </w:p>
    <w:p w14:paraId="571A66C4" w14:textId="77777777" w:rsidR="0087427C" w:rsidRPr="00CF75EA" w:rsidRDefault="004A7A82" w:rsidP="0087427C">
      <w:pPr>
        <w:ind w:left="720"/>
        <w:jc w:val="both"/>
        <w:rPr>
          <w:rFonts w:cs="Arial"/>
        </w:rPr>
      </w:pPr>
      <w:r w:rsidRPr="00CF75EA">
        <w:rPr>
          <w:rFonts w:cs="Arial"/>
        </w:rPr>
        <w:t>All chief officers are remunerated via monthly salary payments.  Appropriate tax and national insurance deductions are made in accordance with HMRC regulations and there are no arrangements in place for the purpose of minimising tax payments.</w:t>
      </w:r>
    </w:p>
    <w:p w14:paraId="2AE555A8" w14:textId="77777777" w:rsidR="0087427C" w:rsidRPr="00CF75EA" w:rsidRDefault="0087427C" w:rsidP="0087427C">
      <w:pPr>
        <w:jc w:val="both"/>
        <w:rPr>
          <w:rFonts w:cs="Arial"/>
        </w:rPr>
      </w:pPr>
    </w:p>
    <w:p w14:paraId="3B13C973" w14:textId="77777777" w:rsidR="0087427C" w:rsidRPr="00CF75EA" w:rsidRDefault="004A7A82" w:rsidP="0087427C">
      <w:pPr>
        <w:jc w:val="both"/>
        <w:rPr>
          <w:rFonts w:cs="Arial"/>
          <w:b/>
        </w:rPr>
      </w:pPr>
      <w:r w:rsidRPr="00CF75EA">
        <w:rPr>
          <w:rFonts w:cs="Arial"/>
          <w:b/>
        </w:rPr>
        <w:t>3.</w:t>
      </w:r>
      <w:r w:rsidRPr="00CF75EA">
        <w:rPr>
          <w:rFonts w:cs="Arial"/>
          <w:b/>
        </w:rPr>
        <w:tab/>
        <w:t>Lowest Paid Employees</w:t>
      </w:r>
    </w:p>
    <w:p w14:paraId="01241C32" w14:textId="77777777" w:rsidR="0087427C" w:rsidRPr="00CF75EA" w:rsidRDefault="0087427C" w:rsidP="0087427C">
      <w:pPr>
        <w:jc w:val="both"/>
        <w:rPr>
          <w:rFonts w:cs="Arial"/>
        </w:rPr>
      </w:pPr>
    </w:p>
    <w:p w14:paraId="615A4E5A" w14:textId="77777777" w:rsidR="0087427C" w:rsidRPr="00CF75EA" w:rsidRDefault="004A7A82" w:rsidP="0087427C">
      <w:pPr>
        <w:ind w:left="720" w:hanging="720"/>
        <w:jc w:val="both"/>
        <w:rPr>
          <w:rFonts w:cs="Arial"/>
        </w:rPr>
      </w:pPr>
      <w:r w:rsidRPr="00CF75EA">
        <w:rPr>
          <w:rFonts w:cs="Arial"/>
        </w:rPr>
        <w:t>3.1</w:t>
      </w:r>
      <w:r w:rsidRPr="00CF75EA">
        <w:rPr>
          <w:rFonts w:cs="Arial"/>
        </w:rPr>
        <w:tab/>
        <w:t>The lowest paid persons employed under a contract of employment with the council are employed on full time equivalent (37 hours) salaries in accordance with the minimum spinal column point currently in use within the council’s grading structure (the Lancashire Pay Spine).</w:t>
      </w:r>
    </w:p>
    <w:p w14:paraId="607CC8A2" w14:textId="77777777" w:rsidR="0087427C" w:rsidRPr="00CF75EA" w:rsidRDefault="0087427C" w:rsidP="0087427C">
      <w:pPr>
        <w:ind w:left="720" w:hanging="720"/>
        <w:jc w:val="both"/>
        <w:rPr>
          <w:rFonts w:cs="Arial"/>
        </w:rPr>
      </w:pPr>
    </w:p>
    <w:p w14:paraId="2E29D069" w14:textId="77777777" w:rsidR="0087427C" w:rsidRPr="00CF75EA" w:rsidRDefault="004A7A82" w:rsidP="0087427C">
      <w:pPr>
        <w:ind w:left="720" w:hanging="720"/>
        <w:jc w:val="both"/>
        <w:rPr>
          <w:rFonts w:cs="Arial"/>
        </w:rPr>
      </w:pPr>
      <w:r w:rsidRPr="00CF75EA">
        <w:rPr>
          <w:rFonts w:cs="Arial"/>
        </w:rPr>
        <w:t>3.2</w:t>
      </w:r>
      <w:r w:rsidRPr="00CF75EA">
        <w:rPr>
          <w:rFonts w:cs="Arial"/>
        </w:rPr>
        <w:tab/>
      </w:r>
      <w:r w:rsidRPr="00A22F42">
        <w:rPr>
          <w:rFonts w:cs="Arial"/>
        </w:rPr>
        <w:t>With effect from 1 April 2014 the council became a Foundation Living Wage employer.  From 1 April 202</w:t>
      </w:r>
      <w:r>
        <w:rPr>
          <w:rFonts w:cs="Arial"/>
        </w:rPr>
        <w:t>4</w:t>
      </w:r>
      <w:r w:rsidRPr="00A22F42">
        <w:rPr>
          <w:rFonts w:cs="Arial"/>
        </w:rPr>
        <w:t xml:space="preserve"> all employees, </w:t>
      </w:r>
      <w:proofErr w:type="gramStart"/>
      <w:r w:rsidRPr="00A22F42">
        <w:rPr>
          <w:rFonts w:cs="Arial"/>
        </w:rPr>
        <w:t>with the exception of</w:t>
      </w:r>
      <w:proofErr w:type="gramEnd"/>
      <w:r w:rsidRPr="00A22F42">
        <w:rPr>
          <w:rFonts w:cs="Arial"/>
        </w:rPr>
        <w:t xml:space="preserve"> apprentices, will be paid a minimum of £1</w:t>
      </w:r>
      <w:r>
        <w:rPr>
          <w:rFonts w:cs="Arial"/>
        </w:rPr>
        <w:t>2.00</w:t>
      </w:r>
      <w:r w:rsidRPr="00A22F42">
        <w:rPr>
          <w:rFonts w:cs="Arial"/>
        </w:rPr>
        <w:t xml:space="preserve"> per hour, which is the equivalent of £2</w:t>
      </w:r>
      <w:r>
        <w:rPr>
          <w:rFonts w:cs="Arial"/>
        </w:rPr>
        <w:t>3,152</w:t>
      </w:r>
      <w:r w:rsidRPr="00A22F42">
        <w:rPr>
          <w:rFonts w:cs="Arial"/>
        </w:rPr>
        <w:t xml:space="preserve"> per annum.  (This excludes staff in schools, as the decision as to whether to adopt the Foundation Living Wage sits with the individual Governing Body of each school).  The council has committed to adjusting its Foundation Living Wage </w:t>
      </w:r>
      <w:r>
        <w:rPr>
          <w:rFonts w:cs="Arial"/>
        </w:rPr>
        <w:t>rate</w:t>
      </w:r>
      <w:r w:rsidRPr="00A22F42">
        <w:rPr>
          <w:rFonts w:cs="Arial"/>
        </w:rPr>
        <w:t xml:space="preserve"> within six months of the national rate being updated, subject to Full Council approval.</w:t>
      </w:r>
      <w:r>
        <w:rPr>
          <w:rFonts w:cs="Arial"/>
        </w:rPr>
        <w:t xml:space="preserve">  </w:t>
      </w:r>
    </w:p>
    <w:p w14:paraId="152D12A8" w14:textId="77777777" w:rsidR="0087427C" w:rsidRPr="00CF75EA" w:rsidRDefault="0087427C" w:rsidP="0087427C">
      <w:pPr>
        <w:jc w:val="both"/>
        <w:rPr>
          <w:rFonts w:cs="Arial"/>
        </w:rPr>
      </w:pPr>
    </w:p>
    <w:p w14:paraId="7D316795" w14:textId="77777777" w:rsidR="0087427C" w:rsidRPr="00CF75EA" w:rsidRDefault="004A7A82" w:rsidP="0087427C">
      <w:pPr>
        <w:ind w:left="720" w:hanging="720"/>
        <w:jc w:val="both"/>
        <w:rPr>
          <w:rFonts w:cs="Arial"/>
        </w:rPr>
      </w:pPr>
      <w:r w:rsidRPr="00CF75EA">
        <w:rPr>
          <w:rFonts w:cs="Arial"/>
        </w:rPr>
        <w:t>3.3</w:t>
      </w:r>
      <w:r w:rsidRPr="00CF75EA">
        <w:rPr>
          <w:rFonts w:cs="Arial"/>
        </w:rPr>
        <w:tab/>
      </w:r>
      <w:r w:rsidRPr="00DC67E8">
        <w:rPr>
          <w:rFonts w:cs="Arial"/>
        </w:rPr>
        <w:t xml:space="preserve">As </w:t>
      </w:r>
      <w:proofErr w:type="gramStart"/>
      <w:r w:rsidRPr="00DC67E8">
        <w:rPr>
          <w:rFonts w:cs="Arial"/>
        </w:rPr>
        <w:t>at</w:t>
      </w:r>
      <w:proofErr w:type="gramEnd"/>
      <w:r w:rsidRPr="00DC67E8">
        <w:rPr>
          <w:rFonts w:cs="Arial"/>
        </w:rPr>
        <w:t xml:space="preserve"> 1 April 2024, the lowest </w:t>
      </w:r>
      <w:r>
        <w:rPr>
          <w:rFonts w:cs="Arial"/>
        </w:rPr>
        <w:t>pay</w:t>
      </w:r>
      <w:r w:rsidRPr="00DC67E8">
        <w:rPr>
          <w:rFonts w:cs="Arial"/>
        </w:rPr>
        <w:t xml:space="preserve"> level is an apprentice </w:t>
      </w:r>
      <w:r>
        <w:rPr>
          <w:rFonts w:cs="Arial"/>
        </w:rPr>
        <w:t xml:space="preserve">rate </w:t>
      </w:r>
      <w:r w:rsidRPr="00DC67E8">
        <w:rPr>
          <w:rFonts w:cs="Arial"/>
        </w:rPr>
        <w:t>of £22,</w:t>
      </w:r>
      <w:r>
        <w:rPr>
          <w:rFonts w:cs="Arial"/>
        </w:rPr>
        <w:t>366</w:t>
      </w:r>
      <w:r w:rsidRPr="00DC67E8">
        <w:rPr>
          <w:rFonts w:cs="Arial"/>
        </w:rPr>
        <w:t xml:space="preserve"> per annum.  This applies to </w:t>
      </w:r>
      <w:r>
        <w:rPr>
          <w:rFonts w:cs="Arial"/>
        </w:rPr>
        <w:t xml:space="preserve">entry level </w:t>
      </w:r>
      <w:r w:rsidRPr="00DC67E8">
        <w:rPr>
          <w:rFonts w:cs="Arial"/>
        </w:rPr>
        <w:t xml:space="preserve">apprentice posts and </w:t>
      </w:r>
      <w:r>
        <w:rPr>
          <w:rFonts w:cs="Arial"/>
        </w:rPr>
        <w:t xml:space="preserve">is currently </w:t>
      </w:r>
      <w:r w:rsidRPr="00DC67E8">
        <w:rPr>
          <w:rFonts w:cs="Arial"/>
        </w:rPr>
        <w:t>align</w:t>
      </w:r>
      <w:r>
        <w:rPr>
          <w:rFonts w:cs="Arial"/>
        </w:rPr>
        <w:t>ed</w:t>
      </w:r>
      <w:r w:rsidRPr="00DC67E8">
        <w:rPr>
          <w:rFonts w:cs="Arial"/>
        </w:rPr>
        <w:t xml:space="preserve"> to </w:t>
      </w:r>
      <w:r>
        <w:rPr>
          <w:rFonts w:cs="Arial"/>
        </w:rPr>
        <w:t xml:space="preserve">Spinal Column Point 2 on </w:t>
      </w:r>
      <w:r w:rsidRPr="00DC67E8">
        <w:rPr>
          <w:rFonts w:cs="Arial"/>
        </w:rPr>
        <w:t>the Nat</w:t>
      </w:r>
      <w:r>
        <w:rPr>
          <w:rFonts w:cs="Arial"/>
        </w:rPr>
        <w:t>ional Joint Council for Local Government Services' National Pay Spine, pending an alternative pay rate</w:t>
      </w:r>
      <w:r w:rsidRPr="00DC67E8">
        <w:rPr>
          <w:rFonts w:cs="Arial"/>
        </w:rPr>
        <w:t>.</w:t>
      </w:r>
      <w:r w:rsidRPr="00CF75EA">
        <w:rPr>
          <w:rFonts w:cs="Arial"/>
        </w:rPr>
        <w:t xml:space="preserve"> </w:t>
      </w:r>
      <w:r>
        <w:rPr>
          <w:rFonts w:cs="Arial"/>
        </w:rPr>
        <w:t xml:space="preserve"> The council's apprentice rate will be increased in line with the upper limit of the National Living Wage from 1 April 2024 onwards but as this rate is currently higher than the new government rate, effective from 1 April, this will be "red circled" for this year and increased in line with the National Living Wage from April 2025 onwards.</w:t>
      </w:r>
      <w:r w:rsidRPr="00CF75EA">
        <w:rPr>
          <w:rFonts w:cs="Arial"/>
        </w:rPr>
        <w:t xml:space="preserve"> </w:t>
      </w:r>
    </w:p>
    <w:p w14:paraId="6B5FB3F1" w14:textId="77777777" w:rsidR="0087427C" w:rsidRPr="00CF75EA" w:rsidRDefault="0087427C" w:rsidP="0087427C">
      <w:pPr>
        <w:jc w:val="both"/>
        <w:rPr>
          <w:rFonts w:cs="Arial"/>
        </w:rPr>
      </w:pPr>
    </w:p>
    <w:p w14:paraId="51870548" w14:textId="77777777" w:rsidR="0087427C" w:rsidRPr="00CF75EA" w:rsidRDefault="004A7A82" w:rsidP="0087427C">
      <w:pPr>
        <w:ind w:left="720" w:hanging="720"/>
        <w:jc w:val="both"/>
        <w:rPr>
          <w:rFonts w:cs="Arial"/>
        </w:rPr>
      </w:pPr>
      <w:r w:rsidRPr="00CF75EA">
        <w:rPr>
          <w:rFonts w:cs="Arial"/>
          <w:b/>
        </w:rPr>
        <w:t>4.</w:t>
      </w:r>
      <w:r w:rsidRPr="00CF75EA">
        <w:rPr>
          <w:rFonts w:cs="Arial"/>
          <w:b/>
        </w:rPr>
        <w:tab/>
        <w:t>The relationship between the remuneration of Chief Officers and those employees who are not Chief Officers</w:t>
      </w:r>
    </w:p>
    <w:p w14:paraId="43E2882D" w14:textId="77777777" w:rsidR="0087427C" w:rsidRPr="00CF75EA" w:rsidRDefault="004A7A82" w:rsidP="0087427C">
      <w:pPr>
        <w:ind w:left="720" w:hanging="720"/>
        <w:jc w:val="both"/>
        <w:rPr>
          <w:rFonts w:cs="Arial"/>
        </w:rPr>
      </w:pPr>
      <w:r w:rsidRPr="00CF75EA">
        <w:rPr>
          <w:rFonts w:cs="Arial"/>
        </w:rPr>
        <w:t>4.1</w:t>
      </w:r>
      <w:r w:rsidRPr="00CF75EA">
        <w:rPr>
          <w:rFonts w:cs="Arial"/>
        </w:rPr>
        <w:tab/>
        <w:t xml:space="preserve">The relationship between the rate of pay for the lowest paid and chief officers is determined by the job evaluation process used for establishing the grading of </w:t>
      </w:r>
      <w:r w:rsidRPr="00CF75EA">
        <w:rPr>
          <w:rFonts w:cs="Arial"/>
        </w:rPr>
        <w:lastRenderedPageBreak/>
        <w:t xml:space="preserve">posts and grade profiles/job descriptions as set out earlier in this policy statement.  </w:t>
      </w:r>
    </w:p>
    <w:p w14:paraId="648F0B33" w14:textId="77777777" w:rsidR="0087427C" w:rsidRPr="00CF75EA" w:rsidRDefault="0087427C" w:rsidP="0087427C">
      <w:pPr>
        <w:jc w:val="both"/>
        <w:rPr>
          <w:rFonts w:cs="Arial"/>
        </w:rPr>
      </w:pPr>
    </w:p>
    <w:p w14:paraId="5EAD9019" w14:textId="77777777" w:rsidR="0087427C" w:rsidRPr="00CF75EA" w:rsidRDefault="004A7A82" w:rsidP="0087427C">
      <w:pPr>
        <w:ind w:left="720" w:hanging="720"/>
        <w:jc w:val="both"/>
        <w:rPr>
          <w:rFonts w:cs="Arial"/>
        </w:rPr>
      </w:pPr>
      <w:r w:rsidRPr="00CF75EA">
        <w:rPr>
          <w:rFonts w:cs="Arial"/>
        </w:rPr>
        <w:t>4.2</w:t>
      </w:r>
      <w:r w:rsidRPr="00CF75EA">
        <w:rPr>
          <w:rFonts w:cs="Arial"/>
        </w:rPr>
        <w:tab/>
        <w:t xml:space="preserve">Local authorities are recommended to publish the pay multiple between the highest paid employee and the median average earnings across the organisation.  The current pay levels within the council define the multiple between the average full time equivalent salary (excluding chief officer posts) and the Chief Executive as being: </w:t>
      </w:r>
    </w:p>
    <w:p w14:paraId="437DF07D" w14:textId="77777777" w:rsidR="0087427C" w:rsidRPr="00CF75EA" w:rsidRDefault="0087427C" w:rsidP="0087427C">
      <w:pPr>
        <w:ind w:left="720"/>
        <w:jc w:val="both"/>
        <w:rPr>
          <w:rFonts w:cs="Arial"/>
        </w:rPr>
      </w:pPr>
    </w:p>
    <w:p w14:paraId="517FCA58" w14:textId="77777777" w:rsidR="0087427C" w:rsidRPr="00CF75EA" w:rsidRDefault="004A7A82" w:rsidP="0087427C">
      <w:pPr>
        <w:ind w:left="720"/>
        <w:jc w:val="both"/>
        <w:rPr>
          <w:rFonts w:cs="Arial"/>
        </w:rPr>
      </w:pPr>
      <w:r w:rsidRPr="006A290A">
        <w:rPr>
          <w:rFonts w:cs="Arial"/>
        </w:rPr>
        <w:t>Median average 1:9.26 (figures based upon 2023 median average FTE salary of £25,545 and Chief Executive salary of £231,180 plus the £5,300 lease car cash equivalent sum).</w:t>
      </w:r>
    </w:p>
    <w:p w14:paraId="2E827121" w14:textId="77777777" w:rsidR="0087427C" w:rsidRPr="00CF75EA" w:rsidRDefault="0087427C" w:rsidP="0087427C">
      <w:pPr>
        <w:jc w:val="both"/>
        <w:rPr>
          <w:rFonts w:cs="Arial"/>
        </w:rPr>
      </w:pPr>
    </w:p>
    <w:p w14:paraId="5D3ACCB0" w14:textId="77777777" w:rsidR="0087427C" w:rsidRPr="00CF75EA" w:rsidRDefault="004A7A82" w:rsidP="0087427C">
      <w:pPr>
        <w:ind w:left="720" w:hanging="720"/>
        <w:jc w:val="both"/>
        <w:rPr>
          <w:rFonts w:cs="Arial"/>
        </w:rPr>
      </w:pPr>
      <w:r w:rsidRPr="00CF75EA">
        <w:rPr>
          <w:rFonts w:cs="Arial"/>
        </w:rPr>
        <w:t>4.3</w:t>
      </w:r>
      <w:r w:rsidRPr="00CF75EA">
        <w:rPr>
          <w:rFonts w:cs="Arial"/>
        </w:rPr>
        <w:tab/>
        <w:t xml:space="preserve">As part of its overall and ongoing monitoring of alignment with external pay markets, both within and outside the sector, the council will use available benchmark information as appropriate.  </w:t>
      </w:r>
    </w:p>
    <w:p w14:paraId="33CB63A4" w14:textId="77777777" w:rsidR="0087427C" w:rsidRPr="00CF75EA" w:rsidRDefault="0087427C" w:rsidP="0087427C">
      <w:pPr>
        <w:ind w:left="720" w:hanging="720"/>
        <w:jc w:val="both"/>
        <w:rPr>
          <w:rFonts w:cs="Arial"/>
        </w:rPr>
      </w:pPr>
    </w:p>
    <w:p w14:paraId="1CBA4D0B" w14:textId="77777777" w:rsidR="0087427C" w:rsidRPr="00CF75EA" w:rsidRDefault="004A7A82" w:rsidP="0087427C">
      <w:pPr>
        <w:ind w:left="720"/>
        <w:jc w:val="both"/>
        <w:rPr>
          <w:rFonts w:cs="Arial"/>
        </w:rPr>
      </w:pPr>
      <w:r w:rsidRPr="00CF75EA">
        <w:rPr>
          <w:rFonts w:cs="Arial"/>
        </w:rPr>
        <w:t xml:space="preserve">In addition, upon the annual review of this statement, the council will also monitor any changes in the relevant ‘pay </w:t>
      </w:r>
      <w:proofErr w:type="gramStart"/>
      <w:r w:rsidRPr="00CF75EA">
        <w:rPr>
          <w:rFonts w:cs="Arial"/>
        </w:rPr>
        <w:t>multiples’</w:t>
      </w:r>
      <w:proofErr w:type="gramEnd"/>
      <w:r w:rsidRPr="00CF75EA">
        <w:rPr>
          <w:rFonts w:cs="Arial"/>
        </w:rPr>
        <w:t xml:space="preserve"> and benchmark against other comparable local authorities.  </w:t>
      </w:r>
    </w:p>
    <w:p w14:paraId="322A56E5" w14:textId="77777777" w:rsidR="0087427C" w:rsidRPr="00CF75EA" w:rsidRDefault="0087427C" w:rsidP="0087427C">
      <w:pPr>
        <w:ind w:left="720"/>
        <w:jc w:val="both"/>
        <w:rPr>
          <w:rFonts w:cs="Arial"/>
        </w:rPr>
      </w:pPr>
    </w:p>
    <w:p w14:paraId="1D545600" w14:textId="77777777" w:rsidR="0087427C" w:rsidRPr="00CF75EA" w:rsidRDefault="004A7A82" w:rsidP="0087427C">
      <w:pPr>
        <w:ind w:left="720"/>
        <w:jc w:val="both"/>
        <w:rPr>
          <w:rFonts w:cs="Arial"/>
        </w:rPr>
      </w:pPr>
      <w:r w:rsidRPr="00CF75EA">
        <w:rPr>
          <w:rFonts w:cs="Arial"/>
        </w:rPr>
        <w:t>The council’s policy aim is for the multiple between the median salary and that of the highest paid officer to not exceed 1:16 (currently 1:</w:t>
      </w:r>
      <w:r>
        <w:rPr>
          <w:rFonts w:cs="Arial"/>
        </w:rPr>
        <w:t>9.26</w:t>
      </w:r>
      <w:r w:rsidRPr="00CF75EA">
        <w:rPr>
          <w:rFonts w:cs="Arial"/>
        </w:rPr>
        <w:t xml:space="preserve"> based on 202</w:t>
      </w:r>
      <w:r>
        <w:rPr>
          <w:rFonts w:cs="Arial"/>
        </w:rPr>
        <w:t>3</w:t>
      </w:r>
      <w:r w:rsidRPr="00CF75EA">
        <w:rPr>
          <w:rFonts w:cs="Arial"/>
        </w:rPr>
        <w:t xml:space="preserve"> salary data).  </w:t>
      </w:r>
    </w:p>
    <w:p w14:paraId="47740A6D" w14:textId="77777777" w:rsidR="0087427C" w:rsidRPr="00CF75EA" w:rsidRDefault="0087427C" w:rsidP="0087427C">
      <w:pPr>
        <w:jc w:val="both"/>
        <w:rPr>
          <w:rFonts w:cs="Arial"/>
        </w:rPr>
      </w:pPr>
    </w:p>
    <w:p w14:paraId="49C0DBED" w14:textId="77777777" w:rsidR="0087427C" w:rsidRPr="00CF75EA" w:rsidRDefault="004A7A82" w:rsidP="0087427C">
      <w:pPr>
        <w:jc w:val="both"/>
        <w:rPr>
          <w:rFonts w:cs="Arial"/>
          <w:b/>
        </w:rPr>
      </w:pPr>
      <w:r w:rsidRPr="00CF75EA">
        <w:rPr>
          <w:rFonts w:cs="Arial"/>
          <w:b/>
        </w:rPr>
        <w:t>5.</w:t>
      </w:r>
      <w:r w:rsidRPr="00CF75EA">
        <w:rPr>
          <w:rFonts w:cs="Arial"/>
          <w:b/>
        </w:rPr>
        <w:tab/>
        <w:t>Accountability and Decision Making</w:t>
      </w:r>
    </w:p>
    <w:p w14:paraId="06C1F542" w14:textId="77777777" w:rsidR="0087427C" w:rsidRPr="00CF75EA" w:rsidRDefault="0087427C" w:rsidP="0087427C">
      <w:pPr>
        <w:jc w:val="both"/>
        <w:rPr>
          <w:rFonts w:cs="Arial"/>
          <w:b/>
        </w:rPr>
      </w:pPr>
    </w:p>
    <w:p w14:paraId="59EA9681" w14:textId="77777777" w:rsidR="0087427C" w:rsidRPr="00CF75EA" w:rsidRDefault="004A7A82" w:rsidP="0087427C">
      <w:pPr>
        <w:ind w:left="720"/>
        <w:jc w:val="both"/>
        <w:rPr>
          <w:rFonts w:cs="Arial"/>
        </w:rPr>
      </w:pPr>
      <w:r w:rsidRPr="00CF75EA">
        <w:rPr>
          <w:rFonts w:cs="Arial"/>
        </w:rPr>
        <w:t>The Local Authorities (Functions and Responsibilities) (England) Regulations 2000 prescribe certain functions that may not be exercised by a local authority's executive (Cabinet or Cabinet Member) and includes the power to appoint staff and to determine the terms and conditions on which they hold office, including procedures for their dismissal.  These functions must therefore be exercised by the Full Council or delegated by the Full Council to a committee or officer.</w:t>
      </w:r>
    </w:p>
    <w:p w14:paraId="179CAF2D" w14:textId="77777777" w:rsidR="0087427C" w:rsidRPr="00CF75EA" w:rsidRDefault="0087427C" w:rsidP="0087427C">
      <w:pPr>
        <w:jc w:val="both"/>
        <w:rPr>
          <w:rFonts w:cs="Arial"/>
        </w:rPr>
      </w:pPr>
    </w:p>
    <w:p w14:paraId="70F922CB" w14:textId="77777777" w:rsidR="0087427C" w:rsidRPr="00CF75EA" w:rsidRDefault="004A7A82" w:rsidP="0087427C">
      <w:pPr>
        <w:ind w:left="720"/>
        <w:jc w:val="both"/>
        <w:rPr>
          <w:rFonts w:cs="Arial"/>
        </w:rPr>
      </w:pPr>
      <w:r w:rsidRPr="00CF75EA">
        <w:rPr>
          <w:rFonts w:cs="Arial"/>
        </w:rPr>
        <w:t xml:space="preserve">The Local Authorities (Standing Orders) (England) Regulations 2001 and Local Authorities (Standing Orders) (England) (Amendment) Regulations 2015 provide that the functions of dismissal of, and taking disciplinary action against, a member of staff must be discharged by the </w:t>
      </w:r>
      <w:r>
        <w:rPr>
          <w:rFonts w:cs="Arial"/>
        </w:rPr>
        <w:t>H</w:t>
      </w:r>
      <w:r w:rsidRPr="00CF75EA">
        <w:rPr>
          <w:rFonts w:cs="Arial"/>
        </w:rPr>
        <w:t xml:space="preserve">ead of the </w:t>
      </w:r>
      <w:r>
        <w:rPr>
          <w:rFonts w:cs="Arial"/>
        </w:rPr>
        <w:t>P</w:t>
      </w:r>
      <w:r w:rsidRPr="00CF75EA">
        <w:rPr>
          <w:rFonts w:cs="Arial"/>
        </w:rPr>
        <w:t xml:space="preserve">aid </w:t>
      </w:r>
      <w:r>
        <w:rPr>
          <w:rFonts w:cs="Arial"/>
        </w:rPr>
        <w:t>S</w:t>
      </w:r>
      <w:r w:rsidRPr="00CF75EA">
        <w:rPr>
          <w:rFonts w:cs="Arial"/>
        </w:rPr>
        <w:t>ervice (the Chief Executive</w:t>
      </w:r>
      <w:proofErr w:type="gramStart"/>
      <w:r w:rsidRPr="00CF75EA">
        <w:rPr>
          <w:rFonts w:cs="Arial"/>
        </w:rPr>
        <w:t>)</w:t>
      </w:r>
      <w:proofErr w:type="gramEnd"/>
      <w:r w:rsidRPr="00CF75EA">
        <w:rPr>
          <w:rFonts w:cs="Arial"/>
        </w:rPr>
        <w:t xml:space="preserve"> or an officer nominated by him/her. However, this provision does not apply to the posts identified in paragraph 2.1 above (chief officers) and the council's constitution currently provides that these functions in relation to the Chief Executive and some other senior posts are discharged on behalf of the Full Council by the Employment Committee (subject to the requirements set out in paragraph 2.9.1 and 2.9.2 above).</w:t>
      </w:r>
    </w:p>
    <w:p w14:paraId="20B8B099" w14:textId="77777777" w:rsidR="0087427C" w:rsidRPr="00CF75EA" w:rsidRDefault="0087427C" w:rsidP="0087427C">
      <w:pPr>
        <w:jc w:val="both"/>
        <w:rPr>
          <w:rFonts w:cs="Arial"/>
        </w:rPr>
      </w:pPr>
    </w:p>
    <w:p w14:paraId="685B91F4" w14:textId="77777777" w:rsidR="0087427C" w:rsidRPr="00CF75EA" w:rsidRDefault="004A7A82" w:rsidP="0087427C">
      <w:pPr>
        <w:ind w:left="720"/>
        <w:jc w:val="both"/>
        <w:rPr>
          <w:rFonts w:cs="Arial"/>
        </w:rPr>
      </w:pPr>
      <w:r w:rsidRPr="00CF75EA">
        <w:rPr>
          <w:rFonts w:cs="Arial"/>
        </w:rPr>
        <w:t xml:space="preserve">The Employment Committee was established by Full Council to discharge all functions in relation to the terms and conditions of employment of all staff, including chief officers. </w:t>
      </w:r>
    </w:p>
    <w:p w14:paraId="1BFB3C92" w14:textId="77777777" w:rsidR="0087427C" w:rsidRPr="00CF75EA" w:rsidRDefault="0087427C" w:rsidP="0087427C">
      <w:pPr>
        <w:jc w:val="both"/>
        <w:rPr>
          <w:rFonts w:cs="Arial"/>
        </w:rPr>
      </w:pPr>
    </w:p>
    <w:p w14:paraId="104F7B58" w14:textId="77777777" w:rsidR="0087427C" w:rsidRPr="00CF75EA" w:rsidRDefault="004A7A82" w:rsidP="0087427C">
      <w:pPr>
        <w:ind w:left="720"/>
        <w:jc w:val="both"/>
        <w:rPr>
          <w:rFonts w:cs="Arial"/>
        </w:rPr>
      </w:pPr>
      <w:r w:rsidRPr="00CF75EA">
        <w:rPr>
          <w:rFonts w:cs="Arial"/>
        </w:rPr>
        <w:lastRenderedPageBreak/>
        <w:t xml:space="preserve">Section 42 of the </w:t>
      </w:r>
      <w:r>
        <w:rPr>
          <w:rFonts w:cs="Arial"/>
        </w:rPr>
        <w:t xml:space="preserve">Localism </w:t>
      </w:r>
      <w:r w:rsidRPr="00CF75EA">
        <w:rPr>
          <w:rFonts w:cs="Arial"/>
        </w:rPr>
        <w:t xml:space="preserve">Act </w:t>
      </w:r>
      <w:r>
        <w:rPr>
          <w:rFonts w:cs="Arial"/>
        </w:rPr>
        <w:t xml:space="preserve">2011 </w:t>
      </w:r>
      <w:r w:rsidRPr="00CF75EA">
        <w:rPr>
          <w:rFonts w:cs="Arial"/>
        </w:rPr>
        <w:t>provides that the function of approving an annual Pay Policy Statement may not be delegated to a committee, therefore the function of the Employment Committee in this regard is to recommend a Pay Policy Statement to Full Council for approval.</w:t>
      </w:r>
    </w:p>
    <w:p w14:paraId="543B8B53" w14:textId="77777777" w:rsidR="0087427C" w:rsidRPr="00CF75EA" w:rsidRDefault="0087427C" w:rsidP="0087427C">
      <w:pPr>
        <w:jc w:val="both"/>
        <w:rPr>
          <w:rFonts w:cs="Arial"/>
        </w:rPr>
      </w:pPr>
    </w:p>
    <w:p w14:paraId="0B5CDD60" w14:textId="77777777" w:rsidR="0087427C" w:rsidRPr="00CF75EA" w:rsidRDefault="004A7A82" w:rsidP="0087427C">
      <w:pPr>
        <w:jc w:val="both"/>
        <w:rPr>
          <w:rFonts w:cs="Arial"/>
        </w:rPr>
      </w:pPr>
      <w:r w:rsidRPr="00CF75EA">
        <w:rPr>
          <w:rFonts w:cs="Arial"/>
          <w:b/>
        </w:rPr>
        <w:t>6.</w:t>
      </w:r>
      <w:r w:rsidRPr="00CF75EA">
        <w:rPr>
          <w:rFonts w:cs="Arial"/>
          <w:b/>
        </w:rPr>
        <w:tab/>
        <w:t>Re-employment / Re-engagement of former Chief Officers</w:t>
      </w:r>
      <w:r w:rsidRPr="00CF75EA">
        <w:rPr>
          <w:rFonts w:cs="Arial"/>
        </w:rPr>
        <w:t xml:space="preserve"> </w:t>
      </w:r>
    </w:p>
    <w:p w14:paraId="04A566C6" w14:textId="77777777" w:rsidR="0087427C" w:rsidRPr="00CF75EA" w:rsidRDefault="0087427C" w:rsidP="0087427C">
      <w:pPr>
        <w:jc w:val="both"/>
        <w:rPr>
          <w:rFonts w:cs="Arial"/>
        </w:rPr>
      </w:pPr>
    </w:p>
    <w:p w14:paraId="58646490" w14:textId="77777777" w:rsidR="0087427C" w:rsidRPr="00CF75EA" w:rsidRDefault="004A7A82" w:rsidP="0087427C">
      <w:pPr>
        <w:ind w:left="720" w:hanging="720"/>
        <w:jc w:val="both"/>
        <w:rPr>
          <w:rFonts w:cs="Arial"/>
        </w:rPr>
      </w:pPr>
      <w:r w:rsidRPr="00CF75EA">
        <w:rPr>
          <w:rFonts w:cs="Arial"/>
        </w:rPr>
        <w:t>6.1</w:t>
      </w:r>
      <w:r w:rsidRPr="00CF75EA">
        <w:rPr>
          <w:rFonts w:cs="Arial"/>
        </w:rPr>
        <w:tab/>
        <w:t>The council in its role as administrator of the Lancashire Pension Fund has adopted a policy for scheme employers participating in the Lancashire Pension Fund regarding re-employment within local government or by an employer who offers membership of the Local Government Pension Scheme (LGPS).  Under the policy only members in receipt of ill health pensions will be subject to abatement where, accounting for the effect of index linking, the aggregate of the pension and the earnings in the new employment exceed the rate of pay on leaving the first employment.  However, any benefits built up from 1 April 2014 within the LGPS are unaffected by the effect of any re-employment.</w:t>
      </w:r>
    </w:p>
    <w:p w14:paraId="1E72CFB7" w14:textId="77777777" w:rsidR="0087427C" w:rsidRPr="00CF75EA" w:rsidRDefault="0087427C" w:rsidP="0087427C">
      <w:pPr>
        <w:ind w:left="720" w:hanging="720"/>
        <w:jc w:val="both"/>
        <w:rPr>
          <w:rFonts w:cs="Arial"/>
        </w:rPr>
      </w:pPr>
    </w:p>
    <w:p w14:paraId="35976C6F" w14:textId="77777777" w:rsidR="0087427C" w:rsidRPr="00CF75EA" w:rsidRDefault="004A7A82" w:rsidP="0087427C">
      <w:pPr>
        <w:ind w:left="720" w:hanging="720"/>
        <w:jc w:val="both"/>
        <w:rPr>
          <w:rFonts w:cs="Arial"/>
        </w:rPr>
      </w:pPr>
      <w:r w:rsidRPr="00CF75EA">
        <w:rPr>
          <w:rFonts w:cs="Arial"/>
        </w:rPr>
        <w:tab/>
        <w:t>The benefits are adjusted where the aggregate of the pension and the earnings in the new employment exceed the rate of pay on leaving the first employment.</w:t>
      </w:r>
    </w:p>
    <w:p w14:paraId="0D27A6B5" w14:textId="77777777" w:rsidR="0087427C" w:rsidRPr="00CF75EA" w:rsidRDefault="0087427C" w:rsidP="0087427C">
      <w:pPr>
        <w:jc w:val="both"/>
        <w:rPr>
          <w:rFonts w:cs="Arial"/>
        </w:rPr>
      </w:pPr>
    </w:p>
    <w:p w14:paraId="45333310" w14:textId="77777777" w:rsidR="0087427C" w:rsidRPr="00CF75EA" w:rsidRDefault="004A7A82" w:rsidP="0087427C">
      <w:pPr>
        <w:ind w:left="720" w:hanging="720"/>
        <w:jc w:val="both"/>
        <w:rPr>
          <w:rFonts w:cs="Arial"/>
        </w:rPr>
      </w:pPr>
      <w:r w:rsidRPr="00CF75EA">
        <w:rPr>
          <w:rFonts w:cs="Arial"/>
        </w:rPr>
        <w:t xml:space="preserve"> 6.2</w:t>
      </w:r>
      <w:r w:rsidRPr="00CF75EA">
        <w:rPr>
          <w:rFonts w:cs="Arial"/>
        </w:rPr>
        <w:tab/>
        <w:t xml:space="preserve">In addition to the policy highlighted above, re-employed pensioners who have previously retired on redundancy or efficiency grounds before October 2006 and been awarded compensatory added years, are also subject to abatement. This abatement applies only to the benefits which are payable in relation to the added years awarded.  </w:t>
      </w:r>
    </w:p>
    <w:p w14:paraId="583AC753" w14:textId="77777777" w:rsidR="0087427C" w:rsidRPr="00CF75EA" w:rsidRDefault="0087427C" w:rsidP="0087427C">
      <w:pPr>
        <w:ind w:left="720" w:hanging="720"/>
        <w:jc w:val="both"/>
        <w:rPr>
          <w:rFonts w:cs="Arial"/>
        </w:rPr>
      </w:pPr>
    </w:p>
    <w:p w14:paraId="61FDA52D" w14:textId="77777777" w:rsidR="0087427C" w:rsidRPr="00CF75EA" w:rsidRDefault="004A7A82" w:rsidP="0087427C">
      <w:pPr>
        <w:ind w:left="720"/>
        <w:jc w:val="both"/>
        <w:rPr>
          <w:rFonts w:cs="Arial"/>
        </w:rPr>
      </w:pPr>
      <w:r w:rsidRPr="00CF75EA">
        <w:rPr>
          <w:rFonts w:cs="Arial"/>
        </w:rPr>
        <w:t xml:space="preserve">There is no discretion for the council as administrator of the Lancashire Pension Fund on </w:t>
      </w:r>
      <w:proofErr w:type="gramStart"/>
      <w:r w:rsidRPr="00CF75EA">
        <w:rPr>
          <w:rFonts w:cs="Arial"/>
        </w:rPr>
        <w:t>whether or not</w:t>
      </w:r>
      <w:proofErr w:type="gramEnd"/>
      <w:r w:rsidRPr="00CF75EA">
        <w:rPr>
          <w:rFonts w:cs="Arial"/>
        </w:rPr>
        <w:t xml:space="preserve"> they apply this particular abatement in respect of benefits payable as a result of the previous award of compensatory added years.</w:t>
      </w:r>
    </w:p>
    <w:p w14:paraId="5AB68A02" w14:textId="77777777" w:rsidR="0087427C" w:rsidRPr="00CF75EA" w:rsidRDefault="0087427C" w:rsidP="0087427C">
      <w:pPr>
        <w:ind w:left="720" w:hanging="720"/>
        <w:jc w:val="both"/>
        <w:rPr>
          <w:rFonts w:cs="Arial"/>
        </w:rPr>
      </w:pPr>
    </w:p>
    <w:p w14:paraId="27D966B0" w14:textId="77777777" w:rsidR="0087427C" w:rsidRPr="00CF75EA" w:rsidRDefault="004A7A82" w:rsidP="0087427C">
      <w:pPr>
        <w:ind w:left="720" w:hanging="720"/>
        <w:jc w:val="both"/>
        <w:rPr>
          <w:rFonts w:cs="Arial"/>
        </w:rPr>
      </w:pPr>
      <w:r w:rsidRPr="00CF75EA">
        <w:rPr>
          <w:rFonts w:cs="Arial"/>
        </w:rPr>
        <w:t>6.3</w:t>
      </w:r>
      <w:r w:rsidRPr="00CF75EA">
        <w:rPr>
          <w:rFonts w:cs="Arial"/>
        </w:rPr>
        <w:tab/>
        <w:t>It is a condition of the council's redundancy procedure that employees wishing to apply for voluntary redundancy must agree in writing that they will not apply for future employment with the council for a period of three years following the date of the termination of their former employment.</w:t>
      </w:r>
    </w:p>
    <w:p w14:paraId="5A45405B" w14:textId="77777777" w:rsidR="0087427C" w:rsidRPr="00CF75EA" w:rsidRDefault="0087427C" w:rsidP="0087427C">
      <w:pPr>
        <w:jc w:val="both"/>
        <w:rPr>
          <w:rFonts w:cs="Arial"/>
        </w:rPr>
      </w:pPr>
    </w:p>
    <w:p w14:paraId="2DC2DBC5" w14:textId="77777777" w:rsidR="0087427C" w:rsidRPr="00CF75EA" w:rsidRDefault="004A7A82" w:rsidP="0087427C">
      <w:pPr>
        <w:ind w:left="720" w:hanging="720"/>
        <w:jc w:val="both"/>
        <w:rPr>
          <w:rFonts w:cs="Arial"/>
        </w:rPr>
      </w:pPr>
      <w:r w:rsidRPr="00CF75EA">
        <w:rPr>
          <w:rFonts w:cs="Arial"/>
        </w:rPr>
        <w:t>6.4</w:t>
      </w:r>
      <w:r w:rsidRPr="00CF75EA">
        <w:rPr>
          <w:rFonts w:cs="Arial"/>
        </w:rPr>
        <w:tab/>
        <w:t xml:space="preserve">The council will not re-engage as a chief officer under a contract for services any former employee of the council who, on ceasing employment with the council, was in receipt of a severance payment, a redundancy payment or a pension from the council for a period of three years following the date of the termination of their former employment. </w:t>
      </w:r>
    </w:p>
    <w:p w14:paraId="2775DFF2" w14:textId="77777777" w:rsidR="0087427C" w:rsidRPr="00CF75EA" w:rsidRDefault="0087427C" w:rsidP="0087427C">
      <w:pPr>
        <w:jc w:val="both"/>
        <w:rPr>
          <w:rFonts w:cs="Arial"/>
        </w:rPr>
      </w:pPr>
    </w:p>
    <w:p w14:paraId="701D1669" w14:textId="77777777" w:rsidR="0087427C" w:rsidRPr="00CF75EA" w:rsidRDefault="004A7A82" w:rsidP="0087427C">
      <w:pPr>
        <w:jc w:val="both"/>
        <w:rPr>
          <w:rFonts w:cs="Arial"/>
        </w:rPr>
      </w:pPr>
      <w:r w:rsidRPr="00CF75EA">
        <w:rPr>
          <w:rFonts w:cs="Arial"/>
          <w:b/>
        </w:rPr>
        <w:t>7.</w:t>
      </w:r>
      <w:r w:rsidRPr="00CF75EA">
        <w:rPr>
          <w:rFonts w:cs="Arial"/>
          <w:b/>
        </w:rPr>
        <w:tab/>
        <w:t>Pension Contributions</w:t>
      </w:r>
      <w:r w:rsidRPr="00CF75EA">
        <w:rPr>
          <w:rFonts w:cs="Arial"/>
        </w:rPr>
        <w:t xml:space="preserve"> </w:t>
      </w:r>
    </w:p>
    <w:p w14:paraId="26F1AFA2" w14:textId="77777777" w:rsidR="0087427C" w:rsidRPr="00CF75EA" w:rsidRDefault="0087427C" w:rsidP="0087427C">
      <w:pPr>
        <w:jc w:val="both"/>
        <w:rPr>
          <w:rFonts w:cs="Arial"/>
        </w:rPr>
      </w:pPr>
    </w:p>
    <w:p w14:paraId="20EBAC80" w14:textId="77777777" w:rsidR="0087427C" w:rsidRPr="00CF75EA" w:rsidRDefault="004A7A82" w:rsidP="0087427C">
      <w:pPr>
        <w:ind w:left="720" w:hanging="720"/>
        <w:jc w:val="both"/>
        <w:rPr>
          <w:rFonts w:cs="Arial"/>
        </w:rPr>
      </w:pPr>
      <w:r w:rsidRPr="00CF75EA">
        <w:rPr>
          <w:rFonts w:cs="Arial"/>
        </w:rPr>
        <w:t>7.1</w:t>
      </w:r>
      <w:r w:rsidRPr="00CF75EA">
        <w:rPr>
          <w:rFonts w:cs="Arial"/>
        </w:rPr>
        <w:tab/>
      </w:r>
      <w:bookmarkStart w:id="18" w:name="_Hlk130569006"/>
      <w:r w:rsidRPr="00CF75EA">
        <w:rPr>
          <w:rFonts w:cs="Arial"/>
        </w:rPr>
        <w:t xml:space="preserve">Where employees become members of the Local Government Pension Scheme, the council is required to </w:t>
      </w:r>
      <w:proofErr w:type="gramStart"/>
      <w:r w:rsidRPr="00CF75EA">
        <w:rPr>
          <w:rFonts w:cs="Arial"/>
        </w:rPr>
        <w:t>make a contribution</w:t>
      </w:r>
      <w:proofErr w:type="gramEnd"/>
      <w:r w:rsidRPr="00CF75EA">
        <w:rPr>
          <w:rFonts w:cs="Arial"/>
        </w:rPr>
        <w:t xml:space="preserve"> to the scheme representing a percentage of the pensionable remuneration due under the contract of employment of that employee.  The rate of contribution is set by Actuaries advising the Lancashire Pension Fund and reviewed on a triennial basis </w:t>
      </w:r>
      <w:proofErr w:type="gramStart"/>
      <w:r w:rsidRPr="00CF75EA">
        <w:rPr>
          <w:rFonts w:cs="Arial"/>
        </w:rPr>
        <w:t>in order to</w:t>
      </w:r>
      <w:proofErr w:type="gramEnd"/>
      <w:r w:rsidRPr="00CF75EA">
        <w:rPr>
          <w:rFonts w:cs="Arial"/>
        </w:rPr>
        <w:t xml:space="preserve"> ensure the scheme is appropriately funded.  </w:t>
      </w:r>
      <w:r>
        <w:rPr>
          <w:rFonts w:cs="Arial"/>
        </w:rPr>
        <w:t xml:space="preserve">The rate effective </w:t>
      </w:r>
      <w:r>
        <w:rPr>
          <w:rFonts w:cs="Arial"/>
        </w:rPr>
        <w:lastRenderedPageBreak/>
        <w:t>from 1 April 2023 (set at 31 March 2023) is 16.3% and this rate is applicable for the full valuation period up to 31 March 2026.  Although this is the certified rate, the council has exercised an option to pre-pay this contribution as a lump sum payment (there are no deficit payments for this valuation period).</w:t>
      </w:r>
      <w:bookmarkEnd w:id="18"/>
    </w:p>
    <w:p w14:paraId="0C456B64" w14:textId="77777777" w:rsidR="0087427C" w:rsidRPr="00CF75EA" w:rsidRDefault="0087427C" w:rsidP="0087427C">
      <w:pPr>
        <w:ind w:left="720" w:hanging="720"/>
        <w:jc w:val="both"/>
        <w:rPr>
          <w:rFonts w:cs="Arial"/>
        </w:rPr>
      </w:pPr>
    </w:p>
    <w:p w14:paraId="5E359A57" w14:textId="77777777" w:rsidR="0087427C" w:rsidRPr="005C323B" w:rsidRDefault="004A7A82" w:rsidP="0087427C">
      <w:pPr>
        <w:ind w:left="720" w:hanging="720"/>
        <w:jc w:val="both"/>
        <w:rPr>
          <w:rFonts w:cs="Arial"/>
        </w:rPr>
      </w:pPr>
      <w:r w:rsidRPr="00CF75EA">
        <w:rPr>
          <w:rFonts w:cs="Arial"/>
        </w:rPr>
        <w:t>7.2</w:t>
      </w:r>
      <w:r w:rsidRPr="00CF75EA">
        <w:rPr>
          <w:rFonts w:cs="Arial"/>
        </w:rPr>
        <w:tab/>
        <w:t>The employee contribution rates for members of the Local Government Pension Scheme are reviewed on 1 April each year.  The rates as effective from 1 April 202</w:t>
      </w:r>
      <w:r>
        <w:rPr>
          <w:rFonts w:cs="Arial"/>
        </w:rPr>
        <w:t>3</w:t>
      </w:r>
      <w:r w:rsidRPr="00CF75EA">
        <w:rPr>
          <w:rFonts w:cs="Arial"/>
        </w:rPr>
        <w:t xml:space="preserve"> are as set out below:</w:t>
      </w:r>
    </w:p>
    <w:p w14:paraId="496EF297" w14:textId="77777777" w:rsidR="0087427C" w:rsidRPr="00CF75EA" w:rsidRDefault="004A7A82" w:rsidP="0087427C">
      <w:pPr>
        <w:ind w:left="720" w:hanging="720"/>
        <w:jc w:val="both"/>
      </w:pPr>
      <w:r>
        <w:tab/>
      </w:r>
    </w:p>
    <w:tbl>
      <w:tblPr>
        <w:tblStyle w:val="TableGrid"/>
        <w:tblW w:w="0" w:type="auto"/>
        <w:tblInd w:w="720" w:type="dxa"/>
        <w:tblLook w:val="04A0" w:firstRow="1" w:lastRow="0" w:firstColumn="1" w:lastColumn="0" w:noHBand="0" w:noVBand="1"/>
      </w:tblPr>
      <w:tblGrid>
        <w:gridCol w:w="4170"/>
        <w:gridCol w:w="4170"/>
      </w:tblGrid>
      <w:tr w:rsidR="00C92CD8" w14:paraId="240455B4" w14:textId="77777777" w:rsidTr="00C92CD8">
        <w:trPr>
          <w:cnfStyle w:val="100000000000" w:firstRow="1" w:lastRow="0" w:firstColumn="0" w:lastColumn="0" w:oddVBand="0" w:evenVBand="0" w:oddHBand="0" w:evenHBand="0" w:firstRowFirstColumn="0" w:firstRowLastColumn="0" w:lastRowFirstColumn="0" w:lastRowLastColumn="0"/>
        </w:trPr>
        <w:tc>
          <w:tcPr>
            <w:tcW w:w="4618" w:type="dxa"/>
          </w:tcPr>
          <w:p w14:paraId="405D75C7" w14:textId="77777777" w:rsidR="0087427C" w:rsidRPr="005C323B" w:rsidRDefault="004A7A82" w:rsidP="0087427C">
            <w:pPr>
              <w:jc w:val="both"/>
              <w:rPr>
                <w:b/>
                <w:bCs/>
              </w:rPr>
            </w:pPr>
            <w:r>
              <w:rPr>
                <w:rFonts w:cs="Arial"/>
                <w:b/>
                <w:bCs/>
              </w:rPr>
              <w:t>Actual p</w:t>
            </w:r>
            <w:r w:rsidRPr="005C323B">
              <w:rPr>
                <w:rFonts w:cs="Arial"/>
                <w:b/>
                <w:bCs/>
              </w:rPr>
              <w:t>ensionable pay</w:t>
            </w:r>
          </w:p>
        </w:tc>
        <w:tc>
          <w:tcPr>
            <w:tcW w:w="4618" w:type="dxa"/>
          </w:tcPr>
          <w:p w14:paraId="5C7C34D9" w14:textId="77777777" w:rsidR="0087427C" w:rsidRPr="005C323B" w:rsidRDefault="004A7A82" w:rsidP="0087427C">
            <w:pPr>
              <w:jc w:val="both"/>
              <w:rPr>
                <w:b/>
                <w:bCs/>
              </w:rPr>
            </w:pPr>
            <w:r w:rsidRPr="005C323B">
              <w:rPr>
                <w:rFonts w:cs="Arial"/>
                <w:b/>
                <w:bCs/>
              </w:rPr>
              <w:t xml:space="preserve">Employee </w:t>
            </w:r>
            <w:r>
              <w:rPr>
                <w:rFonts w:cs="Arial"/>
                <w:b/>
                <w:bCs/>
              </w:rPr>
              <w:t>c</w:t>
            </w:r>
            <w:r w:rsidRPr="005C323B">
              <w:rPr>
                <w:rFonts w:cs="Arial"/>
                <w:b/>
                <w:bCs/>
              </w:rPr>
              <w:t xml:space="preserve">ontribution </w:t>
            </w:r>
            <w:r>
              <w:rPr>
                <w:rFonts w:cs="Arial"/>
                <w:b/>
                <w:bCs/>
              </w:rPr>
              <w:t>r</w:t>
            </w:r>
            <w:r w:rsidRPr="005C323B">
              <w:rPr>
                <w:rFonts w:cs="Arial"/>
                <w:b/>
                <w:bCs/>
              </w:rPr>
              <w:t>ate</w:t>
            </w:r>
          </w:p>
        </w:tc>
      </w:tr>
      <w:tr w:rsidR="00C92CD8" w14:paraId="27D47C77" w14:textId="77777777" w:rsidTr="00C92CD8">
        <w:trPr>
          <w:cnfStyle w:val="000000100000" w:firstRow="0" w:lastRow="0" w:firstColumn="0" w:lastColumn="0" w:oddVBand="0" w:evenVBand="0" w:oddHBand="1" w:evenHBand="0" w:firstRowFirstColumn="0" w:firstRowLastColumn="0" w:lastRowFirstColumn="0" w:lastRowLastColumn="0"/>
        </w:trPr>
        <w:tc>
          <w:tcPr>
            <w:tcW w:w="4618" w:type="dxa"/>
          </w:tcPr>
          <w:p w14:paraId="5558B14E" w14:textId="77777777" w:rsidR="0087427C" w:rsidRDefault="004A7A82" w:rsidP="0087427C">
            <w:pPr>
              <w:jc w:val="both"/>
            </w:pPr>
            <w:r w:rsidRPr="00CF75EA">
              <w:rPr>
                <w:rFonts w:cs="Arial"/>
              </w:rPr>
              <w:t>Up to £</w:t>
            </w:r>
            <w:r>
              <w:rPr>
                <w:rFonts w:cs="Arial"/>
              </w:rPr>
              <w:t>16,500</w:t>
            </w:r>
          </w:p>
        </w:tc>
        <w:tc>
          <w:tcPr>
            <w:tcW w:w="4618" w:type="dxa"/>
          </w:tcPr>
          <w:p w14:paraId="4696F226" w14:textId="77777777" w:rsidR="0087427C" w:rsidRDefault="004A7A82" w:rsidP="0087427C">
            <w:pPr>
              <w:jc w:val="both"/>
            </w:pPr>
            <w:r w:rsidRPr="00CF75EA">
              <w:rPr>
                <w:rFonts w:cs="Arial"/>
              </w:rPr>
              <w:t>5.5%</w:t>
            </w:r>
          </w:p>
        </w:tc>
      </w:tr>
      <w:tr w:rsidR="00C92CD8" w14:paraId="785BF245" w14:textId="77777777" w:rsidTr="00C92CD8">
        <w:trPr>
          <w:cnfStyle w:val="000000010000" w:firstRow="0" w:lastRow="0" w:firstColumn="0" w:lastColumn="0" w:oddVBand="0" w:evenVBand="0" w:oddHBand="0" w:evenHBand="1" w:firstRowFirstColumn="0" w:firstRowLastColumn="0" w:lastRowFirstColumn="0" w:lastRowLastColumn="0"/>
        </w:trPr>
        <w:tc>
          <w:tcPr>
            <w:tcW w:w="4618" w:type="dxa"/>
          </w:tcPr>
          <w:p w14:paraId="1DB7A0D9" w14:textId="77777777" w:rsidR="0087427C" w:rsidRDefault="004A7A82" w:rsidP="0087427C">
            <w:pPr>
              <w:jc w:val="both"/>
            </w:pPr>
            <w:r w:rsidRPr="00CF75EA">
              <w:rPr>
                <w:rFonts w:cs="Arial"/>
              </w:rPr>
              <w:t>£1</w:t>
            </w:r>
            <w:r>
              <w:rPr>
                <w:rFonts w:cs="Arial"/>
              </w:rPr>
              <w:t>6,501</w:t>
            </w:r>
            <w:r w:rsidRPr="00CF75EA">
              <w:rPr>
                <w:rFonts w:cs="Arial"/>
              </w:rPr>
              <w:t xml:space="preserve"> to £2</w:t>
            </w:r>
            <w:r>
              <w:rPr>
                <w:rFonts w:cs="Arial"/>
              </w:rPr>
              <w:t>5,900</w:t>
            </w:r>
          </w:p>
        </w:tc>
        <w:tc>
          <w:tcPr>
            <w:tcW w:w="4618" w:type="dxa"/>
          </w:tcPr>
          <w:p w14:paraId="28A2607A" w14:textId="77777777" w:rsidR="0087427C" w:rsidRDefault="004A7A82" w:rsidP="0087427C">
            <w:pPr>
              <w:jc w:val="both"/>
            </w:pPr>
            <w:r w:rsidRPr="00CF75EA">
              <w:rPr>
                <w:rFonts w:cs="Arial"/>
              </w:rPr>
              <w:t>5.8%</w:t>
            </w:r>
          </w:p>
        </w:tc>
      </w:tr>
      <w:tr w:rsidR="00C92CD8" w14:paraId="0A47A33C" w14:textId="77777777" w:rsidTr="00C92CD8">
        <w:trPr>
          <w:cnfStyle w:val="000000100000" w:firstRow="0" w:lastRow="0" w:firstColumn="0" w:lastColumn="0" w:oddVBand="0" w:evenVBand="0" w:oddHBand="1" w:evenHBand="0" w:firstRowFirstColumn="0" w:firstRowLastColumn="0" w:lastRowFirstColumn="0" w:lastRowLastColumn="0"/>
        </w:trPr>
        <w:tc>
          <w:tcPr>
            <w:tcW w:w="4618" w:type="dxa"/>
          </w:tcPr>
          <w:p w14:paraId="7A6A4BFB" w14:textId="77777777" w:rsidR="0087427C" w:rsidRDefault="004A7A82" w:rsidP="0087427C">
            <w:pPr>
              <w:jc w:val="both"/>
            </w:pPr>
            <w:r w:rsidRPr="00CF75EA">
              <w:rPr>
                <w:rFonts w:cs="Arial"/>
              </w:rPr>
              <w:t>£2</w:t>
            </w:r>
            <w:r>
              <w:rPr>
                <w:rFonts w:cs="Arial"/>
              </w:rPr>
              <w:t>5,901</w:t>
            </w:r>
            <w:r w:rsidRPr="00CF75EA">
              <w:rPr>
                <w:rFonts w:cs="Arial"/>
              </w:rPr>
              <w:t xml:space="preserve"> to £</w:t>
            </w:r>
            <w:r>
              <w:rPr>
                <w:rFonts w:cs="Arial"/>
              </w:rPr>
              <w:t>42,100</w:t>
            </w:r>
          </w:p>
        </w:tc>
        <w:tc>
          <w:tcPr>
            <w:tcW w:w="4618" w:type="dxa"/>
          </w:tcPr>
          <w:p w14:paraId="5AF1D365" w14:textId="77777777" w:rsidR="0087427C" w:rsidRDefault="004A7A82" w:rsidP="0087427C">
            <w:pPr>
              <w:jc w:val="both"/>
            </w:pPr>
            <w:r w:rsidRPr="00CF75EA">
              <w:rPr>
                <w:rFonts w:cs="Arial"/>
              </w:rPr>
              <w:t>6.5%</w:t>
            </w:r>
          </w:p>
        </w:tc>
      </w:tr>
      <w:tr w:rsidR="00C92CD8" w14:paraId="1D3C6C86" w14:textId="77777777" w:rsidTr="00C92CD8">
        <w:trPr>
          <w:cnfStyle w:val="000000010000" w:firstRow="0" w:lastRow="0" w:firstColumn="0" w:lastColumn="0" w:oddVBand="0" w:evenVBand="0" w:oddHBand="0" w:evenHBand="1" w:firstRowFirstColumn="0" w:firstRowLastColumn="0" w:lastRowFirstColumn="0" w:lastRowLastColumn="0"/>
        </w:trPr>
        <w:tc>
          <w:tcPr>
            <w:tcW w:w="4618" w:type="dxa"/>
          </w:tcPr>
          <w:p w14:paraId="794DEA98" w14:textId="77777777" w:rsidR="0087427C" w:rsidRDefault="004A7A82" w:rsidP="0087427C">
            <w:pPr>
              <w:jc w:val="both"/>
            </w:pPr>
            <w:r w:rsidRPr="00CF75EA">
              <w:rPr>
                <w:rFonts w:cs="Arial"/>
              </w:rPr>
              <w:t>£</w:t>
            </w:r>
            <w:r>
              <w:rPr>
                <w:rFonts w:cs="Arial"/>
              </w:rPr>
              <w:t>42,101</w:t>
            </w:r>
            <w:r w:rsidRPr="00CF75EA">
              <w:rPr>
                <w:rFonts w:cs="Arial"/>
              </w:rPr>
              <w:t xml:space="preserve"> to £</w:t>
            </w:r>
            <w:r>
              <w:rPr>
                <w:rFonts w:cs="Arial"/>
              </w:rPr>
              <w:t>53,300</w:t>
            </w:r>
          </w:p>
        </w:tc>
        <w:tc>
          <w:tcPr>
            <w:tcW w:w="4618" w:type="dxa"/>
          </w:tcPr>
          <w:p w14:paraId="3D2DB318" w14:textId="77777777" w:rsidR="0087427C" w:rsidRDefault="004A7A82" w:rsidP="0087427C">
            <w:pPr>
              <w:jc w:val="both"/>
            </w:pPr>
            <w:r w:rsidRPr="00CF75EA">
              <w:rPr>
                <w:rFonts w:cs="Arial"/>
              </w:rPr>
              <w:t>6.8%</w:t>
            </w:r>
          </w:p>
        </w:tc>
      </w:tr>
      <w:tr w:rsidR="00C92CD8" w14:paraId="4E51D01C" w14:textId="77777777" w:rsidTr="00C92CD8">
        <w:trPr>
          <w:cnfStyle w:val="000000100000" w:firstRow="0" w:lastRow="0" w:firstColumn="0" w:lastColumn="0" w:oddVBand="0" w:evenVBand="0" w:oddHBand="1" w:evenHBand="0" w:firstRowFirstColumn="0" w:firstRowLastColumn="0" w:lastRowFirstColumn="0" w:lastRowLastColumn="0"/>
        </w:trPr>
        <w:tc>
          <w:tcPr>
            <w:tcW w:w="4618" w:type="dxa"/>
          </w:tcPr>
          <w:p w14:paraId="321C0B20" w14:textId="77777777" w:rsidR="0087427C" w:rsidRDefault="004A7A82" w:rsidP="0087427C">
            <w:pPr>
              <w:jc w:val="both"/>
            </w:pPr>
            <w:r w:rsidRPr="00CF75EA">
              <w:rPr>
                <w:rFonts w:cs="Arial"/>
              </w:rPr>
              <w:t>£</w:t>
            </w:r>
            <w:r>
              <w:rPr>
                <w:rFonts w:cs="Arial"/>
              </w:rPr>
              <w:t>53,301</w:t>
            </w:r>
            <w:r w:rsidRPr="00CF75EA">
              <w:rPr>
                <w:rFonts w:cs="Arial"/>
              </w:rPr>
              <w:t xml:space="preserve"> to £</w:t>
            </w:r>
            <w:r>
              <w:rPr>
                <w:rFonts w:cs="Arial"/>
              </w:rPr>
              <w:t>74,700</w:t>
            </w:r>
          </w:p>
        </w:tc>
        <w:tc>
          <w:tcPr>
            <w:tcW w:w="4618" w:type="dxa"/>
          </w:tcPr>
          <w:p w14:paraId="78E3982C" w14:textId="77777777" w:rsidR="0087427C" w:rsidRDefault="004A7A82" w:rsidP="0087427C">
            <w:pPr>
              <w:jc w:val="both"/>
            </w:pPr>
            <w:r w:rsidRPr="00CF75EA">
              <w:rPr>
                <w:rFonts w:cs="Arial"/>
              </w:rPr>
              <w:t>8.5%</w:t>
            </w:r>
          </w:p>
        </w:tc>
      </w:tr>
      <w:tr w:rsidR="00C92CD8" w14:paraId="793C501D" w14:textId="77777777" w:rsidTr="00C92CD8">
        <w:trPr>
          <w:cnfStyle w:val="000000010000" w:firstRow="0" w:lastRow="0" w:firstColumn="0" w:lastColumn="0" w:oddVBand="0" w:evenVBand="0" w:oddHBand="0" w:evenHBand="1" w:firstRowFirstColumn="0" w:firstRowLastColumn="0" w:lastRowFirstColumn="0" w:lastRowLastColumn="0"/>
        </w:trPr>
        <w:tc>
          <w:tcPr>
            <w:tcW w:w="4618" w:type="dxa"/>
          </w:tcPr>
          <w:p w14:paraId="33A9B364" w14:textId="77777777" w:rsidR="0087427C" w:rsidRDefault="004A7A82" w:rsidP="0087427C">
            <w:pPr>
              <w:jc w:val="both"/>
            </w:pPr>
            <w:r w:rsidRPr="00CF75EA">
              <w:rPr>
                <w:rFonts w:cs="Arial"/>
              </w:rPr>
              <w:t>£</w:t>
            </w:r>
            <w:r>
              <w:rPr>
                <w:rFonts w:cs="Arial"/>
              </w:rPr>
              <w:t>74,701</w:t>
            </w:r>
            <w:r w:rsidRPr="00CF75EA">
              <w:rPr>
                <w:rFonts w:cs="Arial"/>
              </w:rPr>
              <w:t xml:space="preserve"> to £</w:t>
            </w:r>
            <w:r>
              <w:rPr>
                <w:rFonts w:cs="Arial"/>
              </w:rPr>
              <w:t>105,900</w:t>
            </w:r>
          </w:p>
        </w:tc>
        <w:tc>
          <w:tcPr>
            <w:tcW w:w="4618" w:type="dxa"/>
          </w:tcPr>
          <w:p w14:paraId="1053C86A" w14:textId="77777777" w:rsidR="0087427C" w:rsidRDefault="004A7A82" w:rsidP="0087427C">
            <w:pPr>
              <w:jc w:val="both"/>
            </w:pPr>
            <w:r w:rsidRPr="00CF75EA">
              <w:rPr>
                <w:rFonts w:cs="Arial"/>
              </w:rPr>
              <w:t>9.9%</w:t>
            </w:r>
          </w:p>
        </w:tc>
      </w:tr>
      <w:tr w:rsidR="00C92CD8" w14:paraId="499F2297" w14:textId="77777777" w:rsidTr="00C92CD8">
        <w:trPr>
          <w:cnfStyle w:val="000000100000" w:firstRow="0" w:lastRow="0" w:firstColumn="0" w:lastColumn="0" w:oddVBand="0" w:evenVBand="0" w:oddHBand="1" w:evenHBand="0" w:firstRowFirstColumn="0" w:firstRowLastColumn="0" w:lastRowFirstColumn="0" w:lastRowLastColumn="0"/>
        </w:trPr>
        <w:tc>
          <w:tcPr>
            <w:tcW w:w="4618" w:type="dxa"/>
          </w:tcPr>
          <w:p w14:paraId="19DA5EED" w14:textId="77777777" w:rsidR="0087427C" w:rsidRDefault="004A7A82" w:rsidP="0087427C">
            <w:pPr>
              <w:jc w:val="both"/>
            </w:pPr>
            <w:r w:rsidRPr="00CF75EA">
              <w:rPr>
                <w:rFonts w:cs="Arial"/>
              </w:rPr>
              <w:t>£</w:t>
            </w:r>
            <w:r>
              <w:rPr>
                <w:rFonts w:cs="Arial"/>
              </w:rPr>
              <w:t>105,901</w:t>
            </w:r>
            <w:r w:rsidRPr="00CF75EA">
              <w:rPr>
                <w:rFonts w:cs="Arial"/>
              </w:rPr>
              <w:t xml:space="preserve"> to £1</w:t>
            </w:r>
            <w:r>
              <w:rPr>
                <w:rFonts w:cs="Arial"/>
              </w:rPr>
              <w:t>24,800</w:t>
            </w:r>
          </w:p>
        </w:tc>
        <w:tc>
          <w:tcPr>
            <w:tcW w:w="4618" w:type="dxa"/>
          </w:tcPr>
          <w:p w14:paraId="69785D45" w14:textId="77777777" w:rsidR="0087427C" w:rsidRPr="00CF75EA" w:rsidRDefault="004A7A82" w:rsidP="0087427C">
            <w:pPr>
              <w:jc w:val="both"/>
              <w:rPr>
                <w:rFonts w:cs="Arial"/>
              </w:rPr>
            </w:pPr>
            <w:r w:rsidRPr="00CF75EA">
              <w:rPr>
                <w:rFonts w:cs="Arial"/>
              </w:rPr>
              <w:t>10.5%</w:t>
            </w:r>
          </w:p>
        </w:tc>
      </w:tr>
      <w:tr w:rsidR="00C92CD8" w14:paraId="529B7B3C" w14:textId="77777777" w:rsidTr="00C92CD8">
        <w:trPr>
          <w:cnfStyle w:val="000000010000" w:firstRow="0" w:lastRow="0" w:firstColumn="0" w:lastColumn="0" w:oddVBand="0" w:evenVBand="0" w:oddHBand="0" w:evenHBand="1" w:firstRowFirstColumn="0" w:firstRowLastColumn="0" w:lastRowFirstColumn="0" w:lastRowLastColumn="0"/>
        </w:trPr>
        <w:tc>
          <w:tcPr>
            <w:tcW w:w="4618" w:type="dxa"/>
          </w:tcPr>
          <w:p w14:paraId="78FEE4BA" w14:textId="77777777" w:rsidR="0087427C" w:rsidRDefault="004A7A82" w:rsidP="0087427C">
            <w:pPr>
              <w:jc w:val="both"/>
            </w:pPr>
            <w:r w:rsidRPr="00CF75EA">
              <w:rPr>
                <w:rFonts w:cs="Arial"/>
              </w:rPr>
              <w:t>£1</w:t>
            </w:r>
            <w:r>
              <w:rPr>
                <w:rFonts w:cs="Arial"/>
              </w:rPr>
              <w:t>24,801</w:t>
            </w:r>
            <w:r w:rsidRPr="00CF75EA">
              <w:rPr>
                <w:rFonts w:cs="Arial"/>
              </w:rPr>
              <w:t xml:space="preserve"> to £1</w:t>
            </w:r>
            <w:r>
              <w:rPr>
                <w:rFonts w:cs="Arial"/>
              </w:rPr>
              <w:t>87,200</w:t>
            </w:r>
          </w:p>
        </w:tc>
        <w:tc>
          <w:tcPr>
            <w:tcW w:w="4618" w:type="dxa"/>
          </w:tcPr>
          <w:p w14:paraId="6599A6A8" w14:textId="77777777" w:rsidR="0087427C" w:rsidRPr="00CF75EA" w:rsidRDefault="004A7A82" w:rsidP="0087427C">
            <w:pPr>
              <w:jc w:val="both"/>
              <w:rPr>
                <w:rFonts w:cs="Arial"/>
              </w:rPr>
            </w:pPr>
            <w:r w:rsidRPr="00CF75EA">
              <w:rPr>
                <w:rFonts w:cs="Arial"/>
              </w:rPr>
              <w:t>11.4%</w:t>
            </w:r>
          </w:p>
        </w:tc>
      </w:tr>
      <w:tr w:rsidR="00C92CD8" w14:paraId="4DF183C6" w14:textId="77777777" w:rsidTr="00C92CD8">
        <w:trPr>
          <w:cnfStyle w:val="000000100000" w:firstRow="0" w:lastRow="0" w:firstColumn="0" w:lastColumn="0" w:oddVBand="0" w:evenVBand="0" w:oddHBand="1" w:evenHBand="0" w:firstRowFirstColumn="0" w:firstRowLastColumn="0" w:lastRowFirstColumn="0" w:lastRowLastColumn="0"/>
        </w:trPr>
        <w:tc>
          <w:tcPr>
            <w:tcW w:w="4618" w:type="dxa"/>
          </w:tcPr>
          <w:p w14:paraId="31D37E78" w14:textId="77777777" w:rsidR="0087427C" w:rsidRDefault="004A7A82" w:rsidP="0087427C">
            <w:pPr>
              <w:jc w:val="both"/>
            </w:pPr>
            <w:r w:rsidRPr="00CF75EA">
              <w:rPr>
                <w:rFonts w:cs="Arial"/>
              </w:rPr>
              <w:t>£1</w:t>
            </w:r>
            <w:r>
              <w:rPr>
                <w:rFonts w:cs="Arial"/>
              </w:rPr>
              <w:t>87,201</w:t>
            </w:r>
            <w:r w:rsidRPr="00CF75EA">
              <w:rPr>
                <w:rFonts w:cs="Arial"/>
              </w:rPr>
              <w:t xml:space="preserve"> or more</w:t>
            </w:r>
          </w:p>
        </w:tc>
        <w:tc>
          <w:tcPr>
            <w:tcW w:w="4618" w:type="dxa"/>
          </w:tcPr>
          <w:p w14:paraId="19A79AFC" w14:textId="77777777" w:rsidR="0087427C" w:rsidRPr="00CF75EA" w:rsidRDefault="004A7A82" w:rsidP="0087427C">
            <w:pPr>
              <w:jc w:val="both"/>
              <w:rPr>
                <w:rFonts w:cs="Arial"/>
              </w:rPr>
            </w:pPr>
            <w:r w:rsidRPr="00CF75EA">
              <w:rPr>
                <w:rFonts w:cs="Arial"/>
              </w:rPr>
              <w:t>12.5%</w:t>
            </w:r>
          </w:p>
        </w:tc>
      </w:tr>
    </w:tbl>
    <w:p w14:paraId="45590EAF" w14:textId="77777777" w:rsidR="0087427C" w:rsidRDefault="004A7A82" w:rsidP="0087427C">
      <w:pPr>
        <w:jc w:val="both"/>
        <w:rPr>
          <w:rFonts w:cs="Arial"/>
        </w:rPr>
      </w:pPr>
      <w:r w:rsidRPr="00CF75EA">
        <w:rPr>
          <w:rFonts w:cs="Arial"/>
        </w:rPr>
        <w:tab/>
      </w:r>
      <w:r w:rsidRPr="00CF75EA">
        <w:rPr>
          <w:rFonts w:cs="Arial"/>
        </w:rPr>
        <w:tab/>
      </w:r>
    </w:p>
    <w:p w14:paraId="04951B8E" w14:textId="77777777" w:rsidR="0087427C" w:rsidRPr="00875CE8" w:rsidRDefault="004A7A82" w:rsidP="0087427C">
      <w:pPr>
        <w:jc w:val="both"/>
        <w:rPr>
          <w:rFonts w:cs="Arial"/>
        </w:rPr>
      </w:pPr>
      <w:r w:rsidRPr="00CF75EA">
        <w:rPr>
          <w:rFonts w:cs="Arial"/>
        </w:rPr>
        <w:tab/>
      </w:r>
    </w:p>
    <w:p w14:paraId="674ED11A" w14:textId="77777777" w:rsidR="0087427C" w:rsidRPr="00CF75EA" w:rsidRDefault="004A7A82" w:rsidP="0087427C">
      <w:pPr>
        <w:ind w:left="720"/>
        <w:jc w:val="both"/>
        <w:rPr>
          <w:rFonts w:cs="Arial"/>
        </w:rPr>
      </w:pPr>
      <w:r w:rsidRPr="00CF75EA">
        <w:rPr>
          <w:rFonts w:cs="Arial"/>
          <w:b/>
        </w:rPr>
        <w:t>Teachers' Pension Scheme (applicable to those employees whose pay and conditions of service are determined by the Joint Negotiating Committee for Youth and Community Workers) – rates effective from 1 April 202</w:t>
      </w:r>
      <w:r>
        <w:rPr>
          <w:rFonts w:cs="Arial"/>
          <w:b/>
        </w:rPr>
        <w:t>3</w:t>
      </w:r>
    </w:p>
    <w:p w14:paraId="55B8CD54" w14:textId="77777777" w:rsidR="0087427C" w:rsidRDefault="0087427C" w:rsidP="0087427C">
      <w:pPr>
        <w:ind w:left="720"/>
        <w:jc w:val="both"/>
        <w:rPr>
          <w:rFonts w:cs="Arial"/>
          <w:highlight w:val="yellow"/>
        </w:rPr>
      </w:pPr>
    </w:p>
    <w:tbl>
      <w:tblPr>
        <w:tblStyle w:val="TableGrid"/>
        <w:tblW w:w="0" w:type="auto"/>
        <w:tblInd w:w="720" w:type="dxa"/>
        <w:tblLook w:val="04A0" w:firstRow="1" w:lastRow="0" w:firstColumn="1" w:lastColumn="0" w:noHBand="0" w:noVBand="1"/>
      </w:tblPr>
      <w:tblGrid>
        <w:gridCol w:w="4156"/>
        <w:gridCol w:w="4184"/>
      </w:tblGrid>
      <w:tr w:rsidR="00C92CD8" w14:paraId="6402CA72" w14:textId="77777777" w:rsidTr="00C92CD8">
        <w:trPr>
          <w:cnfStyle w:val="100000000000" w:firstRow="1" w:lastRow="0" w:firstColumn="0" w:lastColumn="0" w:oddVBand="0" w:evenVBand="0" w:oddHBand="0" w:evenHBand="0" w:firstRowFirstColumn="0" w:firstRowLastColumn="0" w:lastRowFirstColumn="0" w:lastRowLastColumn="0"/>
        </w:trPr>
        <w:tc>
          <w:tcPr>
            <w:tcW w:w="4618" w:type="dxa"/>
          </w:tcPr>
          <w:p w14:paraId="2DA9E529" w14:textId="77777777" w:rsidR="0087427C" w:rsidRPr="005C323B" w:rsidRDefault="004A7A82" w:rsidP="0087427C">
            <w:pPr>
              <w:jc w:val="both"/>
              <w:rPr>
                <w:rFonts w:cs="Arial"/>
                <w:b/>
                <w:bCs/>
                <w:highlight w:val="yellow"/>
              </w:rPr>
            </w:pPr>
            <w:r w:rsidRPr="005C323B">
              <w:rPr>
                <w:rFonts w:cs="Arial"/>
                <w:b/>
                <w:bCs/>
              </w:rPr>
              <w:t xml:space="preserve">Annual </w:t>
            </w:r>
            <w:r>
              <w:rPr>
                <w:rFonts w:cs="Arial"/>
                <w:b/>
                <w:bCs/>
              </w:rPr>
              <w:t>s</w:t>
            </w:r>
            <w:r w:rsidRPr="005C323B">
              <w:rPr>
                <w:rFonts w:cs="Arial"/>
                <w:b/>
                <w:bCs/>
              </w:rPr>
              <w:t xml:space="preserve">alary </w:t>
            </w:r>
            <w:r>
              <w:rPr>
                <w:rFonts w:cs="Arial"/>
                <w:b/>
                <w:bCs/>
              </w:rPr>
              <w:t>r</w:t>
            </w:r>
            <w:r w:rsidRPr="005C323B">
              <w:rPr>
                <w:rFonts w:cs="Arial"/>
                <w:b/>
                <w:bCs/>
              </w:rPr>
              <w:t>ate</w:t>
            </w:r>
          </w:p>
        </w:tc>
        <w:tc>
          <w:tcPr>
            <w:tcW w:w="4618" w:type="dxa"/>
          </w:tcPr>
          <w:p w14:paraId="69C920F8" w14:textId="77777777" w:rsidR="0087427C" w:rsidRPr="005C323B" w:rsidRDefault="004A7A82" w:rsidP="0087427C">
            <w:pPr>
              <w:jc w:val="both"/>
              <w:rPr>
                <w:rFonts w:cs="Arial"/>
                <w:b/>
                <w:bCs/>
                <w:highlight w:val="yellow"/>
              </w:rPr>
            </w:pPr>
            <w:r w:rsidRPr="005C323B">
              <w:rPr>
                <w:rFonts w:cs="Arial"/>
                <w:b/>
                <w:bCs/>
              </w:rPr>
              <w:t xml:space="preserve">Employee </w:t>
            </w:r>
            <w:r>
              <w:rPr>
                <w:rFonts w:cs="Arial"/>
                <w:b/>
                <w:bCs/>
              </w:rPr>
              <w:t>c</w:t>
            </w:r>
            <w:r w:rsidRPr="005C323B">
              <w:rPr>
                <w:rFonts w:cs="Arial"/>
                <w:b/>
                <w:bCs/>
              </w:rPr>
              <w:t xml:space="preserve">ontribution </w:t>
            </w:r>
            <w:r>
              <w:rPr>
                <w:rFonts w:cs="Arial"/>
                <w:b/>
                <w:bCs/>
              </w:rPr>
              <w:t>r</w:t>
            </w:r>
            <w:r w:rsidRPr="005C323B">
              <w:rPr>
                <w:rFonts w:cs="Arial"/>
                <w:b/>
                <w:bCs/>
              </w:rPr>
              <w:t>ate</w:t>
            </w:r>
          </w:p>
        </w:tc>
      </w:tr>
      <w:tr w:rsidR="00C92CD8" w14:paraId="4B832F7D" w14:textId="77777777" w:rsidTr="00C92CD8">
        <w:trPr>
          <w:cnfStyle w:val="000000100000" w:firstRow="0" w:lastRow="0" w:firstColumn="0" w:lastColumn="0" w:oddVBand="0" w:evenVBand="0" w:oddHBand="1" w:evenHBand="0" w:firstRowFirstColumn="0" w:firstRowLastColumn="0" w:lastRowFirstColumn="0" w:lastRowLastColumn="0"/>
        </w:trPr>
        <w:tc>
          <w:tcPr>
            <w:tcW w:w="4618" w:type="dxa"/>
          </w:tcPr>
          <w:p w14:paraId="5A1D5705" w14:textId="77777777" w:rsidR="0087427C" w:rsidRDefault="004A7A82" w:rsidP="0087427C">
            <w:pPr>
              <w:jc w:val="both"/>
              <w:rPr>
                <w:rFonts w:cs="Arial"/>
                <w:highlight w:val="yellow"/>
              </w:rPr>
            </w:pPr>
            <w:r w:rsidRPr="00CF75EA">
              <w:rPr>
                <w:rFonts w:cs="Arial"/>
              </w:rPr>
              <w:t>Up to £</w:t>
            </w:r>
            <w:r>
              <w:rPr>
                <w:rFonts w:cs="Arial"/>
              </w:rPr>
              <w:t>32,135.99</w:t>
            </w:r>
          </w:p>
        </w:tc>
        <w:tc>
          <w:tcPr>
            <w:tcW w:w="4618" w:type="dxa"/>
          </w:tcPr>
          <w:p w14:paraId="32A05254" w14:textId="77777777" w:rsidR="0087427C" w:rsidRDefault="004A7A82" w:rsidP="0087427C">
            <w:pPr>
              <w:jc w:val="both"/>
              <w:rPr>
                <w:rFonts w:cs="Arial"/>
                <w:highlight w:val="yellow"/>
              </w:rPr>
            </w:pPr>
            <w:r w:rsidRPr="00CF75EA">
              <w:rPr>
                <w:rFonts w:cs="Arial"/>
              </w:rPr>
              <w:t>7.4%</w:t>
            </w:r>
          </w:p>
        </w:tc>
      </w:tr>
      <w:tr w:rsidR="00C92CD8" w14:paraId="541C09FA" w14:textId="77777777" w:rsidTr="00C92CD8">
        <w:trPr>
          <w:cnfStyle w:val="000000010000" w:firstRow="0" w:lastRow="0" w:firstColumn="0" w:lastColumn="0" w:oddVBand="0" w:evenVBand="0" w:oddHBand="0" w:evenHBand="1" w:firstRowFirstColumn="0" w:firstRowLastColumn="0" w:lastRowFirstColumn="0" w:lastRowLastColumn="0"/>
        </w:trPr>
        <w:tc>
          <w:tcPr>
            <w:tcW w:w="4618" w:type="dxa"/>
          </w:tcPr>
          <w:p w14:paraId="02C1B97D" w14:textId="77777777" w:rsidR="0087427C" w:rsidRDefault="004A7A82" w:rsidP="0087427C">
            <w:pPr>
              <w:jc w:val="both"/>
              <w:rPr>
                <w:rFonts w:cs="Arial"/>
                <w:highlight w:val="yellow"/>
              </w:rPr>
            </w:pPr>
            <w:r w:rsidRPr="00CF75EA">
              <w:rPr>
                <w:rFonts w:cs="Arial"/>
              </w:rPr>
              <w:t>£</w:t>
            </w:r>
            <w:r>
              <w:rPr>
                <w:rFonts w:cs="Arial"/>
              </w:rPr>
              <w:t>32,136</w:t>
            </w:r>
            <w:r w:rsidRPr="00CF75EA">
              <w:rPr>
                <w:rFonts w:cs="Arial"/>
              </w:rPr>
              <w:t xml:space="preserve"> to £</w:t>
            </w:r>
            <w:r>
              <w:rPr>
                <w:rFonts w:cs="Arial"/>
              </w:rPr>
              <w:t>43,259.99</w:t>
            </w:r>
          </w:p>
        </w:tc>
        <w:tc>
          <w:tcPr>
            <w:tcW w:w="4618" w:type="dxa"/>
          </w:tcPr>
          <w:p w14:paraId="5CF5932D" w14:textId="77777777" w:rsidR="0087427C" w:rsidRDefault="004A7A82" w:rsidP="0087427C">
            <w:pPr>
              <w:jc w:val="both"/>
              <w:rPr>
                <w:rFonts w:cs="Arial"/>
                <w:highlight w:val="yellow"/>
              </w:rPr>
            </w:pPr>
            <w:r w:rsidRPr="00CF75EA">
              <w:rPr>
                <w:rFonts w:cs="Arial"/>
              </w:rPr>
              <w:t>8.6%</w:t>
            </w:r>
          </w:p>
        </w:tc>
      </w:tr>
      <w:tr w:rsidR="00C92CD8" w14:paraId="0804D12C" w14:textId="77777777" w:rsidTr="00C92CD8">
        <w:trPr>
          <w:cnfStyle w:val="000000100000" w:firstRow="0" w:lastRow="0" w:firstColumn="0" w:lastColumn="0" w:oddVBand="0" w:evenVBand="0" w:oddHBand="1" w:evenHBand="0" w:firstRowFirstColumn="0" w:firstRowLastColumn="0" w:lastRowFirstColumn="0" w:lastRowLastColumn="0"/>
        </w:trPr>
        <w:tc>
          <w:tcPr>
            <w:tcW w:w="4618" w:type="dxa"/>
          </w:tcPr>
          <w:p w14:paraId="52B7AA7D" w14:textId="77777777" w:rsidR="0087427C" w:rsidRDefault="004A7A82" w:rsidP="0087427C">
            <w:pPr>
              <w:jc w:val="both"/>
              <w:rPr>
                <w:rFonts w:cs="Arial"/>
                <w:highlight w:val="yellow"/>
              </w:rPr>
            </w:pPr>
            <w:r w:rsidRPr="00CF75EA">
              <w:rPr>
                <w:rFonts w:cs="Arial"/>
              </w:rPr>
              <w:t>£</w:t>
            </w:r>
            <w:r>
              <w:rPr>
                <w:rFonts w:cs="Arial"/>
              </w:rPr>
              <w:t>43,260</w:t>
            </w:r>
            <w:r w:rsidRPr="00CF75EA">
              <w:rPr>
                <w:rFonts w:cs="Arial"/>
              </w:rPr>
              <w:t xml:space="preserve"> to £</w:t>
            </w:r>
            <w:r>
              <w:rPr>
                <w:rFonts w:cs="Arial"/>
              </w:rPr>
              <w:t>51,292.99</w:t>
            </w:r>
          </w:p>
        </w:tc>
        <w:tc>
          <w:tcPr>
            <w:tcW w:w="4618" w:type="dxa"/>
          </w:tcPr>
          <w:p w14:paraId="6B14621D" w14:textId="77777777" w:rsidR="0087427C" w:rsidRDefault="004A7A82" w:rsidP="0087427C">
            <w:pPr>
              <w:jc w:val="both"/>
              <w:rPr>
                <w:rFonts w:cs="Arial"/>
                <w:highlight w:val="yellow"/>
              </w:rPr>
            </w:pPr>
            <w:r w:rsidRPr="00CF75EA">
              <w:rPr>
                <w:rFonts w:cs="Arial"/>
              </w:rPr>
              <w:t>9.6%</w:t>
            </w:r>
          </w:p>
        </w:tc>
      </w:tr>
      <w:tr w:rsidR="00C92CD8" w14:paraId="726AB057" w14:textId="77777777" w:rsidTr="00C92CD8">
        <w:trPr>
          <w:cnfStyle w:val="000000010000" w:firstRow="0" w:lastRow="0" w:firstColumn="0" w:lastColumn="0" w:oddVBand="0" w:evenVBand="0" w:oddHBand="0" w:evenHBand="1" w:firstRowFirstColumn="0" w:firstRowLastColumn="0" w:lastRowFirstColumn="0" w:lastRowLastColumn="0"/>
        </w:trPr>
        <w:tc>
          <w:tcPr>
            <w:tcW w:w="4618" w:type="dxa"/>
          </w:tcPr>
          <w:p w14:paraId="3BD94858" w14:textId="77777777" w:rsidR="0087427C" w:rsidRDefault="004A7A82" w:rsidP="0087427C">
            <w:pPr>
              <w:jc w:val="both"/>
              <w:rPr>
                <w:rFonts w:cs="Arial"/>
                <w:highlight w:val="yellow"/>
              </w:rPr>
            </w:pPr>
            <w:r w:rsidRPr="00CF75EA">
              <w:rPr>
                <w:rFonts w:cs="Arial"/>
              </w:rPr>
              <w:t>£</w:t>
            </w:r>
            <w:r>
              <w:rPr>
                <w:rFonts w:cs="Arial"/>
              </w:rPr>
              <w:t>51,293</w:t>
            </w:r>
            <w:r w:rsidRPr="00CF75EA">
              <w:rPr>
                <w:rFonts w:cs="Arial"/>
              </w:rPr>
              <w:t xml:space="preserve"> to £</w:t>
            </w:r>
            <w:r>
              <w:rPr>
                <w:rFonts w:cs="Arial"/>
              </w:rPr>
              <w:t>67,979.99</w:t>
            </w:r>
          </w:p>
        </w:tc>
        <w:tc>
          <w:tcPr>
            <w:tcW w:w="4618" w:type="dxa"/>
          </w:tcPr>
          <w:p w14:paraId="19B93D20" w14:textId="77777777" w:rsidR="0087427C" w:rsidRDefault="004A7A82" w:rsidP="0087427C">
            <w:pPr>
              <w:jc w:val="both"/>
              <w:rPr>
                <w:rFonts w:cs="Arial"/>
                <w:highlight w:val="yellow"/>
              </w:rPr>
            </w:pPr>
            <w:r w:rsidRPr="00CF75EA">
              <w:rPr>
                <w:rFonts w:cs="Arial"/>
              </w:rPr>
              <w:t>10.2%</w:t>
            </w:r>
          </w:p>
        </w:tc>
      </w:tr>
      <w:tr w:rsidR="00C92CD8" w14:paraId="15CF4A6B" w14:textId="77777777" w:rsidTr="00C92CD8">
        <w:trPr>
          <w:cnfStyle w:val="000000100000" w:firstRow="0" w:lastRow="0" w:firstColumn="0" w:lastColumn="0" w:oddVBand="0" w:evenVBand="0" w:oddHBand="1" w:evenHBand="0" w:firstRowFirstColumn="0" w:firstRowLastColumn="0" w:lastRowFirstColumn="0" w:lastRowLastColumn="0"/>
        </w:trPr>
        <w:tc>
          <w:tcPr>
            <w:tcW w:w="4618" w:type="dxa"/>
          </w:tcPr>
          <w:p w14:paraId="01FBF0E5" w14:textId="77777777" w:rsidR="0087427C" w:rsidRDefault="004A7A82" w:rsidP="0087427C">
            <w:pPr>
              <w:jc w:val="both"/>
              <w:rPr>
                <w:rFonts w:cs="Arial"/>
                <w:highlight w:val="yellow"/>
              </w:rPr>
            </w:pPr>
            <w:r w:rsidRPr="00CF75EA">
              <w:rPr>
                <w:rFonts w:cs="Arial"/>
              </w:rPr>
              <w:t>£</w:t>
            </w:r>
            <w:r>
              <w:rPr>
                <w:rFonts w:cs="Arial"/>
              </w:rPr>
              <w:t>67,980</w:t>
            </w:r>
            <w:r w:rsidRPr="00CF75EA">
              <w:rPr>
                <w:rFonts w:cs="Arial"/>
              </w:rPr>
              <w:t xml:space="preserve"> to £</w:t>
            </w:r>
            <w:r>
              <w:rPr>
                <w:rFonts w:cs="Arial"/>
              </w:rPr>
              <w:t>92,697.99</w:t>
            </w:r>
          </w:p>
        </w:tc>
        <w:tc>
          <w:tcPr>
            <w:tcW w:w="4618" w:type="dxa"/>
          </w:tcPr>
          <w:p w14:paraId="39553B43" w14:textId="77777777" w:rsidR="0087427C" w:rsidRPr="00CF75EA" w:rsidRDefault="004A7A82" w:rsidP="0087427C">
            <w:pPr>
              <w:jc w:val="both"/>
              <w:rPr>
                <w:rFonts w:cs="Arial"/>
              </w:rPr>
            </w:pPr>
            <w:r w:rsidRPr="00CF75EA">
              <w:rPr>
                <w:rFonts w:cs="Arial"/>
              </w:rPr>
              <w:t>11.3%</w:t>
            </w:r>
          </w:p>
        </w:tc>
      </w:tr>
      <w:tr w:rsidR="00C92CD8" w14:paraId="2FB02036" w14:textId="77777777" w:rsidTr="00C92CD8">
        <w:trPr>
          <w:cnfStyle w:val="000000010000" w:firstRow="0" w:lastRow="0" w:firstColumn="0" w:lastColumn="0" w:oddVBand="0" w:evenVBand="0" w:oddHBand="0" w:evenHBand="1" w:firstRowFirstColumn="0" w:firstRowLastColumn="0" w:lastRowFirstColumn="0" w:lastRowLastColumn="0"/>
        </w:trPr>
        <w:tc>
          <w:tcPr>
            <w:tcW w:w="4618" w:type="dxa"/>
          </w:tcPr>
          <w:p w14:paraId="4C66A384" w14:textId="77777777" w:rsidR="0087427C" w:rsidRDefault="004A7A82" w:rsidP="0087427C">
            <w:pPr>
              <w:jc w:val="both"/>
              <w:rPr>
                <w:rFonts w:cs="Arial"/>
                <w:highlight w:val="yellow"/>
              </w:rPr>
            </w:pPr>
            <w:r w:rsidRPr="00CF75EA">
              <w:rPr>
                <w:rFonts w:cs="Arial"/>
              </w:rPr>
              <w:t>£</w:t>
            </w:r>
            <w:r>
              <w:rPr>
                <w:rFonts w:cs="Arial"/>
              </w:rPr>
              <w:t>92,698</w:t>
            </w:r>
            <w:r w:rsidRPr="00CF75EA">
              <w:rPr>
                <w:rFonts w:cs="Arial"/>
              </w:rPr>
              <w:t xml:space="preserve"> and above</w:t>
            </w:r>
          </w:p>
        </w:tc>
        <w:tc>
          <w:tcPr>
            <w:tcW w:w="4618" w:type="dxa"/>
          </w:tcPr>
          <w:p w14:paraId="189BE515" w14:textId="77777777" w:rsidR="0087427C" w:rsidRPr="00CF75EA" w:rsidRDefault="004A7A82" w:rsidP="0087427C">
            <w:pPr>
              <w:jc w:val="both"/>
              <w:rPr>
                <w:rFonts w:cs="Arial"/>
              </w:rPr>
            </w:pPr>
            <w:r w:rsidRPr="00CF75EA">
              <w:rPr>
                <w:rFonts w:cs="Arial"/>
              </w:rPr>
              <w:t>11.7%</w:t>
            </w:r>
          </w:p>
        </w:tc>
      </w:tr>
    </w:tbl>
    <w:p w14:paraId="12D07955" w14:textId="77777777" w:rsidR="0087427C" w:rsidRPr="00CF75EA" w:rsidRDefault="0087427C" w:rsidP="0087427C">
      <w:pPr>
        <w:jc w:val="both"/>
        <w:rPr>
          <w:rFonts w:cs="Arial"/>
        </w:rPr>
      </w:pPr>
    </w:p>
    <w:p w14:paraId="62CB70D1" w14:textId="77777777" w:rsidR="0087427C" w:rsidRPr="00CF75EA" w:rsidRDefault="004A7A82" w:rsidP="0087427C">
      <w:pPr>
        <w:ind w:left="720"/>
        <w:jc w:val="both"/>
        <w:rPr>
          <w:rFonts w:cs="Arial"/>
        </w:rPr>
      </w:pPr>
      <w:r w:rsidRPr="00CF75EA">
        <w:rPr>
          <w:rFonts w:cs="Arial"/>
        </w:rPr>
        <w:t xml:space="preserve">The current employer contribution rate, </w:t>
      </w:r>
      <w:r>
        <w:rPr>
          <w:rFonts w:cs="Arial"/>
        </w:rPr>
        <w:t xml:space="preserve">effective </w:t>
      </w:r>
      <w:r w:rsidRPr="00CF75EA">
        <w:rPr>
          <w:rFonts w:cs="Arial"/>
        </w:rPr>
        <w:t>from 1 September 2019, is 23.68% of contributory pay (this includes the administration levy of 0.08%).</w:t>
      </w:r>
    </w:p>
    <w:p w14:paraId="31B3F1F2" w14:textId="77777777" w:rsidR="0087427C" w:rsidRDefault="0087427C" w:rsidP="0087427C">
      <w:pPr>
        <w:jc w:val="both"/>
        <w:rPr>
          <w:rFonts w:cs="Arial"/>
          <w:b/>
        </w:rPr>
      </w:pPr>
    </w:p>
    <w:p w14:paraId="5F559998" w14:textId="77777777" w:rsidR="0087427C" w:rsidRPr="00CF75EA" w:rsidRDefault="0087427C" w:rsidP="0087427C">
      <w:pPr>
        <w:jc w:val="both"/>
        <w:rPr>
          <w:rFonts w:cs="Arial"/>
          <w:b/>
        </w:rPr>
      </w:pPr>
    </w:p>
    <w:p w14:paraId="71F23D66" w14:textId="77777777" w:rsidR="0087427C" w:rsidRPr="00CF75EA" w:rsidRDefault="004A7A82" w:rsidP="0087427C">
      <w:pPr>
        <w:ind w:left="720"/>
        <w:jc w:val="both"/>
        <w:rPr>
          <w:rFonts w:cs="Arial"/>
          <w:b/>
        </w:rPr>
      </w:pPr>
      <w:r w:rsidRPr="00CF75EA">
        <w:rPr>
          <w:rFonts w:cs="Arial"/>
          <w:b/>
        </w:rPr>
        <w:t xml:space="preserve">NHS Pension Scheme (applicable to those employees who </w:t>
      </w:r>
      <w:proofErr w:type="gramStart"/>
      <w:r w:rsidRPr="00CF75EA">
        <w:rPr>
          <w:rFonts w:cs="Arial"/>
          <w:b/>
        </w:rPr>
        <w:t>are able to</w:t>
      </w:r>
      <w:proofErr w:type="gramEnd"/>
      <w:r w:rsidRPr="00CF75EA">
        <w:rPr>
          <w:rFonts w:cs="Arial"/>
          <w:b/>
        </w:rPr>
        <w:t xml:space="preserve"> retain membership of the NHS Pension Scheme) – rates from 1 </w:t>
      </w:r>
      <w:r>
        <w:rPr>
          <w:rFonts w:cs="Arial"/>
          <w:b/>
        </w:rPr>
        <w:t>April 2023</w:t>
      </w:r>
      <w:r w:rsidRPr="00A54DB9">
        <w:rPr>
          <w:rFonts w:cs="Arial"/>
          <w:b/>
        </w:rPr>
        <w:t>.  The Department of Health and Social Care (DHSC) has introduced changes to the amounts that members pay towards their NHS pension.  These are being phased in in two stages</w:t>
      </w:r>
      <w:r>
        <w:rPr>
          <w:rFonts w:cs="Arial"/>
          <w:b/>
        </w:rPr>
        <w:t xml:space="preserve"> that </w:t>
      </w:r>
      <w:r w:rsidRPr="00A54DB9">
        <w:rPr>
          <w:rFonts w:cs="Arial"/>
          <w:b/>
        </w:rPr>
        <w:t>start</w:t>
      </w:r>
      <w:r>
        <w:rPr>
          <w:rFonts w:cs="Arial"/>
          <w:b/>
        </w:rPr>
        <w:t>ed</w:t>
      </w:r>
      <w:r w:rsidRPr="00A54DB9">
        <w:rPr>
          <w:rFonts w:cs="Arial"/>
          <w:b/>
        </w:rPr>
        <w:t xml:space="preserve"> on 1 October 2022</w:t>
      </w:r>
      <w:r>
        <w:rPr>
          <w:rFonts w:cs="Arial"/>
          <w:b/>
        </w:rPr>
        <w:t>,</w:t>
      </w:r>
      <w:r w:rsidRPr="00A54DB9">
        <w:rPr>
          <w:rFonts w:cs="Arial"/>
          <w:b/>
        </w:rPr>
        <w:t xml:space="preserve"> with further changes planned </w:t>
      </w:r>
      <w:r>
        <w:rPr>
          <w:rFonts w:cs="Arial"/>
          <w:b/>
        </w:rPr>
        <w:t>for a future date</w:t>
      </w:r>
      <w:r w:rsidRPr="00A54DB9">
        <w:rPr>
          <w:rFonts w:cs="Arial"/>
          <w:b/>
        </w:rPr>
        <w:t>.</w:t>
      </w:r>
    </w:p>
    <w:p w14:paraId="752A6272" w14:textId="77777777" w:rsidR="0087427C" w:rsidRDefault="0087427C" w:rsidP="0087427C">
      <w:pPr>
        <w:ind w:firstLine="720"/>
        <w:jc w:val="both"/>
        <w:rPr>
          <w:rFonts w:cs="Arial"/>
          <w:highlight w:val="green"/>
          <w:u w:val="single"/>
        </w:rPr>
      </w:pPr>
    </w:p>
    <w:p w14:paraId="39092F24" w14:textId="77777777" w:rsidR="004646EC" w:rsidRDefault="004646EC" w:rsidP="0087427C">
      <w:pPr>
        <w:ind w:firstLine="720"/>
        <w:jc w:val="both"/>
        <w:rPr>
          <w:rFonts w:cs="Arial"/>
          <w:highlight w:val="green"/>
          <w:u w:val="single"/>
        </w:rPr>
      </w:pPr>
    </w:p>
    <w:p w14:paraId="45D6A296" w14:textId="77777777" w:rsidR="004646EC" w:rsidRDefault="004646EC" w:rsidP="0087427C">
      <w:pPr>
        <w:ind w:firstLine="720"/>
        <w:jc w:val="both"/>
        <w:rPr>
          <w:rFonts w:cs="Arial"/>
          <w:highlight w:val="green"/>
          <w:u w:val="single"/>
        </w:rPr>
      </w:pPr>
    </w:p>
    <w:p w14:paraId="60DF0985" w14:textId="77777777" w:rsidR="004646EC" w:rsidRPr="00CF75EA" w:rsidRDefault="004646EC" w:rsidP="0087427C">
      <w:pPr>
        <w:ind w:firstLine="720"/>
        <w:jc w:val="both"/>
        <w:rPr>
          <w:rFonts w:cs="Arial"/>
          <w:highlight w:val="green"/>
          <w:u w:val="single"/>
        </w:rPr>
      </w:pPr>
    </w:p>
    <w:tbl>
      <w:tblPr>
        <w:tblStyle w:val="TableGrid"/>
        <w:tblW w:w="0" w:type="auto"/>
        <w:tblInd w:w="720" w:type="dxa"/>
        <w:tblLook w:val="04A0" w:firstRow="1" w:lastRow="0" w:firstColumn="1" w:lastColumn="0" w:noHBand="0" w:noVBand="1"/>
      </w:tblPr>
      <w:tblGrid>
        <w:gridCol w:w="2869"/>
        <w:gridCol w:w="2692"/>
        <w:gridCol w:w="2779"/>
      </w:tblGrid>
      <w:tr w:rsidR="00C92CD8" w14:paraId="6CEBEB7B" w14:textId="77777777" w:rsidTr="00C92CD8">
        <w:trPr>
          <w:cnfStyle w:val="100000000000" w:firstRow="1" w:lastRow="0" w:firstColumn="0" w:lastColumn="0" w:oddVBand="0" w:evenVBand="0" w:oddHBand="0" w:evenHBand="0" w:firstRowFirstColumn="0" w:firstRowLastColumn="0" w:lastRowFirstColumn="0" w:lastRowLastColumn="0"/>
        </w:trPr>
        <w:tc>
          <w:tcPr>
            <w:tcW w:w="2932" w:type="dxa"/>
          </w:tcPr>
          <w:p w14:paraId="760F9AEF" w14:textId="77777777" w:rsidR="0087427C" w:rsidRPr="005D48C6" w:rsidRDefault="004A7A82" w:rsidP="0087427C">
            <w:pPr>
              <w:pStyle w:val="BodyText"/>
              <w:jc w:val="both"/>
              <w:rPr>
                <w:b/>
                <w:bCs/>
              </w:rPr>
            </w:pPr>
            <w:r w:rsidRPr="005D48C6">
              <w:rPr>
                <w:b/>
                <w:bCs/>
              </w:rPr>
              <w:lastRenderedPageBreak/>
              <w:t>Pensionable</w:t>
            </w:r>
            <w:r>
              <w:rPr>
                <w:b/>
                <w:bCs/>
              </w:rPr>
              <w:t xml:space="preserve"> </w:t>
            </w:r>
            <w:r w:rsidRPr="005D48C6">
              <w:rPr>
                <w:b/>
                <w:bCs/>
              </w:rPr>
              <w:t xml:space="preserve">salary </w:t>
            </w:r>
            <w:proofErr w:type="gramStart"/>
            <w:r w:rsidRPr="005D48C6">
              <w:rPr>
                <w:b/>
                <w:bCs/>
              </w:rPr>
              <w:t>range</w:t>
            </w:r>
            <w:proofErr w:type="gramEnd"/>
            <w:r w:rsidRPr="005D48C6">
              <w:rPr>
                <w:b/>
                <w:bCs/>
              </w:rPr>
              <w:t xml:space="preserve"> from 1 </w:t>
            </w:r>
            <w:r>
              <w:rPr>
                <w:b/>
                <w:bCs/>
              </w:rPr>
              <w:t>April 2023</w:t>
            </w:r>
          </w:p>
        </w:tc>
        <w:tc>
          <w:tcPr>
            <w:tcW w:w="2745" w:type="dxa"/>
          </w:tcPr>
          <w:p w14:paraId="4FB7B5D7" w14:textId="77777777" w:rsidR="0087427C" w:rsidRPr="005D48C6" w:rsidRDefault="004A7A82" w:rsidP="0087427C">
            <w:pPr>
              <w:pStyle w:val="BodyText"/>
              <w:jc w:val="both"/>
              <w:rPr>
                <w:b/>
                <w:bCs/>
              </w:rPr>
            </w:pPr>
            <w:r w:rsidRPr="005D48C6">
              <w:rPr>
                <w:b/>
                <w:bCs/>
              </w:rPr>
              <w:t>Contribution rate</w:t>
            </w:r>
            <w:r>
              <w:rPr>
                <w:b/>
                <w:bCs/>
              </w:rPr>
              <w:t>s</w:t>
            </w:r>
            <w:r w:rsidRPr="005D48C6">
              <w:rPr>
                <w:b/>
                <w:bCs/>
              </w:rPr>
              <w:t xml:space="preserve"> from 1 </w:t>
            </w:r>
            <w:r>
              <w:rPr>
                <w:b/>
                <w:bCs/>
              </w:rPr>
              <w:t>April 2023</w:t>
            </w:r>
          </w:p>
        </w:tc>
        <w:tc>
          <w:tcPr>
            <w:tcW w:w="2839" w:type="dxa"/>
          </w:tcPr>
          <w:p w14:paraId="55C7CC0D" w14:textId="77777777" w:rsidR="0087427C" w:rsidRPr="005D48C6" w:rsidRDefault="004A7A82" w:rsidP="0087427C">
            <w:pPr>
              <w:pStyle w:val="BodyText"/>
              <w:jc w:val="both"/>
              <w:rPr>
                <w:b/>
                <w:bCs/>
              </w:rPr>
            </w:pPr>
            <w:r w:rsidRPr="005D48C6">
              <w:rPr>
                <w:b/>
                <w:bCs/>
              </w:rPr>
              <w:t>Future planned contribution rates (based on actual annual pensionable pay)</w:t>
            </w:r>
          </w:p>
        </w:tc>
      </w:tr>
      <w:tr w:rsidR="00C92CD8" w14:paraId="4246558B" w14:textId="77777777" w:rsidTr="00C92CD8">
        <w:trPr>
          <w:cnfStyle w:val="000000100000" w:firstRow="0" w:lastRow="0" w:firstColumn="0" w:lastColumn="0" w:oddVBand="0" w:evenVBand="0" w:oddHBand="1" w:evenHBand="0" w:firstRowFirstColumn="0" w:firstRowLastColumn="0" w:lastRowFirstColumn="0" w:lastRowLastColumn="0"/>
        </w:trPr>
        <w:tc>
          <w:tcPr>
            <w:tcW w:w="2932" w:type="dxa"/>
          </w:tcPr>
          <w:p w14:paraId="31B5C8F1" w14:textId="77777777" w:rsidR="0087427C" w:rsidRPr="005D48C6" w:rsidRDefault="004A7A82" w:rsidP="0087427C">
            <w:pPr>
              <w:jc w:val="both"/>
              <w:rPr>
                <w:rFonts w:cs="Arial"/>
              </w:rPr>
            </w:pPr>
            <w:r>
              <w:rPr>
                <w:rFonts w:cs="Arial"/>
              </w:rPr>
              <w:t>Up to £13,246</w:t>
            </w:r>
          </w:p>
        </w:tc>
        <w:tc>
          <w:tcPr>
            <w:tcW w:w="2745" w:type="dxa"/>
          </w:tcPr>
          <w:p w14:paraId="25EA97C0" w14:textId="77777777" w:rsidR="0087427C" w:rsidRPr="005D48C6" w:rsidRDefault="004A7A82" w:rsidP="0087427C">
            <w:pPr>
              <w:jc w:val="both"/>
              <w:rPr>
                <w:rFonts w:cs="Arial"/>
              </w:rPr>
            </w:pPr>
            <w:r w:rsidRPr="005D48C6">
              <w:rPr>
                <w:rFonts w:cs="Arial"/>
              </w:rPr>
              <w:t>5.1%</w:t>
            </w:r>
          </w:p>
        </w:tc>
        <w:tc>
          <w:tcPr>
            <w:tcW w:w="2839" w:type="dxa"/>
          </w:tcPr>
          <w:p w14:paraId="33CC5E31" w14:textId="77777777" w:rsidR="0087427C" w:rsidRPr="005D48C6" w:rsidRDefault="004A7A82" w:rsidP="0087427C">
            <w:pPr>
              <w:jc w:val="both"/>
              <w:rPr>
                <w:rFonts w:cs="Arial"/>
              </w:rPr>
            </w:pPr>
            <w:r>
              <w:rPr>
                <w:rFonts w:cs="Arial"/>
              </w:rPr>
              <w:t>5.2%</w:t>
            </w:r>
          </w:p>
        </w:tc>
      </w:tr>
      <w:tr w:rsidR="00C92CD8" w14:paraId="75ED4941" w14:textId="77777777" w:rsidTr="00C92CD8">
        <w:trPr>
          <w:cnfStyle w:val="000000010000" w:firstRow="0" w:lastRow="0" w:firstColumn="0" w:lastColumn="0" w:oddVBand="0" w:evenVBand="0" w:oddHBand="0" w:evenHBand="1" w:firstRowFirstColumn="0" w:firstRowLastColumn="0" w:lastRowFirstColumn="0" w:lastRowLastColumn="0"/>
        </w:trPr>
        <w:tc>
          <w:tcPr>
            <w:tcW w:w="2932" w:type="dxa"/>
          </w:tcPr>
          <w:p w14:paraId="1F4C83E0" w14:textId="77777777" w:rsidR="0087427C" w:rsidRPr="005D48C6" w:rsidRDefault="004A7A82" w:rsidP="0087427C">
            <w:pPr>
              <w:jc w:val="both"/>
              <w:rPr>
                <w:rFonts w:cs="Arial"/>
              </w:rPr>
            </w:pPr>
            <w:r>
              <w:rPr>
                <w:rFonts w:cs="Arial"/>
              </w:rPr>
              <w:t>£13,247 to £17,673</w:t>
            </w:r>
          </w:p>
        </w:tc>
        <w:tc>
          <w:tcPr>
            <w:tcW w:w="2745" w:type="dxa"/>
          </w:tcPr>
          <w:p w14:paraId="556BDBB3" w14:textId="77777777" w:rsidR="0087427C" w:rsidRPr="005D48C6" w:rsidRDefault="004A7A82" w:rsidP="0087427C">
            <w:pPr>
              <w:jc w:val="both"/>
              <w:rPr>
                <w:rFonts w:cs="Arial"/>
              </w:rPr>
            </w:pPr>
            <w:r w:rsidRPr="005D48C6">
              <w:rPr>
                <w:rFonts w:cs="Arial"/>
              </w:rPr>
              <w:t>5.7%</w:t>
            </w:r>
          </w:p>
        </w:tc>
        <w:tc>
          <w:tcPr>
            <w:tcW w:w="2839" w:type="dxa"/>
          </w:tcPr>
          <w:p w14:paraId="25D84C21" w14:textId="77777777" w:rsidR="0087427C" w:rsidRPr="005D48C6" w:rsidRDefault="004A7A82" w:rsidP="0087427C">
            <w:pPr>
              <w:jc w:val="both"/>
              <w:rPr>
                <w:rFonts w:cs="Arial"/>
              </w:rPr>
            </w:pPr>
            <w:r>
              <w:rPr>
                <w:rFonts w:cs="Arial"/>
              </w:rPr>
              <w:t>6.5%</w:t>
            </w:r>
          </w:p>
        </w:tc>
      </w:tr>
      <w:tr w:rsidR="00C92CD8" w14:paraId="7CA1F401" w14:textId="77777777" w:rsidTr="00C92CD8">
        <w:trPr>
          <w:cnfStyle w:val="000000100000" w:firstRow="0" w:lastRow="0" w:firstColumn="0" w:lastColumn="0" w:oddVBand="0" w:evenVBand="0" w:oddHBand="1" w:evenHBand="0" w:firstRowFirstColumn="0" w:firstRowLastColumn="0" w:lastRowFirstColumn="0" w:lastRowLastColumn="0"/>
        </w:trPr>
        <w:tc>
          <w:tcPr>
            <w:tcW w:w="2932" w:type="dxa"/>
          </w:tcPr>
          <w:p w14:paraId="2B203674" w14:textId="77777777" w:rsidR="0087427C" w:rsidRPr="005D48C6" w:rsidRDefault="004A7A82" w:rsidP="0087427C">
            <w:pPr>
              <w:jc w:val="both"/>
              <w:rPr>
                <w:rFonts w:cs="Arial"/>
              </w:rPr>
            </w:pPr>
            <w:r>
              <w:rPr>
                <w:rFonts w:cs="Arial"/>
              </w:rPr>
              <w:t>£17,674 to £24,022</w:t>
            </w:r>
          </w:p>
        </w:tc>
        <w:tc>
          <w:tcPr>
            <w:tcW w:w="2745" w:type="dxa"/>
          </w:tcPr>
          <w:p w14:paraId="0DD5D317" w14:textId="77777777" w:rsidR="0087427C" w:rsidRPr="005D48C6" w:rsidRDefault="004A7A82" w:rsidP="0087427C">
            <w:pPr>
              <w:jc w:val="both"/>
              <w:rPr>
                <w:rFonts w:cs="Arial"/>
              </w:rPr>
            </w:pPr>
            <w:r w:rsidRPr="005D48C6">
              <w:rPr>
                <w:rFonts w:cs="Arial"/>
              </w:rPr>
              <w:t>6.1%</w:t>
            </w:r>
          </w:p>
        </w:tc>
        <w:tc>
          <w:tcPr>
            <w:tcW w:w="2839" w:type="dxa"/>
          </w:tcPr>
          <w:p w14:paraId="5F0FCFC0" w14:textId="77777777" w:rsidR="0087427C" w:rsidRPr="005D48C6" w:rsidRDefault="004A7A82" w:rsidP="0087427C">
            <w:pPr>
              <w:jc w:val="both"/>
              <w:rPr>
                <w:rFonts w:cs="Arial"/>
              </w:rPr>
            </w:pPr>
            <w:r>
              <w:rPr>
                <w:rFonts w:cs="Arial"/>
              </w:rPr>
              <w:t>6.5%</w:t>
            </w:r>
          </w:p>
        </w:tc>
      </w:tr>
      <w:tr w:rsidR="00C92CD8" w14:paraId="4EC6136B" w14:textId="77777777" w:rsidTr="00C92CD8">
        <w:trPr>
          <w:cnfStyle w:val="000000010000" w:firstRow="0" w:lastRow="0" w:firstColumn="0" w:lastColumn="0" w:oddVBand="0" w:evenVBand="0" w:oddHBand="0" w:evenHBand="1" w:firstRowFirstColumn="0" w:firstRowLastColumn="0" w:lastRowFirstColumn="0" w:lastRowLastColumn="0"/>
        </w:trPr>
        <w:tc>
          <w:tcPr>
            <w:tcW w:w="2932" w:type="dxa"/>
          </w:tcPr>
          <w:p w14:paraId="6C1AC2D8" w14:textId="77777777" w:rsidR="0087427C" w:rsidRPr="005D48C6" w:rsidRDefault="004A7A82" w:rsidP="0087427C">
            <w:pPr>
              <w:jc w:val="both"/>
              <w:rPr>
                <w:rFonts w:cs="Arial"/>
              </w:rPr>
            </w:pPr>
            <w:r>
              <w:rPr>
                <w:rFonts w:cs="Arial"/>
              </w:rPr>
              <w:t>£24,023 to £25,146</w:t>
            </w:r>
          </w:p>
        </w:tc>
        <w:tc>
          <w:tcPr>
            <w:tcW w:w="2745" w:type="dxa"/>
          </w:tcPr>
          <w:p w14:paraId="59B1DBAB" w14:textId="77777777" w:rsidR="0087427C" w:rsidRPr="005D48C6" w:rsidRDefault="004A7A82" w:rsidP="0087427C">
            <w:pPr>
              <w:jc w:val="both"/>
              <w:rPr>
                <w:rFonts w:cs="Arial"/>
              </w:rPr>
            </w:pPr>
            <w:r w:rsidRPr="005D48C6">
              <w:rPr>
                <w:rFonts w:cs="Arial"/>
              </w:rPr>
              <w:t>6.8%</w:t>
            </w:r>
          </w:p>
        </w:tc>
        <w:tc>
          <w:tcPr>
            <w:tcW w:w="2839" w:type="dxa"/>
          </w:tcPr>
          <w:p w14:paraId="17450B10" w14:textId="77777777" w:rsidR="0087427C" w:rsidRPr="005D48C6" w:rsidRDefault="004A7A82" w:rsidP="0087427C">
            <w:pPr>
              <w:jc w:val="both"/>
              <w:rPr>
                <w:rFonts w:cs="Arial"/>
              </w:rPr>
            </w:pPr>
            <w:r>
              <w:rPr>
                <w:rFonts w:cs="Arial"/>
              </w:rPr>
              <w:t>6.5%</w:t>
            </w:r>
          </w:p>
        </w:tc>
      </w:tr>
      <w:tr w:rsidR="00C92CD8" w14:paraId="133D3A22" w14:textId="77777777" w:rsidTr="00C92CD8">
        <w:trPr>
          <w:cnfStyle w:val="000000100000" w:firstRow="0" w:lastRow="0" w:firstColumn="0" w:lastColumn="0" w:oddVBand="0" w:evenVBand="0" w:oddHBand="1" w:evenHBand="0" w:firstRowFirstColumn="0" w:firstRowLastColumn="0" w:lastRowFirstColumn="0" w:lastRowLastColumn="0"/>
        </w:trPr>
        <w:tc>
          <w:tcPr>
            <w:tcW w:w="2932" w:type="dxa"/>
          </w:tcPr>
          <w:p w14:paraId="1FE3C8F7" w14:textId="77777777" w:rsidR="0087427C" w:rsidRPr="005D48C6" w:rsidRDefault="004A7A82" w:rsidP="0087427C">
            <w:pPr>
              <w:jc w:val="both"/>
              <w:rPr>
                <w:rFonts w:cs="Arial"/>
              </w:rPr>
            </w:pPr>
            <w:r w:rsidRPr="005D48C6">
              <w:rPr>
                <w:rFonts w:cs="Arial"/>
              </w:rPr>
              <w:t>£2</w:t>
            </w:r>
            <w:r>
              <w:rPr>
                <w:rFonts w:cs="Arial"/>
              </w:rPr>
              <w:t>5,147</w:t>
            </w:r>
            <w:r w:rsidRPr="005D48C6">
              <w:rPr>
                <w:rFonts w:cs="Arial"/>
              </w:rPr>
              <w:t xml:space="preserve"> to £2</w:t>
            </w:r>
            <w:r>
              <w:rPr>
                <w:rFonts w:cs="Arial"/>
              </w:rPr>
              <w:t>9,635</w:t>
            </w:r>
          </w:p>
        </w:tc>
        <w:tc>
          <w:tcPr>
            <w:tcW w:w="2745" w:type="dxa"/>
          </w:tcPr>
          <w:p w14:paraId="00A15E16" w14:textId="77777777" w:rsidR="0087427C" w:rsidRPr="005D48C6" w:rsidRDefault="004A7A82" w:rsidP="0087427C">
            <w:pPr>
              <w:jc w:val="both"/>
              <w:rPr>
                <w:rFonts w:cs="Arial"/>
              </w:rPr>
            </w:pPr>
            <w:r w:rsidRPr="005D48C6">
              <w:rPr>
                <w:rFonts w:cs="Arial"/>
              </w:rPr>
              <w:t>7.7%</w:t>
            </w:r>
          </w:p>
        </w:tc>
        <w:tc>
          <w:tcPr>
            <w:tcW w:w="2839" w:type="dxa"/>
          </w:tcPr>
          <w:p w14:paraId="49A327DE" w14:textId="77777777" w:rsidR="0087427C" w:rsidRPr="005D48C6" w:rsidRDefault="004A7A82" w:rsidP="0087427C">
            <w:pPr>
              <w:jc w:val="both"/>
              <w:rPr>
                <w:rFonts w:cs="Arial"/>
              </w:rPr>
            </w:pPr>
            <w:r w:rsidRPr="005D48C6">
              <w:rPr>
                <w:rFonts w:cs="Arial"/>
              </w:rPr>
              <w:t>8.3%</w:t>
            </w:r>
          </w:p>
        </w:tc>
      </w:tr>
      <w:tr w:rsidR="00C92CD8" w14:paraId="4DDE1121" w14:textId="77777777" w:rsidTr="00C92CD8">
        <w:trPr>
          <w:cnfStyle w:val="000000010000" w:firstRow="0" w:lastRow="0" w:firstColumn="0" w:lastColumn="0" w:oddVBand="0" w:evenVBand="0" w:oddHBand="0" w:evenHBand="1" w:firstRowFirstColumn="0" w:firstRowLastColumn="0" w:lastRowFirstColumn="0" w:lastRowLastColumn="0"/>
        </w:trPr>
        <w:tc>
          <w:tcPr>
            <w:tcW w:w="2932" w:type="dxa"/>
          </w:tcPr>
          <w:p w14:paraId="2EEBD80F" w14:textId="77777777" w:rsidR="0087427C" w:rsidRPr="005D48C6" w:rsidRDefault="004A7A82" w:rsidP="0087427C">
            <w:pPr>
              <w:jc w:val="both"/>
              <w:rPr>
                <w:rFonts w:cs="Arial"/>
              </w:rPr>
            </w:pPr>
            <w:r w:rsidRPr="005D48C6">
              <w:rPr>
                <w:rFonts w:cs="Arial"/>
              </w:rPr>
              <w:t>£2</w:t>
            </w:r>
            <w:r>
              <w:rPr>
                <w:rFonts w:cs="Arial"/>
              </w:rPr>
              <w:t>9,636</w:t>
            </w:r>
            <w:r w:rsidRPr="005D48C6">
              <w:rPr>
                <w:rFonts w:cs="Arial"/>
              </w:rPr>
              <w:t xml:space="preserve"> to £</w:t>
            </w:r>
            <w:r>
              <w:rPr>
                <w:rFonts w:cs="Arial"/>
              </w:rPr>
              <w:t>30,638</w:t>
            </w:r>
          </w:p>
        </w:tc>
        <w:tc>
          <w:tcPr>
            <w:tcW w:w="2745" w:type="dxa"/>
          </w:tcPr>
          <w:p w14:paraId="28CC89A6" w14:textId="77777777" w:rsidR="0087427C" w:rsidRPr="005D48C6" w:rsidRDefault="004A7A82" w:rsidP="0087427C">
            <w:pPr>
              <w:jc w:val="both"/>
              <w:rPr>
                <w:rFonts w:cs="Arial"/>
              </w:rPr>
            </w:pPr>
            <w:r w:rsidRPr="005D48C6">
              <w:rPr>
                <w:rFonts w:cs="Arial"/>
              </w:rPr>
              <w:t>8.8%</w:t>
            </w:r>
          </w:p>
        </w:tc>
        <w:tc>
          <w:tcPr>
            <w:tcW w:w="2839" w:type="dxa"/>
          </w:tcPr>
          <w:p w14:paraId="49C962BF" w14:textId="77777777" w:rsidR="0087427C" w:rsidRPr="005D48C6" w:rsidRDefault="004A7A82" w:rsidP="0087427C">
            <w:pPr>
              <w:jc w:val="both"/>
              <w:rPr>
                <w:rFonts w:cs="Arial"/>
              </w:rPr>
            </w:pPr>
            <w:r w:rsidRPr="005D48C6">
              <w:rPr>
                <w:rFonts w:cs="Arial"/>
              </w:rPr>
              <w:t>8.3%</w:t>
            </w:r>
          </w:p>
        </w:tc>
      </w:tr>
      <w:tr w:rsidR="00C92CD8" w14:paraId="4706C8B8" w14:textId="77777777" w:rsidTr="00C92CD8">
        <w:trPr>
          <w:cnfStyle w:val="000000100000" w:firstRow="0" w:lastRow="0" w:firstColumn="0" w:lastColumn="0" w:oddVBand="0" w:evenVBand="0" w:oddHBand="1" w:evenHBand="0" w:firstRowFirstColumn="0" w:firstRowLastColumn="0" w:lastRowFirstColumn="0" w:lastRowLastColumn="0"/>
        </w:trPr>
        <w:tc>
          <w:tcPr>
            <w:tcW w:w="2932" w:type="dxa"/>
          </w:tcPr>
          <w:p w14:paraId="5B43ED5D" w14:textId="77777777" w:rsidR="0087427C" w:rsidRPr="005D48C6" w:rsidRDefault="004A7A82" w:rsidP="0087427C">
            <w:pPr>
              <w:jc w:val="both"/>
              <w:rPr>
                <w:rFonts w:cs="Arial"/>
              </w:rPr>
            </w:pPr>
            <w:r w:rsidRPr="005D48C6">
              <w:rPr>
                <w:rFonts w:cs="Arial"/>
              </w:rPr>
              <w:t>£</w:t>
            </w:r>
            <w:r>
              <w:rPr>
                <w:rFonts w:cs="Arial"/>
              </w:rPr>
              <w:t>30,639</w:t>
            </w:r>
            <w:r w:rsidRPr="005D48C6">
              <w:rPr>
                <w:rFonts w:cs="Arial"/>
              </w:rPr>
              <w:t xml:space="preserve"> to £4</w:t>
            </w:r>
            <w:r>
              <w:rPr>
                <w:rFonts w:cs="Arial"/>
              </w:rPr>
              <w:t>5,996</w:t>
            </w:r>
          </w:p>
        </w:tc>
        <w:tc>
          <w:tcPr>
            <w:tcW w:w="2745" w:type="dxa"/>
          </w:tcPr>
          <w:p w14:paraId="57F5E279" w14:textId="77777777" w:rsidR="0087427C" w:rsidRPr="005D48C6" w:rsidRDefault="004A7A82" w:rsidP="0087427C">
            <w:pPr>
              <w:jc w:val="both"/>
              <w:rPr>
                <w:rFonts w:cs="Arial"/>
              </w:rPr>
            </w:pPr>
            <w:r w:rsidRPr="005D48C6">
              <w:rPr>
                <w:rFonts w:cs="Arial"/>
              </w:rPr>
              <w:t>9.8%</w:t>
            </w:r>
          </w:p>
        </w:tc>
        <w:tc>
          <w:tcPr>
            <w:tcW w:w="2839" w:type="dxa"/>
          </w:tcPr>
          <w:p w14:paraId="0EFE260F" w14:textId="77777777" w:rsidR="0087427C" w:rsidRPr="005D48C6" w:rsidRDefault="004A7A82" w:rsidP="0087427C">
            <w:pPr>
              <w:jc w:val="both"/>
              <w:rPr>
                <w:rFonts w:cs="Arial"/>
              </w:rPr>
            </w:pPr>
            <w:r w:rsidRPr="005D48C6">
              <w:rPr>
                <w:rFonts w:cs="Arial"/>
              </w:rPr>
              <w:t>9.</w:t>
            </w:r>
            <w:r>
              <w:rPr>
                <w:rFonts w:cs="Arial"/>
              </w:rPr>
              <w:t>8</w:t>
            </w:r>
            <w:r w:rsidRPr="005D48C6">
              <w:rPr>
                <w:rFonts w:cs="Arial"/>
              </w:rPr>
              <w:t>%</w:t>
            </w:r>
          </w:p>
        </w:tc>
      </w:tr>
      <w:tr w:rsidR="00C92CD8" w14:paraId="51EEA990" w14:textId="77777777" w:rsidTr="00C92CD8">
        <w:trPr>
          <w:cnfStyle w:val="000000010000" w:firstRow="0" w:lastRow="0" w:firstColumn="0" w:lastColumn="0" w:oddVBand="0" w:evenVBand="0" w:oddHBand="0" w:evenHBand="1" w:firstRowFirstColumn="0" w:firstRowLastColumn="0" w:lastRowFirstColumn="0" w:lastRowLastColumn="0"/>
        </w:trPr>
        <w:tc>
          <w:tcPr>
            <w:tcW w:w="2932" w:type="dxa"/>
          </w:tcPr>
          <w:p w14:paraId="6A4F0851" w14:textId="77777777" w:rsidR="0087427C" w:rsidRPr="005D48C6" w:rsidRDefault="004A7A82" w:rsidP="0087427C">
            <w:pPr>
              <w:jc w:val="both"/>
              <w:rPr>
                <w:rFonts w:cs="Arial"/>
              </w:rPr>
            </w:pPr>
            <w:r w:rsidRPr="005D48C6">
              <w:rPr>
                <w:rFonts w:cs="Arial"/>
              </w:rPr>
              <w:t>£4</w:t>
            </w:r>
            <w:r>
              <w:rPr>
                <w:rFonts w:cs="Arial"/>
              </w:rPr>
              <w:t>5,997</w:t>
            </w:r>
            <w:r w:rsidRPr="005D48C6">
              <w:rPr>
                <w:rFonts w:cs="Arial"/>
              </w:rPr>
              <w:t xml:space="preserve"> to £</w:t>
            </w:r>
            <w:r>
              <w:rPr>
                <w:rFonts w:cs="Arial"/>
              </w:rPr>
              <w:t>51,708</w:t>
            </w:r>
          </w:p>
        </w:tc>
        <w:tc>
          <w:tcPr>
            <w:tcW w:w="2745" w:type="dxa"/>
          </w:tcPr>
          <w:p w14:paraId="74FF0495" w14:textId="77777777" w:rsidR="0087427C" w:rsidRPr="005D48C6" w:rsidRDefault="004A7A82" w:rsidP="0087427C">
            <w:pPr>
              <w:jc w:val="both"/>
              <w:rPr>
                <w:rFonts w:cs="Arial"/>
              </w:rPr>
            </w:pPr>
            <w:r w:rsidRPr="005D48C6">
              <w:rPr>
                <w:rFonts w:cs="Arial"/>
              </w:rPr>
              <w:t>10%</w:t>
            </w:r>
          </w:p>
        </w:tc>
        <w:tc>
          <w:tcPr>
            <w:tcW w:w="2839" w:type="dxa"/>
          </w:tcPr>
          <w:p w14:paraId="765FBD50" w14:textId="77777777" w:rsidR="0087427C" w:rsidRPr="005D48C6" w:rsidRDefault="004A7A82" w:rsidP="0087427C">
            <w:pPr>
              <w:jc w:val="both"/>
              <w:rPr>
                <w:rFonts w:cs="Arial"/>
              </w:rPr>
            </w:pPr>
            <w:r w:rsidRPr="005D48C6">
              <w:rPr>
                <w:rFonts w:cs="Arial"/>
              </w:rPr>
              <w:t>10.7%</w:t>
            </w:r>
          </w:p>
        </w:tc>
      </w:tr>
      <w:tr w:rsidR="00C92CD8" w14:paraId="7A80BCA6" w14:textId="77777777" w:rsidTr="00C92CD8">
        <w:trPr>
          <w:cnfStyle w:val="000000100000" w:firstRow="0" w:lastRow="0" w:firstColumn="0" w:lastColumn="0" w:oddVBand="0" w:evenVBand="0" w:oddHBand="1" w:evenHBand="0" w:firstRowFirstColumn="0" w:firstRowLastColumn="0" w:lastRowFirstColumn="0" w:lastRowLastColumn="0"/>
        </w:trPr>
        <w:tc>
          <w:tcPr>
            <w:tcW w:w="2932" w:type="dxa"/>
          </w:tcPr>
          <w:p w14:paraId="4BEBCAC2" w14:textId="77777777" w:rsidR="0087427C" w:rsidRPr="005D48C6" w:rsidRDefault="004A7A82" w:rsidP="0087427C">
            <w:pPr>
              <w:jc w:val="both"/>
              <w:rPr>
                <w:rFonts w:cs="Arial"/>
              </w:rPr>
            </w:pPr>
            <w:r w:rsidRPr="005D48C6">
              <w:rPr>
                <w:rFonts w:cs="Arial"/>
              </w:rPr>
              <w:t>£</w:t>
            </w:r>
            <w:r>
              <w:rPr>
                <w:rFonts w:cs="Arial"/>
              </w:rPr>
              <w:t>51,709</w:t>
            </w:r>
            <w:r w:rsidRPr="005D48C6">
              <w:rPr>
                <w:rFonts w:cs="Arial"/>
              </w:rPr>
              <w:t xml:space="preserve"> to £5</w:t>
            </w:r>
            <w:r>
              <w:rPr>
                <w:rFonts w:cs="Arial"/>
              </w:rPr>
              <w:t>8,972</w:t>
            </w:r>
          </w:p>
        </w:tc>
        <w:tc>
          <w:tcPr>
            <w:tcW w:w="2745" w:type="dxa"/>
          </w:tcPr>
          <w:p w14:paraId="2FCE5F53" w14:textId="77777777" w:rsidR="0087427C" w:rsidRPr="005D48C6" w:rsidRDefault="004A7A82" w:rsidP="0087427C">
            <w:pPr>
              <w:jc w:val="both"/>
              <w:rPr>
                <w:rFonts w:cs="Arial"/>
              </w:rPr>
            </w:pPr>
            <w:r w:rsidRPr="005D48C6">
              <w:rPr>
                <w:rFonts w:cs="Arial"/>
              </w:rPr>
              <w:t>11.6%</w:t>
            </w:r>
          </w:p>
        </w:tc>
        <w:tc>
          <w:tcPr>
            <w:tcW w:w="2839" w:type="dxa"/>
          </w:tcPr>
          <w:p w14:paraId="1B2BCDBE" w14:textId="77777777" w:rsidR="0087427C" w:rsidRPr="005D48C6" w:rsidRDefault="004A7A82" w:rsidP="0087427C">
            <w:pPr>
              <w:jc w:val="both"/>
              <w:rPr>
                <w:rFonts w:cs="Arial"/>
              </w:rPr>
            </w:pPr>
            <w:r w:rsidRPr="005D48C6">
              <w:rPr>
                <w:rFonts w:cs="Arial"/>
              </w:rPr>
              <w:t>10.7%</w:t>
            </w:r>
          </w:p>
        </w:tc>
      </w:tr>
      <w:tr w:rsidR="00C92CD8" w14:paraId="445C4B1C" w14:textId="77777777" w:rsidTr="00C92CD8">
        <w:trPr>
          <w:cnfStyle w:val="000000010000" w:firstRow="0" w:lastRow="0" w:firstColumn="0" w:lastColumn="0" w:oddVBand="0" w:evenVBand="0" w:oddHBand="0" w:evenHBand="1" w:firstRowFirstColumn="0" w:firstRowLastColumn="0" w:lastRowFirstColumn="0" w:lastRowLastColumn="0"/>
        </w:trPr>
        <w:tc>
          <w:tcPr>
            <w:tcW w:w="2932" w:type="dxa"/>
          </w:tcPr>
          <w:p w14:paraId="37D22936" w14:textId="77777777" w:rsidR="0087427C" w:rsidRPr="005D48C6" w:rsidRDefault="004A7A82" w:rsidP="0087427C">
            <w:pPr>
              <w:jc w:val="both"/>
              <w:rPr>
                <w:rFonts w:cs="Arial"/>
              </w:rPr>
            </w:pPr>
            <w:r w:rsidRPr="005D48C6">
              <w:rPr>
                <w:rFonts w:cs="Arial"/>
              </w:rPr>
              <w:t>£5</w:t>
            </w:r>
            <w:r>
              <w:rPr>
                <w:rFonts w:cs="Arial"/>
              </w:rPr>
              <w:t>8,973</w:t>
            </w:r>
            <w:r w:rsidRPr="005D48C6">
              <w:rPr>
                <w:rFonts w:cs="Arial"/>
              </w:rPr>
              <w:t xml:space="preserve"> to £7</w:t>
            </w:r>
            <w:r>
              <w:rPr>
                <w:rFonts w:cs="Arial"/>
              </w:rPr>
              <w:t>5,632</w:t>
            </w:r>
          </w:p>
        </w:tc>
        <w:tc>
          <w:tcPr>
            <w:tcW w:w="2745" w:type="dxa"/>
          </w:tcPr>
          <w:p w14:paraId="1483CEAB" w14:textId="77777777" w:rsidR="0087427C" w:rsidRPr="005D48C6" w:rsidRDefault="004A7A82" w:rsidP="0087427C">
            <w:pPr>
              <w:jc w:val="both"/>
              <w:rPr>
                <w:rFonts w:cs="Arial"/>
              </w:rPr>
            </w:pPr>
            <w:r w:rsidRPr="005D48C6">
              <w:rPr>
                <w:rFonts w:cs="Arial"/>
              </w:rPr>
              <w:t>12.5%</w:t>
            </w:r>
          </w:p>
        </w:tc>
        <w:tc>
          <w:tcPr>
            <w:tcW w:w="2839" w:type="dxa"/>
          </w:tcPr>
          <w:p w14:paraId="1F9C25A1" w14:textId="77777777" w:rsidR="0087427C" w:rsidRPr="005D48C6" w:rsidRDefault="004A7A82" w:rsidP="0087427C">
            <w:pPr>
              <w:jc w:val="both"/>
              <w:rPr>
                <w:rFonts w:cs="Arial"/>
              </w:rPr>
            </w:pPr>
            <w:r w:rsidRPr="005D48C6">
              <w:rPr>
                <w:rFonts w:cs="Arial"/>
              </w:rPr>
              <w:t>12.5%</w:t>
            </w:r>
          </w:p>
        </w:tc>
      </w:tr>
      <w:tr w:rsidR="00C92CD8" w14:paraId="714CF99B" w14:textId="77777777" w:rsidTr="00C92CD8">
        <w:trPr>
          <w:cnfStyle w:val="000000100000" w:firstRow="0" w:lastRow="0" w:firstColumn="0" w:lastColumn="0" w:oddVBand="0" w:evenVBand="0" w:oddHBand="1" w:evenHBand="0" w:firstRowFirstColumn="0" w:firstRowLastColumn="0" w:lastRowFirstColumn="0" w:lastRowLastColumn="0"/>
        </w:trPr>
        <w:tc>
          <w:tcPr>
            <w:tcW w:w="2932" w:type="dxa"/>
          </w:tcPr>
          <w:p w14:paraId="23BA3ECD" w14:textId="77777777" w:rsidR="0087427C" w:rsidRPr="005D48C6" w:rsidRDefault="004A7A82" w:rsidP="0087427C">
            <w:pPr>
              <w:jc w:val="both"/>
              <w:rPr>
                <w:rFonts w:cs="Arial"/>
              </w:rPr>
            </w:pPr>
            <w:r w:rsidRPr="005D48C6">
              <w:rPr>
                <w:rFonts w:cs="Arial"/>
              </w:rPr>
              <w:t>£7</w:t>
            </w:r>
            <w:r>
              <w:rPr>
                <w:rFonts w:cs="Arial"/>
              </w:rPr>
              <w:t>5,633</w:t>
            </w:r>
            <w:r w:rsidRPr="005D48C6">
              <w:rPr>
                <w:rFonts w:cs="Arial"/>
              </w:rPr>
              <w:t xml:space="preserve"> and above</w:t>
            </w:r>
          </w:p>
        </w:tc>
        <w:tc>
          <w:tcPr>
            <w:tcW w:w="2745" w:type="dxa"/>
          </w:tcPr>
          <w:p w14:paraId="3B07F8D8" w14:textId="77777777" w:rsidR="0087427C" w:rsidRPr="005D48C6" w:rsidRDefault="004A7A82" w:rsidP="0087427C">
            <w:pPr>
              <w:jc w:val="both"/>
              <w:rPr>
                <w:rFonts w:cs="Arial"/>
              </w:rPr>
            </w:pPr>
            <w:r w:rsidRPr="005D48C6">
              <w:rPr>
                <w:rFonts w:cs="Arial"/>
              </w:rPr>
              <w:t>13.5%</w:t>
            </w:r>
          </w:p>
        </w:tc>
        <w:tc>
          <w:tcPr>
            <w:tcW w:w="2839" w:type="dxa"/>
          </w:tcPr>
          <w:p w14:paraId="3BE23D0D" w14:textId="77777777" w:rsidR="0087427C" w:rsidRPr="00CF75EA" w:rsidRDefault="004A7A82" w:rsidP="0087427C">
            <w:pPr>
              <w:jc w:val="both"/>
              <w:rPr>
                <w:rFonts w:cs="Arial"/>
              </w:rPr>
            </w:pPr>
            <w:r w:rsidRPr="005D48C6">
              <w:rPr>
                <w:rFonts w:cs="Arial"/>
              </w:rPr>
              <w:t>12.5%</w:t>
            </w:r>
          </w:p>
        </w:tc>
      </w:tr>
    </w:tbl>
    <w:p w14:paraId="3110A001" w14:textId="77777777" w:rsidR="0087427C" w:rsidRPr="00CF75EA" w:rsidRDefault="0087427C" w:rsidP="0087427C">
      <w:pPr>
        <w:jc w:val="both"/>
        <w:rPr>
          <w:rFonts w:cs="Arial"/>
          <w:highlight w:val="green"/>
        </w:rPr>
      </w:pPr>
    </w:p>
    <w:p w14:paraId="65D70108" w14:textId="77777777" w:rsidR="0087427C" w:rsidRPr="00CF75EA" w:rsidRDefault="004A7A82" w:rsidP="0087427C">
      <w:pPr>
        <w:ind w:left="720"/>
        <w:jc w:val="both"/>
        <w:rPr>
          <w:rFonts w:cs="Arial"/>
        </w:rPr>
      </w:pPr>
      <w:r w:rsidRPr="00CF75EA">
        <w:rPr>
          <w:rFonts w:cs="Arial"/>
        </w:rPr>
        <w:t>The current employer contribution rate is 20.6% (</w:t>
      </w:r>
      <w:r>
        <w:rPr>
          <w:rFonts w:cs="Arial"/>
        </w:rPr>
        <w:t>plus the employer levy of 0.08%</w:t>
      </w:r>
      <w:r w:rsidRPr="00CF75EA">
        <w:rPr>
          <w:rFonts w:cs="Arial"/>
        </w:rPr>
        <w:t xml:space="preserve">), though employers in the </w:t>
      </w:r>
      <w:r>
        <w:rPr>
          <w:rFonts w:cs="Arial"/>
        </w:rPr>
        <w:t>s</w:t>
      </w:r>
      <w:r w:rsidRPr="00CF75EA">
        <w:rPr>
          <w:rFonts w:cs="Arial"/>
        </w:rPr>
        <w:t>cheme have continued to pay 14.38%</w:t>
      </w:r>
      <w:r>
        <w:rPr>
          <w:rFonts w:cs="Arial"/>
        </w:rPr>
        <w:t xml:space="preserve"> (plus 0.08% employer levy)</w:t>
      </w:r>
      <w:r w:rsidRPr="00CF75EA">
        <w:rPr>
          <w:rFonts w:cs="Arial"/>
        </w:rPr>
        <w:t xml:space="preserve"> under a transitional arrangement in place for 2019/20 that continued in 2020/21</w:t>
      </w:r>
      <w:r w:rsidRPr="004E7895">
        <w:rPr>
          <w:rFonts w:cs="Arial"/>
        </w:rPr>
        <w:t>, 2021/22</w:t>
      </w:r>
      <w:r w:rsidRPr="00CF75EA">
        <w:rPr>
          <w:rFonts w:cs="Arial"/>
        </w:rPr>
        <w:t xml:space="preserve"> and 202</w:t>
      </w:r>
      <w:r w:rsidRPr="004E7895">
        <w:rPr>
          <w:rFonts w:cs="Arial"/>
        </w:rPr>
        <w:t>2</w:t>
      </w:r>
      <w:r w:rsidRPr="00CF75EA">
        <w:rPr>
          <w:rFonts w:cs="Arial"/>
        </w:rPr>
        <w:t>/2</w:t>
      </w:r>
      <w:r w:rsidRPr="004E7895">
        <w:rPr>
          <w:rFonts w:cs="Arial"/>
        </w:rPr>
        <w:t>3</w:t>
      </w:r>
      <w:r>
        <w:rPr>
          <w:rFonts w:cs="Arial"/>
        </w:rPr>
        <w:t>, and will continue again in 2023/24</w:t>
      </w:r>
      <w:r w:rsidRPr="00CF75EA">
        <w:rPr>
          <w:rFonts w:cs="Arial"/>
        </w:rPr>
        <w:t>.</w:t>
      </w:r>
    </w:p>
    <w:p w14:paraId="0D5ECA4A" w14:textId="77777777" w:rsidR="00FC4258" w:rsidRDefault="00FC4258" w:rsidP="0087427C">
      <w:pPr>
        <w:autoSpaceDE w:val="0"/>
        <w:autoSpaceDN w:val="0"/>
        <w:adjustRightInd w:val="0"/>
        <w:jc w:val="both"/>
        <w:rPr>
          <w:rFonts w:eastAsia="Calibri" w:cs="Helvetica-Light"/>
          <w:b/>
          <w:bCs/>
          <w:color w:val="000000"/>
          <w:u w:val="single"/>
        </w:rPr>
      </w:pPr>
    </w:p>
    <w:p w14:paraId="49F61E94" w14:textId="77777777" w:rsidR="00116EA4" w:rsidRDefault="00116EA4" w:rsidP="00320643">
      <w:pPr>
        <w:autoSpaceDE w:val="0"/>
        <w:autoSpaceDN w:val="0"/>
        <w:adjustRightInd w:val="0"/>
        <w:jc w:val="both"/>
        <w:rPr>
          <w:rFonts w:eastAsia="Calibri" w:cs="Helvetica-Light"/>
          <w:b/>
          <w:bCs/>
          <w:color w:val="000000"/>
          <w:u w:val="single"/>
        </w:rPr>
      </w:pPr>
    </w:p>
    <w:p w14:paraId="51652F53" w14:textId="77777777" w:rsidR="00116EA4" w:rsidRDefault="00116EA4" w:rsidP="00320643">
      <w:pPr>
        <w:autoSpaceDE w:val="0"/>
        <w:autoSpaceDN w:val="0"/>
        <w:adjustRightInd w:val="0"/>
        <w:jc w:val="both"/>
        <w:rPr>
          <w:rFonts w:eastAsia="Calibri" w:cs="Helvetica-Light"/>
          <w:b/>
          <w:bCs/>
          <w:color w:val="000000"/>
          <w:u w:val="single"/>
        </w:rPr>
      </w:pPr>
    </w:p>
    <w:p w14:paraId="3EB936A4" w14:textId="77777777" w:rsidR="00116EA4" w:rsidRDefault="00116EA4" w:rsidP="00320643">
      <w:pPr>
        <w:autoSpaceDE w:val="0"/>
        <w:autoSpaceDN w:val="0"/>
        <w:adjustRightInd w:val="0"/>
        <w:jc w:val="both"/>
        <w:rPr>
          <w:rFonts w:eastAsia="Calibri" w:cs="Helvetica-Light"/>
          <w:b/>
          <w:bCs/>
          <w:color w:val="000000"/>
          <w:u w:val="single"/>
        </w:rPr>
      </w:pPr>
    </w:p>
    <w:p w14:paraId="075D82FF" w14:textId="77777777" w:rsidR="0087427C" w:rsidRDefault="0087427C" w:rsidP="00320643">
      <w:pPr>
        <w:autoSpaceDE w:val="0"/>
        <w:autoSpaceDN w:val="0"/>
        <w:adjustRightInd w:val="0"/>
        <w:jc w:val="both"/>
        <w:rPr>
          <w:rFonts w:eastAsia="Calibri" w:cs="Helvetica-Light"/>
          <w:b/>
          <w:bCs/>
          <w:color w:val="000000"/>
          <w:u w:val="single"/>
        </w:rPr>
      </w:pPr>
    </w:p>
    <w:p w14:paraId="59AE89D8" w14:textId="77777777" w:rsidR="0087427C" w:rsidRDefault="0087427C" w:rsidP="00320643">
      <w:pPr>
        <w:autoSpaceDE w:val="0"/>
        <w:autoSpaceDN w:val="0"/>
        <w:adjustRightInd w:val="0"/>
        <w:jc w:val="both"/>
        <w:rPr>
          <w:rFonts w:eastAsia="Calibri" w:cs="Helvetica-Light"/>
          <w:b/>
          <w:bCs/>
          <w:color w:val="000000"/>
          <w:u w:val="single"/>
        </w:rPr>
      </w:pPr>
    </w:p>
    <w:p w14:paraId="30CA65EB" w14:textId="77777777" w:rsidR="0087427C" w:rsidRDefault="0087427C" w:rsidP="00320643">
      <w:pPr>
        <w:autoSpaceDE w:val="0"/>
        <w:autoSpaceDN w:val="0"/>
        <w:adjustRightInd w:val="0"/>
        <w:jc w:val="both"/>
        <w:rPr>
          <w:rFonts w:eastAsia="Calibri" w:cs="Helvetica-Light"/>
          <w:b/>
          <w:bCs/>
          <w:color w:val="000000"/>
          <w:u w:val="single"/>
        </w:rPr>
      </w:pPr>
    </w:p>
    <w:p w14:paraId="33F02A46" w14:textId="77777777" w:rsidR="0087427C" w:rsidRDefault="0087427C" w:rsidP="00320643">
      <w:pPr>
        <w:autoSpaceDE w:val="0"/>
        <w:autoSpaceDN w:val="0"/>
        <w:adjustRightInd w:val="0"/>
        <w:jc w:val="both"/>
        <w:rPr>
          <w:rFonts w:eastAsia="Calibri" w:cs="Helvetica-Light"/>
          <w:b/>
          <w:bCs/>
          <w:color w:val="000000"/>
          <w:u w:val="single"/>
        </w:rPr>
      </w:pPr>
    </w:p>
    <w:p w14:paraId="54D84BB4" w14:textId="77777777" w:rsidR="0087427C" w:rsidRDefault="0087427C" w:rsidP="00320643">
      <w:pPr>
        <w:autoSpaceDE w:val="0"/>
        <w:autoSpaceDN w:val="0"/>
        <w:adjustRightInd w:val="0"/>
        <w:jc w:val="both"/>
        <w:rPr>
          <w:rFonts w:eastAsia="Calibri" w:cs="Helvetica-Light"/>
          <w:b/>
          <w:bCs/>
          <w:color w:val="000000"/>
          <w:u w:val="single"/>
        </w:rPr>
      </w:pPr>
    </w:p>
    <w:p w14:paraId="27754C0D" w14:textId="77777777" w:rsidR="0087427C" w:rsidRDefault="0087427C" w:rsidP="00320643">
      <w:pPr>
        <w:autoSpaceDE w:val="0"/>
        <w:autoSpaceDN w:val="0"/>
        <w:adjustRightInd w:val="0"/>
        <w:jc w:val="both"/>
        <w:rPr>
          <w:rFonts w:eastAsia="Calibri" w:cs="Helvetica-Light"/>
          <w:b/>
          <w:bCs/>
          <w:color w:val="000000"/>
          <w:u w:val="single"/>
        </w:rPr>
      </w:pPr>
    </w:p>
    <w:p w14:paraId="67644BFC" w14:textId="77777777" w:rsidR="0087427C" w:rsidRDefault="0087427C" w:rsidP="00320643">
      <w:pPr>
        <w:autoSpaceDE w:val="0"/>
        <w:autoSpaceDN w:val="0"/>
        <w:adjustRightInd w:val="0"/>
        <w:jc w:val="both"/>
        <w:rPr>
          <w:rFonts w:eastAsia="Calibri" w:cs="Helvetica-Light"/>
          <w:b/>
          <w:bCs/>
          <w:color w:val="000000"/>
          <w:u w:val="single"/>
        </w:rPr>
      </w:pPr>
    </w:p>
    <w:p w14:paraId="3326175F" w14:textId="77777777" w:rsidR="0087427C" w:rsidRDefault="0087427C" w:rsidP="00320643">
      <w:pPr>
        <w:autoSpaceDE w:val="0"/>
        <w:autoSpaceDN w:val="0"/>
        <w:adjustRightInd w:val="0"/>
        <w:jc w:val="both"/>
        <w:rPr>
          <w:rFonts w:eastAsia="Calibri" w:cs="Helvetica-Light"/>
          <w:b/>
          <w:bCs/>
          <w:color w:val="000000"/>
          <w:u w:val="single"/>
        </w:rPr>
      </w:pPr>
    </w:p>
    <w:p w14:paraId="69B0E005" w14:textId="77777777" w:rsidR="0087427C" w:rsidRDefault="0087427C" w:rsidP="00320643">
      <w:pPr>
        <w:autoSpaceDE w:val="0"/>
        <w:autoSpaceDN w:val="0"/>
        <w:adjustRightInd w:val="0"/>
        <w:jc w:val="both"/>
        <w:rPr>
          <w:rFonts w:eastAsia="Calibri" w:cs="Helvetica-Light"/>
          <w:b/>
          <w:bCs/>
          <w:color w:val="000000"/>
          <w:u w:val="single"/>
        </w:rPr>
      </w:pPr>
    </w:p>
    <w:p w14:paraId="29F77B0F" w14:textId="77777777" w:rsidR="0087427C" w:rsidRDefault="0087427C" w:rsidP="00320643">
      <w:pPr>
        <w:autoSpaceDE w:val="0"/>
        <w:autoSpaceDN w:val="0"/>
        <w:adjustRightInd w:val="0"/>
        <w:jc w:val="both"/>
        <w:rPr>
          <w:rFonts w:eastAsia="Calibri" w:cs="Helvetica-Light"/>
          <w:b/>
          <w:bCs/>
          <w:color w:val="000000"/>
          <w:u w:val="single"/>
        </w:rPr>
      </w:pPr>
    </w:p>
    <w:p w14:paraId="1B0C94B2" w14:textId="77777777" w:rsidR="0087427C" w:rsidRDefault="0087427C" w:rsidP="00320643">
      <w:pPr>
        <w:autoSpaceDE w:val="0"/>
        <w:autoSpaceDN w:val="0"/>
        <w:adjustRightInd w:val="0"/>
        <w:jc w:val="both"/>
        <w:rPr>
          <w:rFonts w:eastAsia="Calibri" w:cs="Helvetica-Light"/>
          <w:b/>
          <w:bCs/>
          <w:color w:val="000000"/>
          <w:u w:val="single"/>
        </w:rPr>
      </w:pPr>
    </w:p>
    <w:p w14:paraId="4536EE8F" w14:textId="77777777" w:rsidR="0087427C" w:rsidRDefault="0087427C" w:rsidP="00320643">
      <w:pPr>
        <w:autoSpaceDE w:val="0"/>
        <w:autoSpaceDN w:val="0"/>
        <w:adjustRightInd w:val="0"/>
        <w:jc w:val="both"/>
        <w:rPr>
          <w:rFonts w:eastAsia="Calibri" w:cs="Helvetica-Light"/>
          <w:b/>
          <w:bCs/>
          <w:color w:val="000000"/>
          <w:u w:val="single"/>
        </w:rPr>
      </w:pPr>
    </w:p>
    <w:p w14:paraId="02875C83" w14:textId="77777777" w:rsidR="0087427C" w:rsidRDefault="0087427C" w:rsidP="00320643">
      <w:pPr>
        <w:autoSpaceDE w:val="0"/>
        <w:autoSpaceDN w:val="0"/>
        <w:adjustRightInd w:val="0"/>
        <w:jc w:val="both"/>
        <w:rPr>
          <w:rFonts w:eastAsia="Calibri" w:cs="Helvetica-Light"/>
          <w:b/>
          <w:bCs/>
          <w:color w:val="000000"/>
          <w:u w:val="single"/>
        </w:rPr>
      </w:pPr>
    </w:p>
    <w:p w14:paraId="4F71D3F0" w14:textId="77777777" w:rsidR="0087427C" w:rsidRDefault="0087427C" w:rsidP="00320643">
      <w:pPr>
        <w:autoSpaceDE w:val="0"/>
        <w:autoSpaceDN w:val="0"/>
        <w:adjustRightInd w:val="0"/>
        <w:jc w:val="both"/>
        <w:rPr>
          <w:rFonts w:eastAsia="Calibri" w:cs="Helvetica-Light"/>
          <w:b/>
          <w:bCs/>
          <w:color w:val="000000"/>
          <w:u w:val="single"/>
        </w:rPr>
      </w:pPr>
    </w:p>
    <w:p w14:paraId="136AF9E5" w14:textId="77777777" w:rsidR="0087427C" w:rsidRDefault="0087427C" w:rsidP="00320643">
      <w:pPr>
        <w:autoSpaceDE w:val="0"/>
        <w:autoSpaceDN w:val="0"/>
        <w:adjustRightInd w:val="0"/>
        <w:jc w:val="both"/>
        <w:rPr>
          <w:rFonts w:eastAsia="Calibri" w:cs="Helvetica-Light"/>
          <w:b/>
          <w:bCs/>
          <w:color w:val="000000"/>
          <w:u w:val="single"/>
        </w:rPr>
      </w:pPr>
    </w:p>
    <w:p w14:paraId="784EA824" w14:textId="77777777" w:rsidR="0087427C" w:rsidRDefault="0087427C" w:rsidP="00320643">
      <w:pPr>
        <w:autoSpaceDE w:val="0"/>
        <w:autoSpaceDN w:val="0"/>
        <w:adjustRightInd w:val="0"/>
        <w:jc w:val="both"/>
        <w:rPr>
          <w:rFonts w:eastAsia="Calibri" w:cs="Helvetica-Light"/>
          <w:b/>
          <w:bCs/>
          <w:color w:val="000000"/>
          <w:u w:val="single"/>
        </w:rPr>
      </w:pPr>
    </w:p>
    <w:p w14:paraId="08D97426" w14:textId="77777777" w:rsidR="0087427C" w:rsidRDefault="0087427C" w:rsidP="00320643">
      <w:pPr>
        <w:autoSpaceDE w:val="0"/>
        <w:autoSpaceDN w:val="0"/>
        <w:adjustRightInd w:val="0"/>
        <w:jc w:val="both"/>
        <w:rPr>
          <w:rFonts w:eastAsia="Calibri" w:cs="Helvetica-Light"/>
          <w:b/>
          <w:bCs/>
          <w:color w:val="000000"/>
          <w:u w:val="single"/>
        </w:rPr>
      </w:pPr>
    </w:p>
    <w:p w14:paraId="3688D0CB" w14:textId="77777777" w:rsidR="0087427C" w:rsidRDefault="0087427C" w:rsidP="00320643">
      <w:pPr>
        <w:autoSpaceDE w:val="0"/>
        <w:autoSpaceDN w:val="0"/>
        <w:adjustRightInd w:val="0"/>
        <w:jc w:val="both"/>
        <w:rPr>
          <w:rFonts w:eastAsia="Calibri" w:cs="Helvetica-Light"/>
          <w:b/>
          <w:bCs/>
          <w:color w:val="000000"/>
          <w:u w:val="single"/>
        </w:rPr>
      </w:pPr>
    </w:p>
    <w:p w14:paraId="672C0326" w14:textId="77777777" w:rsidR="0087427C" w:rsidRDefault="0087427C" w:rsidP="00320643">
      <w:pPr>
        <w:autoSpaceDE w:val="0"/>
        <w:autoSpaceDN w:val="0"/>
        <w:adjustRightInd w:val="0"/>
        <w:jc w:val="both"/>
        <w:rPr>
          <w:rFonts w:eastAsia="Calibri" w:cs="Helvetica-Light"/>
          <w:b/>
          <w:bCs/>
          <w:color w:val="000000"/>
          <w:u w:val="single"/>
        </w:rPr>
      </w:pPr>
    </w:p>
    <w:p w14:paraId="6FB9550F" w14:textId="77777777" w:rsidR="0087427C" w:rsidRDefault="0087427C" w:rsidP="00320643">
      <w:pPr>
        <w:autoSpaceDE w:val="0"/>
        <w:autoSpaceDN w:val="0"/>
        <w:adjustRightInd w:val="0"/>
        <w:jc w:val="both"/>
        <w:rPr>
          <w:rFonts w:eastAsia="Calibri" w:cs="Helvetica-Light"/>
          <w:b/>
          <w:bCs/>
          <w:color w:val="000000"/>
          <w:u w:val="single"/>
        </w:rPr>
      </w:pPr>
    </w:p>
    <w:p w14:paraId="25ED6ADB" w14:textId="77777777" w:rsidR="0087427C" w:rsidRDefault="0087427C" w:rsidP="00320643">
      <w:pPr>
        <w:autoSpaceDE w:val="0"/>
        <w:autoSpaceDN w:val="0"/>
        <w:adjustRightInd w:val="0"/>
        <w:jc w:val="both"/>
        <w:rPr>
          <w:rFonts w:eastAsia="Calibri" w:cs="Helvetica-Light"/>
          <w:b/>
          <w:bCs/>
          <w:color w:val="000000"/>
          <w:u w:val="single"/>
        </w:rPr>
      </w:pPr>
    </w:p>
    <w:p w14:paraId="615E91AC" w14:textId="77777777" w:rsidR="0087427C" w:rsidRDefault="0087427C" w:rsidP="00320643">
      <w:pPr>
        <w:autoSpaceDE w:val="0"/>
        <w:autoSpaceDN w:val="0"/>
        <w:adjustRightInd w:val="0"/>
        <w:jc w:val="both"/>
        <w:rPr>
          <w:rFonts w:eastAsia="Calibri" w:cs="Helvetica-Light"/>
          <w:b/>
          <w:bCs/>
          <w:color w:val="000000"/>
          <w:u w:val="single"/>
        </w:rPr>
      </w:pPr>
    </w:p>
    <w:p w14:paraId="126B0335" w14:textId="77777777" w:rsidR="0087427C" w:rsidRDefault="0087427C" w:rsidP="00320643">
      <w:pPr>
        <w:autoSpaceDE w:val="0"/>
        <w:autoSpaceDN w:val="0"/>
        <w:adjustRightInd w:val="0"/>
        <w:jc w:val="both"/>
        <w:rPr>
          <w:rFonts w:eastAsia="Calibri" w:cs="Helvetica-Light"/>
          <w:b/>
          <w:bCs/>
          <w:color w:val="000000"/>
          <w:u w:val="single"/>
        </w:rPr>
      </w:pPr>
    </w:p>
    <w:p w14:paraId="040BB0E0" w14:textId="77777777" w:rsidR="004646EC" w:rsidRDefault="004646EC" w:rsidP="00320643">
      <w:pPr>
        <w:autoSpaceDE w:val="0"/>
        <w:autoSpaceDN w:val="0"/>
        <w:adjustRightInd w:val="0"/>
        <w:jc w:val="both"/>
        <w:rPr>
          <w:rFonts w:eastAsia="Calibri" w:cs="Helvetica-Light"/>
          <w:b/>
          <w:bCs/>
          <w:color w:val="000000"/>
          <w:u w:val="single"/>
        </w:rPr>
      </w:pPr>
    </w:p>
    <w:p w14:paraId="37145CE8" w14:textId="77777777" w:rsidR="0087427C" w:rsidRDefault="0087427C" w:rsidP="00320643">
      <w:pPr>
        <w:autoSpaceDE w:val="0"/>
        <w:autoSpaceDN w:val="0"/>
        <w:adjustRightInd w:val="0"/>
        <w:jc w:val="both"/>
        <w:rPr>
          <w:rFonts w:eastAsia="Calibri" w:cs="Helvetica-Light"/>
          <w:b/>
          <w:bCs/>
          <w:color w:val="000000"/>
          <w:u w:val="single"/>
        </w:rPr>
      </w:pPr>
    </w:p>
    <w:p w14:paraId="410CF997" w14:textId="61EC7B12" w:rsidR="00C40133" w:rsidRDefault="004A7A82" w:rsidP="00320643">
      <w:pPr>
        <w:autoSpaceDE w:val="0"/>
        <w:autoSpaceDN w:val="0"/>
        <w:adjustRightInd w:val="0"/>
        <w:jc w:val="both"/>
        <w:rPr>
          <w:rFonts w:eastAsia="Calibri" w:cs="Helvetica-Light"/>
          <w:b/>
          <w:bCs/>
          <w:color w:val="000000"/>
          <w:u w:val="single"/>
        </w:rPr>
      </w:pPr>
      <w:r w:rsidRPr="00C40133">
        <w:rPr>
          <w:rFonts w:eastAsia="Calibri" w:cs="Helvetica-Light"/>
          <w:b/>
          <w:bCs/>
          <w:color w:val="000000"/>
          <w:u w:val="single"/>
        </w:rPr>
        <w:lastRenderedPageBreak/>
        <w:t xml:space="preserve">Annex </w:t>
      </w:r>
      <w:r w:rsidR="00116EA4">
        <w:rPr>
          <w:rFonts w:eastAsia="Calibri" w:cs="Helvetica-Light"/>
          <w:b/>
          <w:bCs/>
          <w:color w:val="000000"/>
          <w:u w:val="single"/>
        </w:rPr>
        <w:t>K</w:t>
      </w:r>
      <w:r w:rsidRPr="00C40133">
        <w:rPr>
          <w:rFonts w:eastAsia="Calibri" w:cs="Helvetica-Light"/>
          <w:b/>
          <w:bCs/>
          <w:color w:val="000000"/>
          <w:u w:val="single"/>
        </w:rPr>
        <w:t xml:space="preserve"> – </w:t>
      </w:r>
      <w:r w:rsidR="004154E0">
        <w:rPr>
          <w:rFonts w:eastAsia="Calibri" w:cs="Helvetica-Light"/>
          <w:b/>
          <w:bCs/>
          <w:color w:val="000000"/>
          <w:u w:val="single"/>
        </w:rPr>
        <w:t>Stakeholder</w:t>
      </w:r>
      <w:r w:rsidRPr="00C40133">
        <w:rPr>
          <w:rFonts w:eastAsia="Calibri" w:cs="Helvetica-Light"/>
          <w:b/>
          <w:bCs/>
          <w:color w:val="000000"/>
          <w:u w:val="single"/>
        </w:rPr>
        <w:t xml:space="preserve"> </w:t>
      </w:r>
      <w:r w:rsidR="00C771B0">
        <w:rPr>
          <w:rFonts w:eastAsia="Calibri" w:cs="Helvetica-Light"/>
          <w:b/>
          <w:bCs/>
          <w:color w:val="000000"/>
          <w:u w:val="single"/>
        </w:rPr>
        <w:t xml:space="preserve">Budget </w:t>
      </w:r>
      <w:r w:rsidRPr="00C40133">
        <w:rPr>
          <w:rFonts w:eastAsia="Calibri" w:cs="Helvetica-Light"/>
          <w:b/>
          <w:bCs/>
          <w:color w:val="000000"/>
          <w:u w:val="single"/>
        </w:rPr>
        <w:t>Consultation</w:t>
      </w:r>
      <w:r w:rsidR="00C771B0">
        <w:rPr>
          <w:rFonts w:eastAsia="Calibri" w:cs="Helvetica-Light"/>
          <w:b/>
          <w:bCs/>
          <w:color w:val="000000"/>
          <w:u w:val="single"/>
        </w:rPr>
        <w:t xml:space="preserve"> 2024/25</w:t>
      </w:r>
    </w:p>
    <w:p w14:paraId="464E3F5C" w14:textId="77777777" w:rsidR="004154E0" w:rsidRPr="004154E0" w:rsidRDefault="004154E0" w:rsidP="004154E0">
      <w:pPr>
        <w:jc w:val="both"/>
        <w:rPr>
          <w:rFonts w:asciiTheme="minorHAnsi" w:hAnsiTheme="minorHAnsi" w:cstheme="minorHAnsi"/>
          <w:b/>
          <w:highlight w:val="yellow"/>
        </w:rPr>
      </w:pPr>
    </w:p>
    <w:p w14:paraId="42E19865" w14:textId="77777777" w:rsidR="004154E0" w:rsidRPr="004154E0" w:rsidRDefault="004A7A82" w:rsidP="004154E0">
      <w:pPr>
        <w:jc w:val="both"/>
        <w:rPr>
          <w:rFonts w:asciiTheme="minorHAnsi" w:hAnsiTheme="minorHAnsi" w:cstheme="minorHAnsi"/>
        </w:rPr>
      </w:pPr>
      <w:r w:rsidRPr="004154E0">
        <w:rPr>
          <w:rFonts w:asciiTheme="minorHAnsi" w:hAnsiTheme="minorHAnsi" w:cstheme="minorHAnsi"/>
        </w:rPr>
        <w:t xml:space="preserve">As part of the budget process the contents of the report to cabinet has been subject to a consultation with a variety of stakeholders and partners, including with the trade unions. </w:t>
      </w:r>
    </w:p>
    <w:p w14:paraId="63A02AB7" w14:textId="77777777" w:rsidR="004154E0" w:rsidRPr="004154E0" w:rsidRDefault="004154E0" w:rsidP="004154E0">
      <w:pPr>
        <w:jc w:val="both"/>
        <w:rPr>
          <w:rFonts w:asciiTheme="minorHAnsi" w:hAnsiTheme="minorHAnsi" w:cstheme="minorHAnsi"/>
        </w:rPr>
      </w:pPr>
    </w:p>
    <w:p w14:paraId="12938806" w14:textId="2B2A190E" w:rsidR="004154E0" w:rsidRPr="004154E0" w:rsidRDefault="004A7A82" w:rsidP="004154E0">
      <w:pPr>
        <w:jc w:val="both"/>
        <w:rPr>
          <w:rFonts w:asciiTheme="minorHAnsi" w:hAnsiTheme="minorHAnsi" w:cstheme="minorHAnsi"/>
        </w:rPr>
      </w:pPr>
      <w:r w:rsidRPr="004154E0">
        <w:rPr>
          <w:rFonts w:asciiTheme="minorHAnsi" w:hAnsiTheme="minorHAnsi" w:cstheme="minorHAnsi"/>
        </w:rPr>
        <w:t>For the budget consultation, an email was sent out on behalf of the county council on 12 January 2024 seeking views on Cabinet's budget proposals for the coming financial year which were contained within the "Medium Term Financial Strategy Update 2024/25 – 2026/27</w:t>
      </w:r>
      <w:r w:rsidR="00D62BD1">
        <w:rPr>
          <w:rFonts w:asciiTheme="minorHAnsi" w:hAnsiTheme="minorHAnsi" w:cstheme="minorHAnsi"/>
        </w:rPr>
        <w:t>"</w:t>
      </w:r>
      <w:r w:rsidRPr="004154E0">
        <w:rPr>
          <w:rFonts w:asciiTheme="minorHAnsi" w:hAnsiTheme="minorHAnsi" w:cstheme="minorHAnsi"/>
        </w:rPr>
        <w:t xml:space="preserve"> considered at the Cabinet meeting on 18 January 2024.  A link was provided to the report which included savings proposals for the 2024/25 budget and proposed </w:t>
      </w:r>
      <w:r w:rsidR="00D62BD1">
        <w:rPr>
          <w:rFonts w:asciiTheme="minorHAnsi" w:hAnsiTheme="minorHAnsi" w:cstheme="minorHAnsi"/>
        </w:rPr>
        <w:t>c</w:t>
      </w:r>
      <w:r w:rsidRPr="004154E0">
        <w:rPr>
          <w:rFonts w:asciiTheme="minorHAnsi" w:hAnsiTheme="minorHAnsi" w:cstheme="minorHAnsi"/>
        </w:rPr>
        <w:t xml:space="preserve">ouncil </w:t>
      </w:r>
      <w:r w:rsidR="00D62BD1">
        <w:rPr>
          <w:rFonts w:asciiTheme="minorHAnsi" w:hAnsiTheme="minorHAnsi" w:cstheme="minorHAnsi"/>
        </w:rPr>
        <w:t>t</w:t>
      </w:r>
      <w:r w:rsidRPr="004154E0">
        <w:rPr>
          <w:rFonts w:asciiTheme="minorHAnsi" w:hAnsiTheme="minorHAnsi" w:cstheme="minorHAnsi"/>
        </w:rPr>
        <w:t xml:space="preserve">ax and </w:t>
      </w:r>
      <w:r w:rsidR="00D62BD1">
        <w:rPr>
          <w:rFonts w:asciiTheme="minorHAnsi" w:hAnsiTheme="minorHAnsi" w:cstheme="minorHAnsi"/>
        </w:rPr>
        <w:t>a</w:t>
      </w:r>
      <w:r w:rsidRPr="004154E0">
        <w:rPr>
          <w:rFonts w:asciiTheme="minorHAnsi" w:hAnsiTheme="minorHAnsi" w:cstheme="minorHAnsi"/>
        </w:rPr>
        <w:t xml:space="preserve">dult </w:t>
      </w:r>
      <w:r w:rsidR="00D62BD1">
        <w:rPr>
          <w:rFonts w:asciiTheme="minorHAnsi" w:hAnsiTheme="minorHAnsi" w:cstheme="minorHAnsi"/>
        </w:rPr>
        <w:t>s</w:t>
      </w:r>
      <w:r w:rsidRPr="004154E0">
        <w:rPr>
          <w:rFonts w:asciiTheme="minorHAnsi" w:hAnsiTheme="minorHAnsi" w:cstheme="minorHAnsi"/>
        </w:rPr>
        <w:t xml:space="preserve">ocial </w:t>
      </w:r>
      <w:r w:rsidR="00D62BD1">
        <w:rPr>
          <w:rFonts w:asciiTheme="minorHAnsi" w:hAnsiTheme="minorHAnsi" w:cstheme="minorHAnsi"/>
        </w:rPr>
        <w:t>c</w:t>
      </w:r>
      <w:r w:rsidRPr="004154E0">
        <w:rPr>
          <w:rFonts w:asciiTheme="minorHAnsi" w:hAnsiTheme="minorHAnsi" w:cstheme="minorHAnsi"/>
        </w:rPr>
        <w:t xml:space="preserve">are </w:t>
      </w:r>
      <w:r w:rsidR="00D62BD1">
        <w:rPr>
          <w:rFonts w:asciiTheme="minorHAnsi" w:hAnsiTheme="minorHAnsi" w:cstheme="minorHAnsi"/>
        </w:rPr>
        <w:t>p</w:t>
      </w:r>
      <w:r w:rsidRPr="004154E0">
        <w:rPr>
          <w:rFonts w:asciiTheme="minorHAnsi" w:hAnsiTheme="minorHAnsi" w:cstheme="minorHAnsi"/>
        </w:rPr>
        <w:t xml:space="preserve">recept increases. The closing date for the consultation was 9 February 2024 and 4 responses have been received, with feedback provided on a small number of the savings proposals.   </w:t>
      </w:r>
    </w:p>
    <w:p w14:paraId="40D603FA" w14:textId="77777777" w:rsidR="004154E0" w:rsidRPr="004154E0" w:rsidRDefault="004154E0" w:rsidP="004154E0">
      <w:pPr>
        <w:jc w:val="both"/>
        <w:rPr>
          <w:rFonts w:asciiTheme="minorHAnsi" w:hAnsiTheme="minorHAnsi" w:cstheme="minorHAnsi"/>
        </w:rPr>
      </w:pPr>
    </w:p>
    <w:p w14:paraId="6D6377B1" w14:textId="77777777" w:rsidR="004154E0" w:rsidRPr="004154E0" w:rsidRDefault="004A7A82" w:rsidP="004154E0">
      <w:pPr>
        <w:jc w:val="both"/>
        <w:rPr>
          <w:rFonts w:asciiTheme="minorHAnsi" w:hAnsiTheme="minorHAnsi" w:cstheme="minorHAnsi"/>
          <w:b/>
          <w:bCs/>
          <w:i/>
          <w:iCs/>
        </w:rPr>
      </w:pPr>
      <w:r w:rsidRPr="004154E0">
        <w:rPr>
          <w:rFonts w:asciiTheme="minorHAnsi" w:hAnsiTheme="minorHAnsi" w:cstheme="minorHAnsi"/>
          <w:b/>
          <w:bCs/>
          <w:i/>
          <w:iCs/>
        </w:rPr>
        <w:t>Consultation Response</w:t>
      </w:r>
    </w:p>
    <w:p w14:paraId="1BF3B465" w14:textId="090FFB91" w:rsidR="004154E0" w:rsidRPr="004154E0" w:rsidRDefault="004A7A82" w:rsidP="004154E0">
      <w:pPr>
        <w:jc w:val="both"/>
        <w:rPr>
          <w:rFonts w:asciiTheme="minorHAnsi" w:hAnsiTheme="minorHAnsi" w:cstheme="minorHAnsi"/>
        </w:rPr>
      </w:pPr>
      <w:r w:rsidRPr="004154E0">
        <w:rPr>
          <w:rFonts w:asciiTheme="minorHAnsi" w:hAnsiTheme="minorHAnsi" w:cstheme="minorHAnsi"/>
        </w:rPr>
        <w:t xml:space="preserve">3 respondents raised concerns about the proposed introduction of </w:t>
      </w:r>
      <w:r w:rsidRPr="004154E0">
        <w:rPr>
          <w:rFonts w:asciiTheme="minorHAnsi" w:eastAsia="Arial" w:hAnsiTheme="minorHAnsi" w:cstheme="minorHAnsi"/>
        </w:rPr>
        <w:t xml:space="preserve">on street pay and display car parking across the county. Concerns were raised at the impact on local businesses and visitors to local areas and the impact on the economy.  2 of the respondents recognised that there would be a public consultation prior to the introduction of any new pay and display facilities </w:t>
      </w:r>
      <w:proofErr w:type="gramStart"/>
      <w:r w:rsidRPr="004154E0">
        <w:rPr>
          <w:rFonts w:asciiTheme="minorHAnsi" w:eastAsia="Arial" w:hAnsiTheme="minorHAnsi" w:cstheme="minorHAnsi"/>
        </w:rPr>
        <w:t>and also</w:t>
      </w:r>
      <w:proofErr w:type="gramEnd"/>
      <w:r w:rsidRPr="004154E0">
        <w:rPr>
          <w:rFonts w:asciiTheme="minorHAnsi" w:eastAsia="Arial" w:hAnsiTheme="minorHAnsi" w:cstheme="minorHAnsi"/>
        </w:rPr>
        <w:t xml:space="preserve"> that the County Council has already acknowledged the opposition to the implementation of this proposal from a number of district councils.  </w:t>
      </w:r>
    </w:p>
    <w:p w14:paraId="6F5C3A2A" w14:textId="77777777" w:rsidR="004154E0" w:rsidRPr="004154E0" w:rsidRDefault="004154E0" w:rsidP="004154E0">
      <w:pPr>
        <w:jc w:val="both"/>
        <w:rPr>
          <w:rFonts w:asciiTheme="minorHAnsi" w:hAnsiTheme="minorHAnsi" w:cstheme="minorHAnsi"/>
          <w:b/>
          <w:bCs/>
          <w:i/>
          <w:iCs/>
        </w:rPr>
      </w:pPr>
    </w:p>
    <w:p w14:paraId="4030554B" w14:textId="77777777" w:rsidR="004154E0" w:rsidRPr="004154E0" w:rsidRDefault="004A7A82" w:rsidP="004154E0">
      <w:pPr>
        <w:jc w:val="both"/>
        <w:rPr>
          <w:rFonts w:asciiTheme="minorHAnsi" w:hAnsiTheme="minorHAnsi" w:cstheme="minorHAnsi"/>
          <w:b/>
          <w:bCs/>
          <w:i/>
          <w:iCs/>
        </w:rPr>
      </w:pPr>
      <w:r w:rsidRPr="004154E0">
        <w:rPr>
          <w:rFonts w:asciiTheme="minorHAnsi" w:hAnsiTheme="minorHAnsi" w:cstheme="minorHAnsi"/>
          <w:b/>
          <w:bCs/>
          <w:i/>
          <w:iCs/>
        </w:rPr>
        <w:t>Officer Response</w:t>
      </w:r>
    </w:p>
    <w:p w14:paraId="1944F7CA" w14:textId="0DD5D9C7" w:rsidR="004154E0" w:rsidRPr="004154E0" w:rsidRDefault="004A7A82" w:rsidP="004154E0">
      <w:pPr>
        <w:jc w:val="both"/>
        <w:rPr>
          <w:rFonts w:asciiTheme="minorHAnsi" w:hAnsiTheme="minorHAnsi" w:cstheme="minorHAnsi"/>
        </w:rPr>
      </w:pPr>
      <w:r w:rsidRPr="004154E0">
        <w:rPr>
          <w:rFonts w:asciiTheme="minorHAnsi" w:hAnsiTheme="minorHAnsi" w:cstheme="minorHAnsi"/>
        </w:rPr>
        <w:t xml:space="preserve">The county council has already reduced the level of saving to reflect a reduction in the scale of the proposal following recent conversations with </w:t>
      </w:r>
      <w:proofErr w:type="gramStart"/>
      <w:r w:rsidRPr="004154E0">
        <w:rPr>
          <w:rFonts w:asciiTheme="minorHAnsi" w:hAnsiTheme="minorHAnsi" w:cstheme="minorHAnsi"/>
        </w:rPr>
        <w:t>a number of</w:t>
      </w:r>
      <w:proofErr w:type="gramEnd"/>
      <w:r w:rsidRPr="004154E0">
        <w:rPr>
          <w:rFonts w:asciiTheme="minorHAnsi" w:hAnsiTheme="minorHAnsi" w:cstheme="minorHAnsi"/>
        </w:rPr>
        <w:t xml:space="preserve"> Lancashire Leaders and a commitment not to proceed in any </w:t>
      </w:r>
      <w:r w:rsidR="00D62BD1">
        <w:rPr>
          <w:rFonts w:asciiTheme="minorHAnsi" w:hAnsiTheme="minorHAnsi" w:cstheme="minorHAnsi"/>
        </w:rPr>
        <w:t>d</w:t>
      </w:r>
      <w:r w:rsidRPr="004154E0">
        <w:rPr>
          <w:rFonts w:asciiTheme="minorHAnsi" w:hAnsiTheme="minorHAnsi" w:cstheme="minorHAnsi"/>
        </w:rPr>
        <w:t xml:space="preserve">istrict where the Council has expressed opposition. Conversations are ongoing with the remaining district councils and a </w:t>
      </w:r>
      <w:r w:rsidRPr="004154E0">
        <w:rPr>
          <w:rFonts w:asciiTheme="minorHAnsi" w:eastAsia="Arial" w:hAnsiTheme="minorHAnsi" w:cstheme="minorHAnsi"/>
        </w:rPr>
        <w:t xml:space="preserve">Traffic Regulation Order process will include a statutory consultation process for the public with Cabinet then to make the final decision </w:t>
      </w:r>
      <w:proofErr w:type="gramStart"/>
      <w:r w:rsidRPr="004154E0">
        <w:rPr>
          <w:rFonts w:asciiTheme="minorHAnsi" w:eastAsia="Arial" w:hAnsiTheme="minorHAnsi" w:cstheme="minorHAnsi"/>
        </w:rPr>
        <w:t>with regard to</w:t>
      </w:r>
      <w:proofErr w:type="gramEnd"/>
      <w:r w:rsidRPr="004154E0">
        <w:rPr>
          <w:rFonts w:asciiTheme="minorHAnsi" w:eastAsia="Arial" w:hAnsiTheme="minorHAnsi" w:cstheme="minorHAnsi"/>
        </w:rPr>
        <w:t xml:space="preserve"> any new pay and display machines being introduced.</w:t>
      </w:r>
    </w:p>
    <w:p w14:paraId="05E2B62F" w14:textId="77777777" w:rsidR="004154E0" w:rsidRPr="004154E0" w:rsidRDefault="004154E0" w:rsidP="004154E0">
      <w:pPr>
        <w:jc w:val="both"/>
        <w:rPr>
          <w:rFonts w:asciiTheme="minorHAnsi" w:hAnsiTheme="minorHAnsi" w:cstheme="minorHAnsi"/>
          <w:b/>
          <w:bCs/>
          <w:i/>
          <w:iCs/>
        </w:rPr>
      </w:pPr>
    </w:p>
    <w:p w14:paraId="6573EC95" w14:textId="77777777" w:rsidR="004154E0" w:rsidRPr="004154E0" w:rsidRDefault="004A7A82" w:rsidP="004154E0">
      <w:pPr>
        <w:jc w:val="both"/>
        <w:rPr>
          <w:rFonts w:asciiTheme="minorHAnsi" w:hAnsiTheme="minorHAnsi" w:cstheme="minorHAnsi"/>
          <w:b/>
          <w:bCs/>
          <w:i/>
          <w:iCs/>
        </w:rPr>
      </w:pPr>
      <w:r w:rsidRPr="004154E0">
        <w:rPr>
          <w:rFonts w:asciiTheme="minorHAnsi" w:hAnsiTheme="minorHAnsi" w:cstheme="minorHAnsi"/>
          <w:b/>
          <w:bCs/>
          <w:i/>
          <w:iCs/>
        </w:rPr>
        <w:t>Consultation Response</w:t>
      </w:r>
    </w:p>
    <w:p w14:paraId="2B480338" w14:textId="3A9584E8" w:rsidR="004154E0" w:rsidRPr="004154E0" w:rsidRDefault="004A7A82" w:rsidP="004154E0">
      <w:pPr>
        <w:jc w:val="both"/>
        <w:rPr>
          <w:rFonts w:asciiTheme="minorHAnsi" w:eastAsia="Arial" w:hAnsiTheme="minorHAnsi" w:cstheme="minorHAnsi"/>
        </w:rPr>
      </w:pPr>
      <w:r w:rsidRPr="004154E0">
        <w:rPr>
          <w:rFonts w:asciiTheme="minorHAnsi" w:hAnsiTheme="minorHAnsi" w:cstheme="minorHAnsi"/>
        </w:rPr>
        <w:t xml:space="preserve">3 respondents raised concerns </w:t>
      </w:r>
      <w:r w:rsidRPr="004154E0">
        <w:rPr>
          <w:rFonts w:asciiTheme="minorHAnsi" w:eastAsia="Arial" w:hAnsiTheme="minorHAnsi" w:cstheme="minorHAnsi"/>
        </w:rPr>
        <w:t>regarding the proposal to make a saving of £150k in the cost of clearing vegetation from walking and cycling routes across Lancashire through the implementation of more effective and efficient working practices.</w:t>
      </w:r>
      <w:r w:rsidR="00D62BD1">
        <w:rPr>
          <w:rFonts w:asciiTheme="minorHAnsi" w:eastAsia="Arial" w:hAnsiTheme="minorHAnsi" w:cstheme="minorHAnsi"/>
        </w:rPr>
        <w:t xml:space="preserve"> </w:t>
      </w:r>
      <w:r w:rsidRPr="004154E0">
        <w:rPr>
          <w:rFonts w:asciiTheme="minorHAnsi" w:eastAsia="Arial" w:hAnsiTheme="minorHAnsi" w:cstheme="minorHAnsi"/>
        </w:rPr>
        <w:t xml:space="preserve">The primary issue raised was at to whether the reduction would </w:t>
      </w:r>
      <w:proofErr w:type="gramStart"/>
      <w:r w:rsidRPr="004154E0">
        <w:rPr>
          <w:rFonts w:asciiTheme="minorHAnsi" w:eastAsia="Arial" w:hAnsiTheme="minorHAnsi" w:cstheme="minorHAnsi"/>
        </w:rPr>
        <w:t>actually constitute</w:t>
      </w:r>
      <w:proofErr w:type="gramEnd"/>
      <w:r w:rsidRPr="004154E0">
        <w:rPr>
          <w:rFonts w:asciiTheme="minorHAnsi" w:eastAsia="Arial" w:hAnsiTheme="minorHAnsi" w:cstheme="minorHAnsi"/>
        </w:rPr>
        <w:t xml:space="preserve"> a reduction in service provision.</w:t>
      </w:r>
    </w:p>
    <w:p w14:paraId="04B05530" w14:textId="77777777" w:rsidR="004154E0" w:rsidRPr="004154E0" w:rsidRDefault="004154E0" w:rsidP="004154E0">
      <w:pPr>
        <w:rPr>
          <w:rFonts w:asciiTheme="minorHAnsi" w:eastAsia="Arial" w:hAnsiTheme="minorHAnsi" w:cstheme="minorHAnsi"/>
        </w:rPr>
      </w:pPr>
    </w:p>
    <w:p w14:paraId="7BC0BDBE" w14:textId="77777777" w:rsidR="004154E0" w:rsidRPr="004154E0" w:rsidRDefault="004A7A82" w:rsidP="004154E0">
      <w:pPr>
        <w:jc w:val="both"/>
        <w:rPr>
          <w:rFonts w:asciiTheme="minorHAnsi" w:hAnsiTheme="minorHAnsi" w:cstheme="minorHAnsi"/>
          <w:b/>
          <w:bCs/>
          <w:i/>
          <w:iCs/>
        </w:rPr>
      </w:pPr>
      <w:r w:rsidRPr="004154E0">
        <w:rPr>
          <w:rFonts w:asciiTheme="minorHAnsi" w:hAnsiTheme="minorHAnsi" w:cstheme="minorHAnsi"/>
          <w:b/>
          <w:bCs/>
          <w:i/>
          <w:iCs/>
        </w:rPr>
        <w:t xml:space="preserve">Officer Response </w:t>
      </w:r>
    </w:p>
    <w:p w14:paraId="2C3C21C7" w14:textId="1518828A" w:rsidR="004154E0" w:rsidRPr="004154E0" w:rsidRDefault="004A7A82" w:rsidP="004154E0">
      <w:pPr>
        <w:jc w:val="both"/>
        <w:rPr>
          <w:rFonts w:asciiTheme="minorHAnsi" w:hAnsiTheme="minorHAnsi" w:cstheme="minorHAnsi"/>
        </w:rPr>
      </w:pPr>
      <w:r w:rsidRPr="004154E0">
        <w:rPr>
          <w:rFonts w:asciiTheme="minorHAnsi" w:hAnsiTheme="minorHAnsi" w:cstheme="minorHAnsi"/>
        </w:rPr>
        <w:t xml:space="preserve">The work undertaken funded from this budget is reactive in that it responds to requests from the public. The service is confident that the budget saving can be fully delivered though improving working practices with no reduction in service based on the continuation of the level of requests experienced in recent years.  </w:t>
      </w:r>
    </w:p>
    <w:p w14:paraId="19E89D98" w14:textId="77777777" w:rsidR="004154E0" w:rsidRPr="004154E0" w:rsidRDefault="004154E0" w:rsidP="004154E0">
      <w:pPr>
        <w:jc w:val="both"/>
        <w:rPr>
          <w:rFonts w:asciiTheme="minorHAnsi" w:hAnsiTheme="minorHAnsi" w:cstheme="minorHAnsi"/>
        </w:rPr>
      </w:pPr>
    </w:p>
    <w:p w14:paraId="0BF2A2F1" w14:textId="77777777" w:rsidR="004154E0" w:rsidRPr="004154E0" w:rsidRDefault="004A7A82" w:rsidP="004154E0">
      <w:pPr>
        <w:jc w:val="both"/>
        <w:rPr>
          <w:rFonts w:asciiTheme="minorHAnsi" w:hAnsiTheme="minorHAnsi" w:cstheme="minorHAnsi"/>
          <w:b/>
          <w:bCs/>
          <w:i/>
          <w:iCs/>
        </w:rPr>
      </w:pPr>
      <w:r w:rsidRPr="004154E0">
        <w:rPr>
          <w:rFonts w:asciiTheme="minorHAnsi" w:hAnsiTheme="minorHAnsi" w:cstheme="minorHAnsi"/>
          <w:b/>
          <w:bCs/>
          <w:i/>
          <w:iCs/>
        </w:rPr>
        <w:t>Consultation Response</w:t>
      </w:r>
    </w:p>
    <w:p w14:paraId="7661BF67" w14:textId="77777777" w:rsidR="004154E0" w:rsidRPr="004154E0" w:rsidRDefault="004A7A82" w:rsidP="004154E0">
      <w:pPr>
        <w:jc w:val="both"/>
        <w:rPr>
          <w:rFonts w:asciiTheme="minorHAnsi" w:hAnsiTheme="minorHAnsi" w:cstheme="minorHAnsi"/>
        </w:rPr>
      </w:pPr>
      <w:r w:rsidRPr="004154E0">
        <w:rPr>
          <w:rFonts w:asciiTheme="minorHAnsi" w:hAnsiTheme="minorHAnsi" w:cstheme="minorHAnsi"/>
        </w:rPr>
        <w:t xml:space="preserve">3 respondents raised concerns that </w:t>
      </w:r>
      <w:r w:rsidRPr="004154E0">
        <w:rPr>
          <w:rFonts w:asciiTheme="minorHAnsi" w:eastAsia="Arial" w:hAnsiTheme="minorHAnsi" w:cstheme="minorHAnsi"/>
        </w:rPr>
        <w:t xml:space="preserve">the withdrawal of the £1 concessionary travel fare option for those with a disabled person's </w:t>
      </w:r>
      <w:proofErr w:type="spellStart"/>
      <w:r w:rsidRPr="004154E0">
        <w:rPr>
          <w:rFonts w:asciiTheme="minorHAnsi" w:eastAsia="Arial" w:hAnsiTheme="minorHAnsi" w:cstheme="minorHAnsi"/>
        </w:rPr>
        <w:t>NoWcard</w:t>
      </w:r>
      <w:proofErr w:type="spellEnd"/>
      <w:r w:rsidRPr="004154E0">
        <w:rPr>
          <w:rFonts w:asciiTheme="minorHAnsi" w:eastAsia="Arial" w:hAnsiTheme="minorHAnsi" w:cstheme="minorHAnsi"/>
        </w:rPr>
        <w:t xml:space="preserve">, English National Concessionary </w:t>
      </w:r>
      <w:r w:rsidRPr="004154E0">
        <w:rPr>
          <w:rFonts w:asciiTheme="minorHAnsi" w:eastAsia="Arial" w:hAnsiTheme="minorHAnsi" w:cstheme="minorHAnsi"/>
        </w:rPr>
        <w:lastRenderedPageBreak/>
        <w:t>travel pass, who travel by bus before 9.30 Monday to Friday would discourage residents using public transport across Lancashire.</w:t>
      </w:r>
    </w:p>
    <w:p w14:paraId="1EF8DA0A" w14:textId="77777777" w:rsidR="004154E0" w:rsidRPr="004154E0" w:rsidRDefault="004154E0" w:rsidP="004154E0">
      <w:pPr>
        <w:jc w:val="both"/>
        <w:rPr>
          <w:rFonts w:asciiTheme="minorHAnsi" w:hAnsiTheme="minorHAnsi" w:cstheme="minorHAnsi"/>
        </w:rPr>
      </w:pPr>
    </w:p>
    <w:p w14:paraId="4BD182C8" w14:textId="77777777" w:rsidR="004154E0" w:rsidRPr="004154E0" w:rsidRDefault="004A7A82" w:rsidP="004154E0">
      <w:pPr>
        <w:jc w:val="both"/>
        <w:rPr>
          <w:rFonts w:asciiTheme="minorHAnsi" w:hAnsiTheme="minorHAnsi" w:cstheme="minorHAnsi"/>
          <w:b/>
          <w:bCs/>
          <w:i/>
          <w:iCs/>
        </w:rPr>
      </w:pPr>
      <w:r w:rsidRPr="004154E0">
        <w:rPr>
          <w:rFonts w:asciiTheme="minorHAnsi" w:hAnsiTheme="minorHAnsi" w:cstheme="minorHAnsi"/>
          <w:b/>
          <w:bCs/>
          <w:i/>
          <w:iCs/>
        </w:rPr>
        <w:t>Officer Response</w:t>
      </w:r>
    </w:p>
    <w:p w14:paraId="3F9301A2" w14:textId="4F315D25" w:rsidR="004154E0" w:rsidRPr="004154E0" w:rsidRDefault="004A7A82" w:rsidP="004154E0">
      <w:pPr>
        <w:jc w:val="both"/>
        <w:rPr>
          <w:rFonts w:asciiTheme="minorHAnsi" w:hAnsiTheme="minorHAnsi" w:cstheme="minorHAnsi"/>
        </w:rPr>
      </w:pPr>
      <w:r w:rsidRPr="004154E0">
        <w:rPr>
          <w:rFonts w:asciiTheme="minorHAnsi" w:eastAsia="Arial" w:hAnsiTheme="minorHAnsi" w:cstheme="minorHAnsi"/>
        </w:rPr>
        <w:t xml:space="preserve">The </w:t>
      </w:r>
      <w:r w:rsidR="00D62BD1">
        <w:rPr>
          <w:rFonts w:asciiTheme="minorHAnsi" w:eastAsia="Arial" w:hAnsiTheme="minorHAnsi" w:cstheme="minorHAnsi"/>
        </w:rPr>
        <w:t>C</w:t>
      </w:r>
      <w:r w:rsidRPr="004154E0">
        <w:rPr>
          <w:rFonts w:asciiTheme="minorHAnsi" w:eastAsia="Arial" w:hAnsiTheme="minorHAnsi" w:cstheme="minorHAnsi"/>
        </w:rPr>
        <w:t xml:space="preserve">ouncil, following the approval of the joint Bus Service Improvement Plan, is, in partnership with bus operators, investing significantly in the bus network and infrastructure to support bus travel throughout the county to the benefit of all residents.  The </w:t>
      </w:r>
      <w:r w:rsidR="00D62BD1">
        <w:rPr>
          <w:rFonts w:asciiTheme="minorHAnsi" w:eastAsia="Arial" w:hAnsiTheme="minorHAnsi" w:cstheme="minorHAnsi"/>
        </w:rPr>
        <w:t>C</w:t>
      </w:r>
      <w:r w:rsidRPr="004154E0">
        <w:rPr>
          <w:rFonts w:asciiTheme="minorHAnsi" w:eastAsia="Arial" w:hAnsiTheme="minorHAnsi" w:cstheme="minorHAnsi"/>
        </w:rPr>
        <w:t xml:space="preserve">ouncil will undertake a specific consultation exercise on this proposal with the outcome reported back to a future </w:t>
      </w:r>
      <w:r w:rsidR="00D62BD1">
        <w:rPr>
          <w:rFonts w:asciiTheme="minorHAnsi" w:eastAsia="Arial" w:hAnsiTheme="minorHAnsi" w:cstheme="minorHAnsi"/>
        </w:rPr>
        <w:t>c</w:t>
      </w:r>
      <w:r w:rsidRPr="004154E0">
        <w:rPr>
          <w:rFonts w:asciiTheme="minorHAnsi" w:eastAsia="Arial" w:hAnsiTheme="minorHAnsi" w:cstheme="minorHAnsi"/>
        </w:rPr>
        <w:t>abinet meeting for a final decision to be made regarding its implementation.</w:t>
      </w:r>
    </w:p>
    <w:p w14:paraId="05B26891" w14:textId="77777777" w:rsidR="004154E0" w:rsidRPr="004154E0" w:rsidRDefault="004154E0" w:rsidP="004154E0">
      <w:pPr>
        <w:jc w:val="both"/>
        <w:rPr>
          <w:rFonts w:asciiTheme="minorHAnsi" w:hAnsiTheme="minorHAnsi" w:cstheme="minorHAnsi"/>
        </w:rPr>
      </w:pPr>
    </w:p>
    <w:p w14:paraId="28622572" w14:textId="77777777" w:rsidR="004154E0" w:rsidRPr="004154E0" w:rsidRDefault="004A7A82" w:rsidP="004154E0">
      <w:pPr>
        <w:jc w:val="both"/>
        <w:rPr>
          <w:rFonts w:asciiTheme="minorHAnsi" w:hAnsiTheme="minorHAnsi" w:cstheme="minorHAnsi"/>
          <w:b/>
          <w:bCs/>
          <w:i/>
          <w:iCs/>
        </w:rPr>
      </w:pPr>
      <w:r w:rsidRPr="004154E0">
        <w:rPr>
          <w:rFonts w:asciiTheme="minorHAnsi" w:hAnsiTheme="minorHAnsi" w:cstheme="minorHAnsi"/>
          <w:b/>
          <w:bCs/>
          <w:i/>
          <w:iCs/>
        </w:rPr>
        <w:t>Consultation Response</w:t>
      </w:r>
    </w:p>
    <w:p w14:paraId="584344AE" w14:textId="77777777" w:rsidR="004154E0" w:rsidRPr="004154E0" w:rsidRDefault="004A7A82" w:rsidP="004154E0">
      <w:pPr>
        <w:jc w:val="both"/>
        <w:rPr>
          <w:rFonts w:asciiTheme="minorHAnsi" w:hAnsiTheme="minorHAnsi" w:cstheme="minorHAnsi"/>
        </w:rPr>
      </w:pPr>
      <w:r w:rsidRPr="004154E0">
        <w:rPr>
          <w:rFonts w:asciiTheme="minorHAnsi" w:hAnsiTheme="minorHAnsi" w:cstheme="minorHAnsi"/>
        </w:rPr>
        <w:t xml:space="preserve">2 respondents raised concerns about the impact on young people getting in to work, education or training through the </w:t>
      </w:r>
      <w:r w:rsidRPr="004154E0">
        <w:rPr>
          <w:rFonts w:asciiTheme="minorHAnsi" w:eastAsia="Arial" w:hAnsiTheme="minorHAnsi" w:cstheme="minorHAnsi"/>
        </w:rPr>
        <w:t>withdrawal of the Young Persons Travel scheme. The scheme is not well used, and its removal will release resources that will be reassigned to support other services delivering school transport and Bus Service Improvement Plan objectives.</w:t>
      </w:r>
    </w:p>
    <w:p w14:paraId="27AE9EE1" w14:textId="77777777" w:rsidR="004154E0" w:rsidRPr="004154E0" w:rsidRDefault="004154E0" w:rsidP="004154E0">
      <w:pPr>
        <w:jc w:val="both"/>
        <w:rPr>
          <w:rFonts w:asciiTheme="minorHAnsi" w:hAnsiTheme="minorHAnsi" w:cstheme="minorHAnsi"/>
        </w:rPr>
      </w:pPr>
    </w:p>
    <w:p w14:paraId="7111E524" w14:textId="77777777" w:rsidR="004154E0" w:rsidRPr="004154E0" w:rsidRDefault="004A7A82" w:rsidP="004154E0">
      <w:pPr>
        <w:jc w:val="both"/>
        <w:rPr>
          <w:rFonts w:asciiTheme="minorHAnsi" w:hAnsiTheme="minorHAnsi" w:cstheme="minorHAnsi"/>
          <w:b/>
          <w:bCs/>
          <w:i/>
          <w:iCs/>
        </w:rPr>
      </w:pPr>
      <w:r w:rsidRPr="004154E0">
        <w:rPr>
          <w:rFonts w:asciiTheme="minorHAnsi" w:hAnsiTheme="minorHAnsi" w:cstheme="minorHAnsi"/>
          <w:b/>
          <w:bCs/>
          <w:i/>
          <w:iCs/>
        </w:rPr>
        <w:t>Officer Response</w:t>
      </w:r>
    </w:p>
    <w:p w14:paraId="56909A40" w14:textId="1BDD495B" w:rsidR="004154E0" w:rsidRPr="004154E0" w:rsidRDefault="004A7A82" w:rsidP="004154E0">
      <w:pPr>
        <w:jc w:val="both"/>
        <w:rPr>
          <w:rFonts w:asciiTheme="minorHAnsi" w:hAnsiTheme="minorHAnsi" w:cstheme="minorHAnsi"/>
        </w:rPr>
      </w:pPr>
      <w:r w:rsidRPr="004154E0">
        <w:rPr>
          <w:rFonts w:asciiTheme="minorHAnsi" w:eastAsia="Arial" w:hAnsiTheme="minorHAnsi" w:cstheme="minorHAnsi"/>
        </w:rPr>
        <w:t xml:space="preserve">The scheme is not well used, and its removal will release resources that will be reassigned to support other services delivering school transport. The </w:t>
      </w:r>
      <w:r w:rsidR="007E255F">
        <w:rPr>
          <w:rFonts w:asciiTheme="minorHAnsi" w:eastAsia="Arial" w:hAnsiTheme="minorHAnsi" w:cstheme="minorHAnsi"/>
        </w:rPr>
        <w:t>C</w:t>
      </w:r>
      <w:r w:rsidRPr="004154E0">
        <w:rPr>
          <w:rFonts w:asciiTheme="minorHAnsi" w:eastAsia="Arial" w:hAnsiTheme="minorHAnsi" w:cstheme="minorHAnsi"/>
        </w:rPr>
        <w:t xml:space="preserve">ouncil, following the approval of the joint Bus Service Improvement Plan, is, in partnership with bus operators, investing significantly in the bus network and infrastructure to support bus travel throughout the county to the benefit of all residents. The council will undertake a specific consultation exercise on this proposal with the outcome reported back to a future </w:t>
      </w:r>
      <w:r w:rsidR="007E255F">
        <w:rPr>
          <w:rFonts w:asciiTheme="minorHAnsi" w:eastAsia="Arial" w:hAnsiTheme="minorHAnsi" w:cstheme="minorHAnsi"/>
        </w:rPr>
        <w:t>c</w:t>
      </w:r>
      <w:r w:rsidRPr="004154E0">
        <w:rPr>
          <w:rFonts w:asciiTheme="minorHAnsi" w:eastAsia="Arial" w:hAnsiTheme="minorHAnsi" w:cstheme="minorHAnsi"/>
        </w:rPr>
        <w:t>abinet meeting for a final decision to be made regarding its implementation.</w:t>
      </w:r>
    </w:p>
    <w:p w14:paraId="047A72FA" w14:textId="77777777" w:rsidR="004154E0" w:rsidRPr="004154E0" w:rsidRDefault="004154E0" w:rsidP="004154E0">
      <w:pPr>
        <w:jc w:val="both"/>
        <w:rPr>
          <w:rFonts w:asciiTheme="minorHAnsi" w:hAnsiTheme="minorHAnsi" w:cstheme="minorHAnsi"/>
        </w:rPr>
      </w:pPr>
    </w:p>
    <w:p w14:paraId="68999F9C" w14:textId="77777777" w:rsidR="004154E0" w:rsidRPr="004154E0" w:rsidRDefault="004A7A82" w:rsidP="004154E0">
      <w:pPr>
        <w:jc w:val="both"/>
        <w:rPr>
          <w:rFonts w:asciiTheme="minorHAnsi" w:hAnsiTheme="minorHAnsi" w:cstheme="minorHAnsi"/>
          <w:b/>
          <w:bCs/>
          <w:i/>
          <w:iCs/>
        </w:rPr>
      </w:pPr>
      <w:r w:rsidRPr="004154E0">
        <w:rPr>
          <w:rFonts w:asciiTheme="minorHAnsi" w:hAnsiTheme="minorHAnsi" w:cstheme="minorHAnsi"/>
          <w:b/>
          <w:bCs/>
          <w:i/>
          <w:iCs/>
        </w:rPr>
        <w:t>Consultation Response</w:t>
      </w:r>
    </w:p>
    <w:p w14:paraId="688D05C0" w14:textId="6D91963D" w:rsidR="004154E0" w:rsidRPr="004154E0" w:rsidRDefault="004A7A82" w:rsidP="004154E0">
      <w:pPr>
        <w:jc w:val="both"/>
        <w:rPr>
          <w:rFonts w:asciiTheme="minorHAnsi" w:hAnsiTheme="minorHAnsi" w:cstheme="minorHAnsi"/>
        </w:rPr>
      </w:pPr>
      <w:r w:rsidRPr="004154E0">
        <w:rPr>
          <w:rFonts w:asciiTheme="minorHAnsi" w:hAnsiTheme="minorHAnsi" w:cstheme="minorHAnsi"/>
        </w:rPr>
        <w:t xml:space="preserve">2 respondents raised concerns about the impact of the </w:t>
      </w:r>
      <w:r w:rsidR="007E255F">
        <w:rPr>
          <w:rFonts w:asciiTheme="minorHAnsi" w:hAnsiTheme="minorHAnsi" w:cstheme="minorHAnsi"/>
        </w:rPr>
        <w:t>a</w:t>
      </w:r>
      <w:r w:rsidRPr="004154E0">
        <w:rPr>
          <w:rFonts w:asciiTheme="minorHAnsi" w:hAnsiTheme="minorHAnsi" w:cstheme="minorHAnsi"/>
        </w:rPr>
        <w:t xml:space="preserve">dult </w:t>
      </w:r>
      <w:r w:rsidR="007E255F">
        <w:rPr>
          <w:rFonts w:asciiTheme="minorHAnsi" w:hAnsiTheme="minorHAnsi" w:cstheme="minorHAnsi"/>
        </w:rPr>
        <w:t>s</w:t>
      </w:r>
      <w:r w:rsidRPr="004154E0">
        <w:rPr>
          <w:rFonts w:asciiTheme="minorHAnsi" w:hAnsiTheme="minorHAnsi" w:cstheme="minorHAnsi"/>
        </w:rPr>
        <w:t xml:space="preserve">ocial </w:t>
      </w:r>
      <w:r w:rsidR="007E255F">
        <w:rPr>
          <w:rFonts w:asciiTheme="minorHAnsi" w:hAnsiTheme="minorHAnsi" w:cstheme="minorHAnsi"/>
        </w:rPr>
        <w:t>c</w:t>
      </w:r>
      <w:r w:rsidRPr="004154E0">
        <w:rPr>
          <w:rFonts w:asciiTheme="minorHAnsi" w:hAnsiTheme="minorHAnsi" w:cstheme="minorHAnsi"/>
        </w:rPr>
        <w:t xml:space="preserve">are savings proposals on service </w:t>
      </w:r>
      <w:proofErr w:type="gramStart"/>
      <w:r w:rsidRPr="004154E0">
        <w:rPr>
          <w:rFonts w:asciiTheme="minorHAnsi" w:hAnsiTheme="minorHAnsi" w:cstheme="minorHAnsi"/>
        </w:rPr>
        <w:t>users</w:t>
      </w:r>
      <w:proofErr w:type="gramEnd"/>
      <w:r w:rsidRPr="004154E0">
        <w:rPr>
          <w:rFonts w:asciiTheme="minorHAnsi" w:hAnsiTheme="minorHAnsi" w:cstheme="minorHAnsi"/>
        </w:rPr>
        <w:t xml:space="preserve"> choice and the quality of their care.  Both respondents also requested a full equality impact assessment being undertaken of all relevant proposals.</w:t>
      </w:r>
    </w:p>
    <w:p w14:paraId="05228E0A" w14:textId="77777777" w:rsidR="004154E0" w:rsidRPr="004154E0" w:rsidRDefault="004154E0" w:rsidP="004154E0">
      <w:pPr>
        <w:jc w:val="both"/>
        <w:rPr>
          <w:rFonts w:asciiTheme="minorHAnsi" w:hAnsiTheme="minorHAnsi" w:cstheme="minorHAnsi"/>
        </w:rPr>
      </w:pPr>
    </w:p>
    <w:p w14:paraId="19AFCFB4" w14:textId="77777777" w:rsidR="004154E0" w:rsidRPr="004154E0" w:rsidRDefault="004A7A82" w:rsidP="004154E0">
      <w:pPr>
        <w:jc w:val="both"/>
        <w:rPr>
          <w:rFonts w:asciiTheme="minorHAnsi" w:hAnsiTheme="minorHAnsi" w:cstheme="minorHAnsi"/>
          <w:b/>
          <w:bCs/>
          <w:i/>
          <w:iCs/>
        </w:rPr>
      </w:pPr>
      <w:r w:rsidRPr="004154E0">
        <w:rPr>
          <w:rFonts w:asciiTheme="minorHAnsi" w:hAnsiTheme="minorHAnsi" w:cstheme="minorHAnsi"/>
          <w:b/>
          <w:bCs/>
          <w:i/>
          <w:iCs/>
        </w:rPr>
        <w:t>Officer Response</w:t>
      </w:r>
    </w:p>
    <w:p w14:paraId="08BFFD77" w14:textId="77777777" w:rsidR="004154E0" w:rsidRPr="004154E0" w:rsidRDefault="004A7A82" w:rsidP="004154E0">
      <w:pPr>
        <w:jc w:val="both"/>
        <w:rPr>
          <w:rFonts w:asciiTheme="minorHAnsi" w:hAnsiTheme="minorHAnsi" w:cstheme="minorHAnsi"/>
        </w:rPr>
      </w:pPr>
      <w:r w:rsidRPr="004154E0">
        <w:rPr>
          <w:rFonts w:asciiTheme="minorHAnsi" w:hAnsiTheme="minorHAnsi" w:cstheme="minorHAnsi"/>
        </w:rPr>
        <w:t xml:space="preserve">An equality impact assessment has been produced for all relevant proposals and are provided via the link in the budget report.  Any charges made to a service user are made </w:t>
      </w:r>
      <w:proofErr w:type="gramStart"/>
      <w:r w:rsidRPr="004154E0">
        <w:rPr>
          <w:rFonts w:asciiTheme="minorHAnsi" w:hAnsiTheme="minorHAnsi" w:cstheme="minorHAnsi"/>
        </w:rPr>
        <w:t>on the basis of</w:t>
      </w:r>
      <w:proofErr w:type="gramEnd"/>
      <w:r w:rsidRPr="004154E0">
        <w:rPr>
          <w:rFonts w:asciiTheme="minorHAnsi" w:hAnsiTheme="minorHAnsi" w:cstheme="minorHAnsi"/>
        </w:rPr>
        <w:t xml:space="preserve"> their ability to pay which is identified through the offer and completion of a detailed financial assessment.  The proposed charges are in line with those in place in most other councils.</w:t>
      </w:r>
    </w:p>
    <w:p w14:paraId="486B863D" w14:textId="77777777" w:rsidR="004154E0" w:rsidRPr="004154E0" w:rsidRDefault="004154E0" w:rsidP="004154E0">
      <w:pPr>
        <w:jc w:val="both"/>
        <w:rPr>
          <w:rFonts w:asciiTheme="minorHAnsi" w:hAnsiTheme="minorHAnsi" w:cstheme="minorHAnsi"/>
        </w:rPr>
      </w:pPr>
    </w:p>
    <w:p w14:paraId="60099AFD" w14:textId="77777777" w:rsidR="004154E0" w:rsidRPr="004154E0" w:rsidRDefault="004A7A82" w:rsidP="004154E0">
      <w:pPr>
        <w:jc w:val="both"/>
        <w:rPr>
          <w:rFonts w:asciiTheme="minorHAnsi" w:hAnsiTheme="minorHAnsi" w:cstheme="minorHAnsi"/>
          <w:b/>
          <w:bCs/>
          <w:i/>
          <w:iCs/>
        </w:rPr>
      </w:pPr>
      <w:r w:rsidRPr="004154E0">
        <w:rPr>
          <w:rFonts w:asciiTheme="minorHAnsi" w:hAnsiTheme="minorHAnsi" w:cstheme="minorHAnsi"/>
          <w:b/>
          <w:bCs/>
          <w:i/>
          <w:iCs/>
        </w:rPr>
        <w:t>Consultation Response</w:t>
      </w:r>
    </w:p>
    <w:p w14:paraId="6B8BCB07" w14:textId="77777777" w:rsidR="004154E0" w:rsidRPr="004154E0" w:rsidRDefault="004A7A82" w:rsidP="004154E0">
      <w:pPr>
        <w:jc w:val="both"/>
        <w:rPr>
          <w:rFonts w:asciiTheme="minorHAnsi" w:hAnsiTheme="minorHAnsi" w:cstheme="minorHAnsi"/>
        </w:rPr>
      </w:pPr>
      <w:r w:rsidRPr="004154E0">
        <w:rPr>
          <w:rFonts w:asciiTheme="minorHAnsi" w:hAnsiTheme="minorHAnsi" w:cstheme="minorHAnsi"/>
        </w:rPr>
        <w:t xml:space="preserve">2 respondents welcomed the proposal to innovate in the collection and treatment of food waste through the anaerobic digestion proposal </w:t>
      </w:r>
      <w:r w:rsidRPr="004154E0">
        <w:rPr>
          <w:rFonts w:asciiTheme="minorHAnsi" w:eastAsia="Arial" w:hAnsiTheme="minorHAnsi" w:cstheme="minorHAnsi"/>
        </w:rPr>
        <w:t xml:space="preserve">through the installation and modification of facilities at </w:t>
      </w:r>
      <w:proofErr w:type="spellStart"/>
      <w:r w:rsidRPr="004154E0">
        <w:rPr>
          <w:rFonts w:asciiTheme="minorHAnsi" w:eastAsia="Arial" w:hAnsiTheme="minorHAnsi" w:cstheme="minorHAnsi"/>
        </w:rPr>
        <w:t>Farington</w:t>
      </w:r>
      <w:proofErr w:type="spellEnd"/>
      <w:r w:rsidRPr="004154E0">
        <w:rPr>
          <w:rFonts w:asciiTheme="minorHAnsi" w:eastAsia="Arial" w:hAnsiTheme="minorHAnsi" w:cstheme="minorHAnsi"/>
        </w:rPr>
        <w:t xml:space="preserve"> Waste Recovery Park. 1 of the respondents raised a concern regarding an increase in cost to the district council of collecting food waste and that some of the saving should help offset this cost.  </w:t>
      </w:r>
    </w:p>
    <w:p w14:paraId="6CF8B3B1" w14:textId="77777777" w:rsidR="004154E0" w:rsidRPr="004154E0" w:rsidRDefault="004154E0" w:rsidP="004154E0">
      <w:pPr>
        <w:jc w:val="both"/>
        <w:rPr>
          <w:rFonts w:asciiTheme="minorHAnsi" w:hAnsiTheme="minorHAnsi" w:cstheme="minorHAnsi"/>
        </w:rPr>
      </w:pPr>
    </w:p>
    <w:p w14:paraId="1C1279B9" w14:textId="77777777" w:rsidR="004154E0" w:rsidRPr="004154E0" w:rsidRDefault="004A7A82" w:rsidP="004154E0">
      <w:pPr>
        <w:jc w:val="both"/>
        <w:rPr>
          <w:rFonts w:asciiTheme="minorHAnsi" w:hAnsiTheme="minorHAnsi" w:cstheme="minorHAnsi"/>
          <w:b/>
          <w:bCs/>
          <w:i/>
          <w:iCs/>
        </w:rPr>
      </w:pPr>
      <w:r w:rsidRPr="004154E0">
        <w:rPr>
          <w:rFonts w:asciiTheme="minorHAnsi" w:hAnsiTheme="minorHAnsi" w:cstheme="minorHAnsi"/>
          <w:b/>
          <w:bCs/>
          <w:i/>
          <w:iCs/>
        </w:rPr>
        <w:t>Officer Response</w:t>
      </w:r>
    </w:p>
    <w:p w14:paraId="0BD481C1" w14:textId="77777777" w:rsidR="004154E0" w:rsidRDefault="004A7A82" w:rsidP="00C35BDF">
      <w:pPr>
        <w:pStyle w:val="Default"/>
        <w:jc w:val="both"/>
        <w:rPr>
          <w:rFonts w:asciiTheme="minorHAnsi" w:hAnsiTheme="minorHAnsi" w:cstheme="minorHAnsi"/>
          <w:color w:val="auto"/>
        </w:rPr>
      </w:pPr>
      <w:r w:rsidRPr="004154E0">
        <w:rPr>
          <w:rFonts w:asciiTheme="minorHAnsi" w:hAnsiTheme="minorHAnsi" w:cstheme="minorHAnsi"/>
        </w:rPr>
        <w:t xml:space="preserve">The positive response to the proposal is welcomed.  In terms of the collection costs, the government has committed to meet the 'full cost' of any food waste collections so district councils should not need assistance with collection costs. This includes   </w:t>
      </w:r>
      <w:r w:rsidRPr="004154E0">
        <w:rPr>
          <w:rFonts w:asciiTheme="minorHAnsi" w:hAnsiTheme="minorHAnsi" w:cstheme="minorHAnsi"/>
        </w:rPr>
        <w:lastRenderedPageBreak/>
        <w:t>transitional funding being provided from the 2024/25 financial year and o</w:t>
      </w:r>
      <w:r w:rsidRPr="004154E0">
        <w:rPr>
          <w:rFonts w:asciiTheme="minorHAnsi" w:hAnsiTheme="minorHAnsi" w:cstheme="minorHAnsi"/>
          <w:color w:val="auto"/>
        </w:rPr>
        <w:t xml:space="preserve">ngoing resource/revenue costs will be provided from 1 April 2026 to all waste collection authorities, including those that have already fully implemented a food waste collection service. </w:t>
      </w:r>
    </w:p>
    <w:p w14:paraId="50F44A87" w14:textId="77777777" w:rsidR="00C35BDF" w:rsidRPr="004154E0" w:rsidRDefault="00C35BDF" w:rsidP="00C35BDF">
      <w:pPr>
        <w:pStyle w:val="Default"/>
        <w:jc w:val="both"/>
        <w:rPr>
          <w:rFonts w:asciiTheme="minorHAnsi" w:hAnsiTheme="minorHAnsi" w:cstheme="minorHAnsi"/>
          <w:color w:val="auto"/>
        </w:rPr>
      </w:pPr>
    </w:p>
    <w:p w14:paraId="728290E4" w14:textId="2EF0B2AE" w:rsidR="004154E0" w:rsidRPr="004154E0" w:rsidRDefault="004A7A82" w:rsidP="00C35BDF">
      <w:pPr>
        <w:jc w:val="both"/>
        <w:rPr>
          <w:rFonts w:asciiTheme="minorHAnsi" w:hAnsiTheme="minorHAnsi" w:cstheme="minorHAnsi"/>
        </w:rPr>
      </w:pPr>
      <w:r w:rsidRPr="004154E0">
        <w:rPr>
          <w:rFonts w:asciiTheme="minorHAnsi" w:hAnsiTheme="minorHAnsi" w:cstheme="minorHAnsi"/>
          <w:lang w:eastAsia="en-US"/>
        </w:rPr>
        <w:t>In addition</w:t>
      </w:r>
      <w:r w:rsidR="00C35BDF">
        <w:rPr>
          <w:rFonts w:asciiTheme="minorHAnsi" w:hAnsiTheme="minorHAnsi" w:cstheme="minorHAnsi"/>
          <w:lang w:eastAsia="en-US"/>
        </w:rPr>
        <w:t>,</w:t>
      </w:r>
      <w:r w:rsidRPr="004154E0">
        <w:rPr>
          <w:rFonts w:asciiTheme="minorHAnsi" w:hAnsiTheme="minorHAnsi" w:cstheme="minorHAnsi"/>
          <w:lang w:eastAsia="en-US"/>
        </w:rPr>
        <w:t xml:space="preserve"> disposal authorities are not receiving any additional funding and the county council is investing heavily to realise the benefits. The material recovery facility (MURF) also requires more investment as other recycling requirements come into force </w:t>
      </w:r>
      <w:proofErr w:type="gramStart"/>
      <w:r w:rsidRPr="004154E0">
        <w:rPr>
          <w:rFonts w:asciiTheme="minorHAnsi" w:hAnsiTheme="minorHAnsi" w:cstheme="minorHAnsi"/>
          <w:lang w:eastAsia="en-US"/>
        </w:rPr>
        <w:t>as a result of</w:t>
      </w:r>
      <w:proofErr w:type="gramEnd"/>
      <w:r w:rsidRPr="004154E0">
        <w:rPr>
          <w:rFonts w:asciiTheme="minorHAnsi" w:hAnsiTheme="minorHAnsi" w:cstheme="minorHAnsi"/>
          <w:lang w:eastAsia="en-US"/>
        </w:rPr>
        <w:t xml:space="preserve"> the Environment Act which will make recycling simpler, and more economical, for collection authorities </w:t>
      </w:r>
      <w:r w:rsidR="00C35BDF" w:rsidRPr="004154E0">
        <w:rPr>
          <w:rFonts w:asciiTheme="minorHAnsi" w:hAnsiTheme="minorHAnsi" w:cstheme="minorHAnsi"/>
          <w:lang w:eastAsia="en-US"/>
        </w:rPr>
        <w:t>with fewer</w:t>
      </w:r>
      <w:r w:rsidRPr="004154E0">
        <w:rPr>
          <w:rFonts w:asciiTheme="minorHAnsi" w:hAnsiTheme="minorHAnsi" w:cstheme="minorHAnsi"/>
          <w:lang w:eastAsia="en-US"/>
        </w:rPr>
        <w:t xml:space="preserve"> containers to collect.</w:t>
      </w:r>
    </w:p>
    <w:p w14:paraId="15FD7B7C" w14:textId="77777777" w:rsidR="004154E0" w:rsidRPr="004154E0" w:rsidRDefault="004154E0" w:rsidP="004154E0">
      <w:pPr>
        <w:jc w:val="both"/>
        <w:rPr>
          <w:rFonts w:asciiTheme="minorHAnsi" w:hAnsiTheme="minorHAnsi" w:cstheme="minorHAnsi"/>
        </w:rPr>
      </w:pPr>
    </w:p>
    <w:p w14:paraId="3876F2E1" w14:textId="77777777" w:rsidR="004154E0" w:rsidRPr="004154E0" w:rsidRDefault="004A7A82" w:rsidP="004154E0">
      <w:pPr>
        <w:jc w:val="both"/>
        <w:rPr>
          <w:rFonts w:asciiTheme="minorHAnsi" w:hAnsiTheme="minorHAnsi" w:cstheme="minorHAnsi"/>
          <w:b/>
          <w:bCs/>
          <w:i/>
          <w:iCs/>
        </w:rPr>
      </w:pPr>
      <w:r w:rsidRPr="004154E0">
        <w:rPr>
          <w:rFonts w:asciiTheme="minorHAnsi" w:hAnsiTheme="minorHAnsi" w:cstheme="minorHAnsi"/>
          <w:b/>
          <w:bCs/>
          <w:i/>
          <w:iCs/>
        </w:rPr>
        <w:t>Consultation Response</w:t>
      </w:r>
    </w:p>
    <w:p w14:paraId="4650695F" w14:textId="77777777" w:rsidR="004154E0" w:rsidRPr="004154E0" w:rsidRDefault="004A7A82" w:rsidP="004154E0">
      <w:pPr>
        <w:jc w:val="both"/>
        <w:rPr>
          <w:rFonts w:asciiTheme="minorHAnsi" w:hAnsiTheme="minorHAnsi" w:cstheme="minorHAnsi"/>
          <w:b/>
          <w:bCs/>
          <w:i/>
          <w:iCs/>
        </w:rPr>
      </w:pPr>
      <w:r w:rsidRPr="004154E0">
        <w:rPr>
          <w:rFonts w:asciiTheme="minorHAnsi" w:hAnsiTheme="minorHAnsi" w:cstheme="minorHAnsi"/>
        </w:rPr>
        <w:t xml:space="preserve">A respondent did not want the proposal to introduce pay and display machine at Lancaster Park and Ride to be proceed due to the potential impact on sustainable transport in the district.  </w:t>
      </w:r>
    </w:p>
    <w:p w14:paraId="15E72DDE" w14:textId="77777777" w:rsidR="004154E0" w:rsidRPr="004154E0" w:rsidRDefault="004154E0" w:rsidP="004154E0">
      <w:pPr>
        <w:jc w:val="both"/>
        <w:rPr>
          <w:rFonts w:asciiTheme="minorHAnsi" w:hAnsiTheme="minorHAnsi" w:cstheme="minorHAnsi"/>
        </w:rPr>
      </w:pPr>
    </w:p>
    <w:p w14:paraId="60D754A5" w14:textId="77777777" w:rsidR="004154E0" w:rsidRPr="004154E0" w:rsidRDefault="004A7A82" w:rsidP="004154E0">
      <w:pPr>
        <w:jc w:val="both"/>
        <w:rPr>
          <w:rFonts w:asciiTheme="minorHAnsi" w:hAnsiTheme="minorHAnsi" w:cstheme="minorHAnsi"/>
          <w:b/>
          <w:bCs/>
          <w:i/>
          <w:iCs/>
        </w:rPr>
      </w:pPr>
      <w:r w:rsidRPr="004154E0">
        <w:rPr>
          <w:rFonts w:asciiTheme="minorHAnsi" w:hAnsiTheme="minorHAnsi" w:cstheme="minorHAnsi"/>
          <w:b/>
          <w:bCs/>
          <w:i/>
          <w:iCs/>
        </w:rPr>
        <w:t>Officer Response</w:t>
      </w:r>
    </w:p>
    <w:p w14:paraId="3FD72438" w14:textId="77777777" w:rsidR="004154E0" w:rsidRPr="004154E0" w:rsidRDefault="004A7A82" w:rsidP="004154E0">
      <w:pPr>
        <w:jc w:val="both"/>
        <w:rPr>
          <w:rFonts w:asciiTheme="minorHAnsi" w:hAnsiTheme="minorHAnsi" w:cstheme="minorHAnsi"/>
        </w:rPr>
      </w:pPr>
      <w:r w:rsidRPr="004154E0">
        <w:rPr>
          <w:rFonts w:asciiTheme="minorHAnsi" w:hAnsiTheme="minorHAnsi" w:cstheme="minorHAnsi"/>
        </w:rPr>
        <w:t>The proposal is in line with arrangements in place at other Park and Rides.</w:t>
      </w:r>
    </w:p>
    <w:p w14:paraId="6A258AC1" w14:textId="77777777" w:rsidR="004154E0" w:rsidRPr="004154E0" w:rsidRDefault="004154E0" w:rsidP="004154E0">
      <w:pPr>
        <w:jc w:val="both"/>
        <w:rPr>
          <w:rFonts w:asciiTheme="minorHAnsi" w:hAnsiTheme="minorHAnsi" w:cstheme="minorHAnsi"/>
        </w:rPr>
      </w:pPr>
    </w:p>
    <w:p w14:paraId="3D48F42B" w14:textId="77777777" w:rsidR="004154E0" w:rsidRPr="004154E0" w:rsidRDefault="004A7A82" w:rsidP="004154E0">
      <w:pPr>
        <w:jc w:val="both"/>
        <w:rPr>
          <w:rFonts w:asciiTheme="minorHAnsi" w:hAnsiTheme="minorHAnsi" w:cstheme="minorHAnsi"/>
        </w:rPr>
      </w:pPr>
      <w:r w:rsidRPr="004154E0">
        <w:rPr>
          <w:rFonts w:asciiTheme="minorHAnsi" w:hAnsiTheme="minorHAnsi" w:cstheme="minorHAnsi"/>
        </w:rPr>
        <w:t>Officers therefore recommend no change to the budget as proposed to Full Council.</w:t>
      </w:r>
    </w:p>
    <w:p w14:paraId="43A653E0" w14:textId="77777777" w:rsidR="004154E0" w:rsidRPr="00C40133" w:rsidRDefault="004154E0" w:rsidP="00320643">
      <w:pPr>
        <w:autoSpaceDE w:val="0"/>
        <w:autoSpaceDN w:val="0"/>
        <w:adjustRightInd w:val="0"/>
        <w:jc w:val="both"/>
        <w:rPr>
          <w:rFonts w:eastAsia="Calibri" w:cs="Helvetica-Light"/>
          <w:b/>
          <w:bCs/>
          <w:color w:val="000000"/>
          <w:u w:val="single"/>
        </w:rPr>
      </w:pPr>
    </w:p>
    <w:sectPr w:rsidR="004154E0" w:rsidRPr="00C40133" w:rsidSect="00850794">
      <w:pgSz w:w="11906" w:h="16838" w:code="9"/>
      <w:pgMar w:top="1418" w:right="1418" w:bottom="1418" w:left="1418" w:header="454"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B6B8" w14:textId="77777777" w:rsidR="004A7A82" w:rsidRDefault="004A7A82">
      <w:r>
        <w:separator/>
      </w:r>
    </w:p>
  </w:endnote>
  <w:endnote w:type="continuationSeparator" w:id="0">
    <w:p w14:paraId="716E2525" w14:textId="77777777" w:rsidR="004A7A82" w:rsidRDefault="004A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326C" w14:textId="77777777" w:rsidR="00173958" w:rsidRDefault="00173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D50E" w14:textId="7820CB5F" w:rsidR="005737F0" w:rsidRDefault="004A7A82" w:rsidP="00404131">
    <w:pPr>
      <w:pStyle w:val="Footer"/>
      <w:tabs>
        <w:tab w:val="right" w:pos="8789"/>
      </w:tabs>
      <w:jc w:val="both"/>
    </w:pPr>
    <w:r>
      <w:rPr>
        <w:noProof/>
      </w:rPr>
      <w:drawing>
        <wp:anchor distT="0" distB="0" distL="114300" distR="114300" simplePos="0" relativeHeight="251655168" behindDoc="1" locked="1" layoutInCell="1" allowOverlap="1">
          <wp:simplePos x="0" y="0"/>
          <wp:positionH relativeFrom="column">
            <wp:posOffset>26670</wp:posOffset>
          </wp:positionH>
          <wp:positionV relativeFrom="page">
            <wp:posOffset>10154920</wp:posOffset>
          </wp:positionV>
          <wp:extent cx="5759450" cy="4819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59450" cy="4819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DFDB" w14:textId="08ADC028" w:rsidR="00E12452" w:rsidRDefault="004A7A82" w:rsidP="003203C7">
    <w:pPr>
      <w:pStyle w:val="Footer"/>
      <w:tabs>
        <w:tab w:val="left" w:pos="7093"/>
      </w:tabs>
      <w:jc w:val="both"/>
    </w:pPr>
    <w:r>
      <w:rPr>
        <w:noProof/>
      </w:rPr>
      <w:drawing>
        <wp:anchor distT="0" distB="0" distL="114300" distR="114300" simplePos="0" relativeHeight="251659264" behindDoc="1" locked="1" layoutInCell="1" allowOverlap="0">
          <wp:simplePos x="0" y="0"/>
          <wp:positionH relativeFrom="column">
            <wp:posOffset>-899160</wp:posOffset>
          </wp:positionH>
          <wp:positionV relativeFrom="page">
            <wp:posOffset>10041890</wp:posOffset>
          </wp:positionV>
          <wp:extent cx="7549200" cy="6336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9200" cy="633600"/>
                  </a:xfrm>
                  <a:prstGeom prst="rect">
                    <a:avLst/>
                  </a:prstGeom>
                  <a:noFill/>
                </pic:spPr>
              </pic:pic>
            </a:graphicData>
          </a:graphic>
          <wp14:sizeRelH relativeFrom="page">
            <wp14:pctWidth>0</wp14:pctWidth>
          </wp14:sizeRelH>
          <wp14:sizeRelV relativeFrom="page">
            <wp14:pctHeight>0</wp14:pctHeight>
          </wp14:sizeRelV>
        </wp:anchor>
      </w:drawing>
    </w:r>
    <w:r w:rsidR="003203C7">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1C24" w14:textId="4ECD0864" w:rsidR="00404131" w:rsidRPr="00BF006B" w:rsidRDefault="004A7A82" w:rsidP="00B03942">
    <w:pPr>
      <w:pStyle w:val="Footer"/>
      <w:tabs>
        <w:tab w:val="center" w:pos="4536"/>
        <w:tab w:val="right" w:pos="9072"/>
      </w:tabs>
      <w:ind w:right="-2"/>
      <w:jc w:val="both"/>
      <w:rPr>
        <w:rFonts w:ascii="Calibri" w:hAnsi="Calibri" w:cs="Calibri"/>
      </w:rPr>
    </w:pPr>
    <w:r>
      <w:rPr>
        <w:noProof/>
      </w:rPr>
      <w:drawing>
        <wp:anchor distT="0" distB="0" distL="114300" distR="114300" simplePos="0" relativeHeight="251658240" behindDoc="1" locked="1" layoutInCell="1" allowOverlap="1">
          <wp:simplePos x="0" y="0"/>
          <wp:positionH relativeFrom="column">
            <wp:posOffset>-889000</wp:posOffset>
          </wp:positionH>
          <wp:positionV relativeFrom="page">
            <wp:posOffset>10038080</wp:posOffset>
          </wp:positionV>
          <wp:extent cx="7556400" cy="6480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6400" cy="648000"/>
                  </a:xfrm>
                  <a:prstGeom prst="rect">
                    <a:avLst/>
                  </a:prstGeom>
                  <a:noFill/>
                </pic:spPr>
              </pic:pic>
            </a:graphicData>
          </a:graphic>
          <wp14:sizeRelH relativeFrom="page">
            <wp14:pctWidth>0</wp14:pctWidth>
          </wp14:sizeRelH>
          <wp14:sizeRelV relativeFrom="page">
            <wp14:pctHeight>0</wp14:pctHeight>
          </wp14:sizeRelV>
        </wp:anchor>
      </w:drawing>
    </w:r>
    <w:r w:rsidR="002A1234">
      <w:rPr>
        <w:sz w:val="18"/>
        <w:szCs w:val="18"/>
      </w:rPr>
      <w:tab/>
    </w:r>
    <w:r w:rsidR="002A1234">
      <w:rPr>
        <w:sz w:val="18"/>
        <w:szCs w:val="18"/>
      </w:rPr>
      <w:tab/>
    </w:r>
    <w:r w:rsidR="002A1234" w:rsidRPr="00C24AAB">
      <w:rPr>
        <w:rFonts w:ascii="Calibri" w:hAnsi="Calibri" w:cs="Calibri"/>
      </w:rPr>
      <w:fldChar w:fldCharType="begin"/>
    </w:r>
    <w:r w:rsidR="002A1234" w:rsidRPr="00C24AAB">
      <w:rPr>
        <w:rFonts w:ascii="Calibri" w:hAnsi="Calibri" w:cs="Calibri"/>
      </w:rPr>
      <w:instrText xml:space="preserve"> PAGE   \* MERGEFORMAT </w:instrText>
    </w:r>
    <w:r w:rsidR="002A1234" w:rsidRPr="00C24AAB">
      <w:rPr>
        <w:rFonts w:ascii="Calibri" w:hAnsi="Calibri" w:cs="Calibri"/>
      </w:rPr>
      <w:fldChar w:fldCharType="separate"/>
    </w:r>
    <w:r w:rsidR="002A1234" w:rsidRPr="00C24AAB">
      <w:rPr>
        <w:rFonts w:ascii="Calibri" w:hAnsi="Calibri" w:cs="Calibri"/>
        <w:noProof/>
      </w:rPr>
      <w:t>1</w:t>
    </w:r>
    <w:r w:rsidR="002A1234" w:rsidRPr="00C24AAB">
      <w:rPr>
        <w:rFonts w:ascii="Calibri" w:hAnsi="Calibri" w:cs="Calibri"/>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3B20" w14:textId="77777777" w:rsidR="00DB48F8" w:rsidRDefault="00F923D8" w:rsidP="000032F7">
    <w:pPr>
      <w:pStyle w:val="Footer"/>
      <w:tabs>
        <w:tab w:val="center" w:pos="4535"/>
        <w:tab w:val="right" w:pos="8789"/>
      </w:tabs>
      <w:jc w:val="both"/>
    </w:pPr>
    <w:sdt>
      <w:sdtPr>
        <w:id w:val="1289933277"/>
        <w:docPartObj>
          <w:docPartGallery w:val="Page Numbers (Bottom of Page)"/>
          <w:docPartUnique/>
        </w:docPartObj>
      </w:sdtPr>
      <w:sdtEndPr>
        <w:rPr>
          <w:noProof/>
        </w:rPr>
      </w:sdtEndPr>
      <w:sdtContent>
        <w:r w:rsidR="004A7A82">
          <w:rPr>
            <w:noProof/>
          </w:rPr>
          <w:drawing>
            <wp:anchor distT="0" distB="0" distL="114300" distR="114300" simplePos="0" relativeHeight="251657216" behindDoc="1" locked="1" layoutInCell="1" allowOverlap="0">
              <wp:simplePos x="0" y="0"/>
              <wp:positionH relativeFrom="column">
                <wp:posOffset>-156210</wp:posOffset>
              </wp:positionH>
              <wp:positionV relativeFrom="page">
                <wp:posOffset>10044430</wp:posOffset>
              </wp:positionV>
              <wp:extent cx="6674400" cy="547200"/>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74400" cy="547200"/>
                      </a:xfrm>
                      <a:prstGeom prst="rect">
                        <a:avLst/>
                      </a:prstGeom>
                      <a:noFill/>
                    </pic:spPr>
                  </pic:pic>
                </a:graphicData>
              </a:graphic>
              <wp14:sizeRelH relativeFrom="page">
                <wp14:pctWidth>0</wp14:pctWidth>
              </wp14:sizeRelH>
              <wp14:sizeRelV relativeFrom="page">
                <wp14:pctHeight>0</wp14:pctHeight>
              </wp14:sizeRelV>
            </wp:anchor>
          </w:drawing>
        </w:r>
      </w:sdtContent>
    </w:sdt>
    <w:r w:rsidR="004A7A82">
      <w:rPr>
        <w:noProof/>
      </w:rPr>
      <w:tab/>
    </w:r>
    <w:r w:rsidR="004A7A82">
      <w:rPr>
        <w:noProof/>
      </w:rPr>
      <w:tab/>
    </w:r>
    <w:r w:rsidR="004A7A82">
      <w:rPr>
        <w:noProof/>
      </w:rPr>
      <w:fldChar w:fldCharType="begin"/>
    </w:r>
    <w:r w:rsidR="004A7A82">
      <w:rPr>
        <w:noProof/>
      </w:rPr>
      <w:instrText xml:space="preserve"> PAGE   \* MERGEFORMAT </w:instrText>
    </w:r>
    <w:r w:rsidR="004A7A82">
      <w:rPr>
        <w:noProof/>
      </w:rPr>
      <w:fldChar w:fldCharType="separate"/>
    </w:r>
    <w:r w:rsidR="004A7A82">
      <w:rPr>
        <w:noProof/>
      </w:rPr>
      <w:t>1</w:t>
    </w:r>
    <w:r w:rsidR="004A7A8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5E54" w14:textId="77777777" w:rsidR="004A7A82" w:rsidRDefault="004A7A82">
      <w:r>
        <w:separator/>
      </w:r>
    </w:p>
  </w:footnote>
  <w:footnote w:type="continuationSeparator" w:id="0">
    <w:p w14:paraId="59C6D6CE" w14:textId="77777777" w:rsidR="004A7A82" w:rsidRDefault="004A7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5676" w14:textId="77777777" w:rsidR="00173958" w:rsidRDefault="00173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F8F6" w14:textId="2CE6DB15" w:rsidR="0015759F" w:rsidRDefault="004A7A82">
    <w:pPr>
      <w:pStyle w:val="Header"/>
    </w:pPr>
    <w:r>
      <w:rPr>
        <w:noProof/>
      </w:rPr>
      <w:drawing>
        <wp:anchor distT="0" distB="0" distL="114300" distR="114300" simplePos="0" relativeHeight="251654144" behindDoc="1" locked="1" layoutInCell="1" allowOverlap="0">
          <wp:simplePos x="0" y="0"/>
          <wp:positionH relativeFrom="column">
            <wp:posOffset>-890270</wp:posOffset>
          </wp:positionH>
          <wp:positionV relativeFrom="page">
            <wp:posOffset>3810</wp:posOffset>
          </wp:positionV>
          <wp:extent cx="7524000" cy="3470400"/>
          <wp:effectExtent l="0" t="0" r="127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24000" cy="347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EC23" w14:textId="6824EF52" w:rsidR="00613187" w:rsidRDefault="004A7A82">
    <w:pPr>
      <w:pStyle w:val="Header"/>
    </w:pPr>
    <w:r>
      <w:rPr>
        <w:noProof/>
      </w:rPr>
      <w:drawing>
        <wp:anchor distT="0" distB="0" distL="114300" distR="114300" simplePos="0" relativeHeight="251661312" behindDoc="1" locked="1" layoutInCell="1" allowOverlap="0">
          <wp:simplePos x="0" y="0"/>
          <wp:positionH relativeFrom="column">
            <wp:posOffset>-906476</wp:posOffset>
          </wp:positionH>
          <wp:positionV relativeFrom="page">
            <wp:posOffset>6985</wp:posOffset>
          </wp:positionV>
          <wp:extent cx="7556400" cy="3481200"/>
          <wp:effectExtent l="0" t="0" r="6985" b="5080"/>
          <wp:wrapNone/>
          <wp:docPr id="5" name="Picture 5" descr="A picture containing timeline&#10;&#10;&#10;&#10;&#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2" descr="A picture containing timeline&#10;&#10;&#10;&#10;&#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6400" cy="3481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6405" w14:textId="5C213125" w:rsidR="00613187" w:rsidRDefault="004A7A82">
    <w:pPr>
      <w:pStyle w:val="Header"/>
    </w:pPr>
    <w:r>
      <w:rPr>
        <w:noProof/>
      </w:rPr>
      <mc:AlternateContent>
        <mc:Choice Requires="wps">
          <w:drawing>
            <wp:anchor distT="36195" distB="36195" distL="36195" distR="36195" simplePos="0" relativeHeight="251660288" behindDoc="0" locked="1" layoutInCell="1" allowOverlap="0">
              <wp:simplePos x="0" y="0"/>
              <wp:positionH relativeFrom="column">
                <wp:posOffset>50800</wp:posOffset>
              </wp:positionH>
              <wp:positionV relativeFrom="page">
                <wp:posOffset>321310</wp:posOffset>
              </wp:positionV>
              <wp:extent cx="5634000" cy="252000"/>
              <wp:effectExtent l="0" t="0" r="5080" b="0"/>
              <wp:wrapSquare wrapText="left"/>
              <wp:docPr id="1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34000" cy="252000"/>
                      </a:xfrm>
                      <a:prstGeom prst="rect">
                        <a:avLst/>
                      </a:prstGeom>
                      <a:solidFill>
                        <a:srgbClr val="2C5A77"/>
                      </a:solidFill>
                      <a:ln w="6350">
                        <a:noFill/>
                      </a:ln>
                    </wps:spPr>
                    <wps:txbx>
                      <w:txbxContent>
                        <w:p w14:paraId="4F55112C" w14:textId="77777777" w:rsidR="00F96B7B" w:rsidRPr="0071733F" w:rsidRDefault="004A7A82" w:rsidP="00710E10">
                          <w:pPr>
                            <w:rPr>
                              <w:rFonts w:ascii="Calibri" w:hAnsi="Calibri" w:cs="Calibri"/>
                              <w:color w:val="FFFFFF" w:themeColor="background1"/>
                              <w:sz w:val="22"/>
                              <w:szCs w:val="22"/>
                            </w:rPr>
                          </w:pPr>
                          <w:r>
                            <w:rPr>
                              <w:rFonts w:ascii="Calibri" w:hAnsi="Calibri" w:cs="Calibri"/>
                              <w:color w:val="FFFFFF" w:themeColor="background1"/>
                              <w:sz w:val="22"/>
                              <w:szCs w:val="22"/>
                            </w:rPr>
                            <w:t>Appendix A – The County Council's Budget 2024/25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4pt;margin-top:25.3pt;width:443.6pt;height:19.85pt;z-index:25166028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" o:allowoverlap="f" fillcolor="#2c5a77" stroked="f" strokeweight=".5pt">
              <o:lock v:ext="edit" aspectratio="t"/>
              <v:textbox>
                <w:txbxContent>
                  <w:p w14:paraId="4F55112C" w14:textId="77777777" w:rsidR="00F96B7B" w:rsidRPr="0071733F" w:rsidRDefault="004A7A82" w:rsidP="00710E10">
                    <w:pPr>
                      <w:rPr>
                        <w:rFonts w:ascii="Calibri" w:hAnsi="Calibri" w:cs="Calibri"/>
                        <w:color w:val="FFFFFF" w:themeColor="background1"/>
                        <w:sz w:val="22"/>
                        <w:szCs w:val="22"/>
                      </w:rPr>
                    </w:pPr>
                    <w:r>
                      <w:rPr>
                        <w:rFonts w:ascii="Calibri" w:hAnsi="Calibri" w:cs="Calibri"/>
                        <w:color w:val="FFFFFF" w:themeColor="background1"/>
                        <w:sz w:val="22"/>
                        <w:szCs w:val="22"/>
                      </w:rPr>
                      <w:t>Appendix A – The County Council's Budget 2024/25</w:t>
                    </w:r>
                  </w:p>
                </w:txbxContent>
              </v:textbox>
              <w10:wrap type="square" side="left"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5B18" w14:textId="38E04597" w:rsidR="00A90F31" w:rsidRDefault="004A7A82">
    <w:pPr>
      <w:pStyle w:val="Header"/>
    </w:pPr>
    <w:r>
      <w:rPr>
        <w:noProof/>
      </w:rPr>
      <mc:AlternateContent>
        <mc:Choice Requires="wps">
          <w:drawing>
            <wp:anchor distT="71755" distB="71755" distL="71755" distR="71755" simplePos="0" relativeHeight="251656192" behindDoc="0" locked="1" layoutInCell="1" allowOverlap="0">
              <wp:simplePos x="0" y="0"/>
              <wp:positionH relativeFrom="column">
                <wp:posOffset>106680</wp:posOffset>
              </wp:positionH>
              <wp:positionV relativeFrom="page">
                <wp:posOffset>237490</wp:posOffset>
              </wp:positionV>
              <wp:extent cx="5633720" cy="251460"/>
              <wp:effectExtent l="0" t="0" r="5080" b="0"/>
              <wp:wrapSquare wrapText="left"/>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33720" cy="251460"/>
                      </a:xfrm>
                      <a:prstGeom prst="rect">
                        <a:avLst/>
                      </a:prstGeom>
                      <a:solidFill>
                        <a:srgbClr val="2C5A77"/>
                      </a:solidFill>
                      <a:ln w="6350">
                        <a:noFill/>
                      </a:ln>
                    </wps:spPr>
                    <wps:txbx>
                      <w:txbxContent>
                        <w:p w14:paraId="503B0754" w14:textId="77777777" w:rsidR="00DD3B37" w:rsidRPr="0071733F" w:rsidRDefault="004A7A82" w:rsidP="00DD3B37">
                          <w:pPr>
                            <w:rPr>
                              <w:rFonts w:ascii="Calibri" w:hAnsi="Calibri" w:cs="Calibri"/>
                              <w:color w:val="FFFFFF" w:themeColor="background1"/>
                              <w:sz w:val="22"/>
                              <w:szCs w:val="22"/>
                            </w:rPr>
                          </w:pPr>
                          <w:r w:rsidRPr="0071733F">
                            <w:rPr>
                              <w:rFonts w:ascii="Calibri" w:hAnsi="Calibri" w:cs="Calibri"/>
                              <w:color w:val="FFFFFF" w:themeColor="background1"/>
                              <w:sz w:val="22"/>
                              <w:szCs w:val="22"/>
                            </w:rPr>
                            <w:t>Report 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8.4pt;margin-top:18.7pt;width:443.6pt;height:19.8pt;z-index:251656192;visibility:visible;mso-wrap-style:square;mso-width-percent:0;mso-height-percent:0;mso-wrap-distance-left:5.65pt;mso-wrap-distance-top:5.65pt;mso-wrap-distance-right:5.65pt;mso-wrap-distance-bottom:5.6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" o:allowoverlap="f" fillcolor="#2c5a77" stroked="f" strokeweight=".5pt">
              <o:lock v:ext="edit" aspectratio="t"/>
              <v:textbox>
                <w:txbxContent>
                  <w:p w14:paraId="503B0754" w14:textId="77777777" w:rsidR="00DD3B37" w:rsidRPr="0071733F" w:rsidRDefault="004A7A82" w:rsidP="00DD3B37">
                    <w:pPr>
                      <w:rPr>
                        <w:rFonts w:ascii="Calibri" w:hAnsi="Calibri" w:cs="Calibri"/>
                        <w:color w:val="FFFFFF" w:themeColor="background1"/>
                        <w:sz w:val="22"/>
                        <w:szCs w:val="22"/>
                      </w:rPr>
                    </w:pPr>
                    <w:r w:rsidRPr="0071733F">
                      <w:rPr>
                        <w:rFonts w:ascii="Calibri" w:hAnsi="Calibri" w:cs="Calibri"/>
                        <w:color w:val="FFFFFF" w:themeColor="background1"/>
                        <w:sz w:val="22"/>
                        <w:szCs w:val="22"/>
                      </w:rPr>
                      <w:t>Report Title</w:t>
                    </w:r>
                  </w:p>
                </w:txbxContent>
              </v:textbox>
              <w10:wrap type="square" side="left"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B85"/>
    <w:multiLevelType w:val="hybridMultilevel"/>
    <w:tmpl w:val="27185112"/>
    <w:lvl w:ilvl="0" w:tplc="AB5C654A">
      <w:start w:val="1"/>
      <w:numFmt w:val="bullet"/>
      <w:lvlText w:val=""/>
      <w:lvlJc w:val="left"/>
      <w:pPr>
        <w:ind w:left="360" w:hanging="360"/>
      </w:pPr>
      <w:rPr>
        <w:rFonts w:ascii="Symbol" w:hAnsi="Symbol" w:hint="default"/>
      </w:rPr>
    </w:lvl>
    <w:lvl w:ilvl="1" w:tplc="3CC851CC" w:tentative="1">
      <w:start w:val="1"/>
      <w:numFmt w:val="bullet"/>
      <w:lvlText w:val="o"/>
      <w:lvlJc w:val="left"/>
      <w:pPr>
        <w:ind w:left="1080" w:hanging="360"/>
      </w:pPr>
      <w:rPr>
        <w:rFonts w:ascii="Courier New" w:hAnsi="Courier New" w:cs="Courier New" w:hint="default"/>
      </w:rPr>
    </w:lvl>
    <w:lvl w:ilvl="2" w:tplc="6D2CA3B2" w:tentative="1">
      <w:start w:val="1"/>
      <w:numFmt w:val="bullet"/>
      <w:lvlText w:val=""/>
      <w:lvlJc w:val="left"/>
      <w:pPr>
        <w:ind w:left="1800" w:hanging="360"/>
      </w:pPr>
      <w:rPr>
        <w:rFonts w:ascii="Wingdings" w:hAnsi="Wingdings" w:hint="default"/>
      </w:rPr>
    </w:lvl>
    <w:lvl w:ilvl="3" w:tplc="7F066A7E" w:tentative="1">
      <w:start w:val="1"/>
      <w:numFmt w:val="bullet"/>
      <w:lvlText w:val=""/>
      <w:lvlJc w:val="left"/>
      <w:pPr>
        <w:ind w:left="2520" w:hanging="360"/>
      </w:pPr>
      <w:rPr>
        <w:rFonts w:ascii="Symbol" w:hAnsi="Symbol" w:hint="default"/>
      </w:rPr>
    </w:lvl>
    <w:lvl w:ilvl="4" w:tplc="F15CF90C" w:tentative="1">
      <w:start w:val="1"/>
      <w:numFmt w:val="bullet"/>
      <w:lvlText w:val="o"/>
      <w:lvlJc w:val="left"/>
      <w:pPr>
        <w:ind w:left="3240" w:hanging="360"/>
      </w:pPr>
      <w:rPr>
        <w:rFonts w:ascii="Courier New" w:hAnsi="Courier New" w:cs="Courier New" w:hint="default"/>
      </w:rPr>
    </w:lvl>
    <w:lvl w:ilvl="5" w:tplc="DF18436C" w:tentative="1">
      <w:start w:val="1"/>
      <w:numFmt w:val="bullet"/>
      <w:lvlText w:val=""/>
      <w:lvlJc w:val="left"/>
      <w:pPr>
        <w:ind w:left="3960" w:hanging="360"/>
      </w:pPr>
      <w:rPr>
        <w:rFonts w:ascii="Wingdings" w:hAnsi="Wingdings" w:hint="default"/>
      </w:rPr>
    </w:lvl>
    <w:lvl w:ilvl="6" w:tplc="1AACAB6C" w:tentative="1">
      <w:start w:val="1"/>
      <w:numFmt w:val="bullet"/>
      <w:lvlText w:val=""/>
      <w:lvlJc w:val="left"/>
      <w:pPr>
        <w:ind w:left="4680" w:hanging="360"/>
      </w:pPr>
      <w:rPr>
        <w:rFonts w:ascii="Symbol" w:hAnsi="Symbol" w:hint="default"/>
      </w:rPr>
    </w:lvl>
    <w:lvl w:ilvl="7" w:tplc="EBF6C568" w:tentative="1">
      <w:start w:val="1"/>
      <w:numFmt w:val="bullet"/>
      <w:lvlText w:val="o"/>
      <w:lvlJc w:val="left"/>
      <w:pPr>
        <w:ind w:left="5400" w:hanging="360"/>
      </w:pPr>
      <w:rPr>
        <w:rFonts w:ascii="Courier New" w:hAnsi="Courier New" w:cs="Courier New" w:hint="default"/>
      </w:rPr>
    </w:lvl>
    <w:lvl w:ilvl="8" w:tplc="C7EAD836" w:tentative="1">
      <w:start w:val="1"/>
      <w:numFmt w:val="bullet"/>
      <w:lvlText w:val=""/>
      <w:lvlJc w:val="left"/>
      <w:pPr>
        <w:ind w:left="6120" w:hanging="360"/>
      </w:pPr>
      <w:rPr>
        <w:rFonts w:ascii="Wingdings" w:hAnsi="Wingdings" w:hint="default"/>
      </w:rPr>
    </w:lvl>
  </w:abstractNum>
  <w:abstractNum w:abstractNumId="1" w15:restartNumberingAfterBreak="0">
    <w:nsid w:val="036264D1"/>
    <w:multiLevelType w:val="hybridMultilevel"/>
    <w:tmpl w:val="03FC2DEA"/>
    <w:lvl w:ilvl="0" w:tplc="6F5A38C0">
      <w:start w:val="1"/>
      <w:numFmt w:val="bullet"/>
      <w:lvlText w:val=""/>
      <w:lvlJc w:val="left"/>
      <w:pPr>
        <w:ind w:left="1353" w:hanging="360"/>
      </w:pPr>
      <w:rPr>
        <w:rFonts w:ascii="Symbol" w:hAnsi="Symbol" w:hint="default"/>
      </w:rPr>
    </w:lvl>
    <w:lvl w:ilvl="1" w:tplc="AE6AB8CA" w:tentative="1">
      <w:start w:val="1"/>
      <w:numFmt w:val="bullet"/>
      <w:lvlText w:val="o"/>
      <w:lvlJc w:val="left"/>
      <w:pPr>
        <w:ind w:left="1440" w:hanging="360"/>
      </w:pPr>
      <w:rPr>
        <w:rFonts w:ascii="Courier New" w:hAnsi="Courier New" w:cs="Courier New" w:hint="default"/>
      </w:rPr>
    </w:lvl>
    <w:lvl w:ilvl="2" w:tplc="9594B4B6" w:tentative="1">
      <w:start w:val="1"/>
      <w:numFmt w:val="bullet"/>
      <w:lvlText w:val=""/>
      <w:lvlJc w:val="left"/>
      <w:pPr>
        <w:ind w:left="2160" w:hanging="360"/>
      </w:pPr>
      <w:rPr>
        <w:rFonts w:ascii="Wingdings" w:hAnsi="Wingdings" w:hint="default"/>
      </w:rPr>
    </w:lvl>
    <w:lvl w:ilvl="3" w:tplc="19147782" w:tentative="1">
      <w:start w:val="1"/>
      <w:numFmt w:val="bullet"/>
      <w:lvlText w:val=""/>
      <w:lvlJc w:val="left"/>
      <w:pPr>
        <w:ind w:left="2880" w:hanging="360"/>
      </w:pPr>
      <w:rPr>
        <w:rFonts w:ascii="Symbol" w:hAnsi="Symbol" w:hint="default"/>
      </w:rPr>
    </w:lvl>
    <w:lvl w:ilvl="4" w:tplc="20606A28" w:tentative="1">
      <w:start w:val="1"/>
      <w:numFmt w:val="bullet"/>
      <w:lvlText w:val="o"/>
      <w:lvlJc w:val="left"/>
      <w:pPr>
        <w:ind w:left="3600" w:hanging="360"/>
      </w:pPr>
      <w:rPr>
        <w:rFonts w:ascii="Courier New" w:hAnsi="Courier New" w:cs="Courier New" w:hint="default"/>
      </w:rPr>
    </w:lvl>
    <w:lvl w:ilvl="5" w:tplc="E0E0890E" w:tentative="1">
      <w:start w:val="1"/>
      <w:numFmt w:val="bullet"/>
      <w:lvlText w:val=""/>
      <w:lvlJc w:val="left"/>
      <w:pPr>
        <w:ind w:left="4320" w:hanging="360"/>
      </w:pPr>
      <w:rPr>
        <w:rFonts w:ascii="Wingdings" w:hAnsi="Wingdings" w:hint="default"/>
      </w:rPr>
    </w:lvl>
    <w:lvl w:ilvl="6" w:tplc="7AAEF1B0" w:tentative="1">
      <w:start w:val="1"/>
      <w:numFmt w:val="bullet"/>
      <w:lvlText w:val=""/>
      <w:lvlJc w:val="left"/>
      <w:pPr>
        <w:ind w:left="5040" w:hanging="360"/>
      </w:pPr>
      <w:rPr>
        <w:rFonts w:ascii="Symbol" w:hAnsi="Symbol" w:hint="default"/>
      </w:rPr>
    </w:lvl>
    <w:lvl w:ilvl="7" w:tplc="899E0E3A" w:tentative="1">
      <w:start w:val="1"/>
      <w:numFmt w:val="bullet"/>
      <w:lvlText w:val="o"/>
      <w:lvlJc w:val="left"/>
      <w:pPr>
        <w:ind w:left="5760" w:hanging="360"/>
      </w:pPr>
      <w:rPr>
        <w:rFonts w:ascii="Courier New" w:hAnsi="Courier New" w:cs="Courier New" w:hint="default"/>
      </w:rPr>
    </w:lvl>
    <w:lvl w:ilvl="8" w:tplc="37307F22" w:tentative="1">
      <w:start w:val="1"/>
      <w:numFmt w:val="bullet"/>
      <w:lvlText w:val=""/>
      <w:lvlJc w:val="left"/>
      <w:pPr>
        <w:ind w:left="6480" w:hanging="360"/>
      </w:pPr>
      <w:rPr>
        <w:rFonts w:ascii="Wingdings" w:hAnsi="Wingdings" w:hint="default"/>
      </w:rPr>
    </w:lvl>
  </w:abstractNum>
  <w:abstractNum w:abstractNumId="2" w15:restartNumberingAfterBreak="0">
    <w:nsid w:val="07A86965"/>
    <w:multiLevelType w:val="hybridMultilevel"/>
    <w:tmpl w:val="AD80A86E"/>
    <w:lvl w:ilvl="0" w:tplc="DD26B88E">
      <w:start w:val="1"/>
      <w:numFmt w:val="lowerLetter"/>
      <w:lvlText w:val="%1)"/>
      <w:lvlJc w:val="left"/>
      <w:pPr>
        <w:ind w:left="360" w:hanging="360"/>
      </w:pPr>
      <w:rPr>
        <w:rFonts w:cs="Times New Roman"/>
        <w:b w:val="0"/>
      </w:rPr>
    </w:lvl>
    <w:lvl w:ilvl="1" w:tplc="B6B6F81A">
      <w:start w:val="1"/>
      <w:numFmt w:val="lowerLetter"/>
      <w:lvlText w:val="%2."/>
      <w:lvlJc w:val="left"/>
      <w:pPr>
        <w:ind w:left="1080" w:hanging="360"/>
      </w:pPr>
      <w:rPr>
        <w:rFonts w:cs="Times New Roman"/>
      </w:rPr>
    </w:lvl>
    <w:lvl w:ilvl="2" w:tplc="891682C4" w:tentative="1">
      <w:start w:val="1"/>
      <w:numFmt w:val="lowerRoman"/>
      <w:lvlText w:val="%3."/>
      <w:lvlJc w:val="right"/>
      <w:pPr>
        <w:ind w:left="1800" w:hanging="180"/>
      </w:pPr>
      <w:rPr>
        <w:rFonts w:cs="Times New Roman"/>
      </w:rPr>
    </w:lvl>
    <w:lvl w:ilvl="3" w:tplc="105C1C06" w:tentative="1">
      <w:start w:val="1"/>
      <w:numFmt w:val="decimal"/>
      <w:lvlText w:val="%4."/>
      <w:lvlJc w:val="left"/>
      <w:pPr>
        <w:ind w:left="2520" w:hanging="360"/>
      </w:pPr>
      <w:rPr>
        <w:rFonts w:cs="Times New Roman"/>
      </w:rPr>
    </w:lvl>
    <w:lvl w:ilvl="4" w:tplc="54165E66" w:tentative="1">
      <w:start w:val="1"/>
      <w:numFmt w:val="lowerLetter"/>
      <w:lvlText w:val="%5."/>
      <w:lvlJc w:val="left"/>
      <w:pPr>
        <w:ind w:left="3240" w:hanging="360"/>
      </w:pPr>
      <w:rPr>
        <w:rFonts w:cs="Times New Roman"/>
      </w:rPr>
    </w:lvl>
    <w:lvl w:ilvl="5" w:tplc="F39664CA" w:tentative="1">
      <w:start w:val="1"/>
      <w:numFmt w:val="lowerRoman"/>
      <w:lvlText w:val="%6."/>
      <w:lvlJc w:val="right"/>
      <w:pPr>
        <w:ind w:left="3960" w:hanging="180"/>
      </w:pPr>
      <w:rPr>
        <w:rFonts w:cs="Times New Roman"/>
      </w:rPr>
    </w:lvl>
    <w:lvl w:ilvl="6" w:tplc="1D4EB2A2" w:tentative="1">
      <w:start w:val="1"/>
      <w:numFmt w:val="decimal"/>
      <w:lvlText w:val="%7."/>
      <w:lvlJc w:val="left"/>
      <w:pPr>
        <w:ind w:left="4680" w:hanging="360"/>
      </w:pPr>
      <w:rPr>
        <w:rFonts w:cs="Times New Roman"/>
      </w:rPr>
    </w:lvl>
    <w:lvl w:ilvl="7" w:tplc="83EC59B0" w:tentative="1">
      <w:start w:val="1"/>
      <w:numFmt w:val="lowerLetter"/>
      <w:lvlText w:val="%8."/>
      <w:lvlJc w:val="left"/>
      <w:pPr>
        <w:ind w:left="5400" w:hanging="360"/>
      </w:pPr>
      <w:rPr>
        <w:rFonts w:cs="Times New Roman"/>
      </w:rPr>
    </w:lvl>
    <w:lvl w:ilvl="8" w:tplc="21DC618A" w:tentative="1">
      <w:start w:val="1"/>
      <w:numFmt w:val="lowerRoman"/>
      <w:lvlText w:val="%9."/>
      <w:lvlJc w:val="right"/>
      <w:pPr>
        <w:ind w:left="6120" w:hanging="180"/>
      </w:pPr>
      <w:rPr>
        <w:rFonts w:cs="Times New Roman"/>
      </w:rPr>
    </w:lvl>
  </w:abstractNum>
  <w:abstractNum w:abstractNumId="3" w15:restartNumberingAfterBreak="0">
    <w:nsid w:val="0A563A20"/>
    <w:multiLevelType w:val="hybridMultilevel"/>
    <w:tmpl w:val="2724147E"/>
    <w:lvl w:ilvl="0" w:tplc="B8785E46">
      <w:start w:val="1"/>
      <w:numFmt w:val="bullet"/>
      <w:lvlText w:val=""/>
      <w:lvlJc w:val="left"/>
      <w:pPr>
        <w:ind w:left="720" w:hanging="360"/>
      </w:pPr>
      <w:rPr>
        <w:rFonts w:ascii="Symbol" w:hAnsi="Symbol" w:hint="default"/>
      </w:rPr>
    </w:lvl>
    <w:lvl w:ilvl="1" w:tplc="37CE5C06" w:tentative="1">
      <w:start w:val="1"/>
      <w:numFmt w:val="bullet"/>
      <w:lvlText w:val="o"/>
      <w:lvlJc w:val="left"/>
      <w:pPr>
        <w:ind w:left="1440" w:hanging="360"/>
      </w:pPr>
      <w:rPr>
        <w:rFonts w:ascii="Courier New" w:hAnsi="Courier New" w:cs="Courier New" w:hint="default"/>
      </w:rPr>
    </w:lvl>
    <w:lvl w:ilvl="2" w:tplc="B3AEA056" w:tentative="1">
      <w:start w:val="1"/>
      <w:numFmt w:val="bullet"/>
      <w:lvlText w:val=""/>
      <w:lvlJc w:val="left"/>
      <w:pPr>
        <w:ind w:left="2160" w:hanging="360"/>
      </w:pPr>
      <w:rPr>
        <w:rFonts w:ascii="Wingdings" w:hAnsi="Wingdings" w:hint="default"/>
      </w:rPr>
    </w:lvl>
    <w:lvl w:ilvl="3" w:tplc="7F0C892C" w:tentative="1">
      <w:start w:val="1"/>
      <w:numFmt w:val="bullet"/>
      <w:lvlText w:val=""/>
      <w:lvlJc w:val="left"/>
      <w:pPr>
        <w:ind w:left="2880" w:hanging="360"/>
      </w:pPr>
      <w:rPr>
        <w:rFonts w:ascii="Symbol" w:hAnsi="Symbol" w:hint="default"/>
      </w:rPr>
    </w:lvl>
    <w:lvl w:ilvl="4" w:tplc="CFA6CF70" w:tentative="1">
      <w:start w:val="1"/>
      <w:numFmt w:val="bullet"/>
      <w:lvlText w:val="o"/>
      <w:lvlJc w:val="left"/>
      <w:pPr>
        <w:ind w:left="3600" w:hanging="360"/>
      </w:pPr>
      <w:rPr>
        <w:rFonts w:ascii="Courier New" w:hAnsi="Courier New" w:cs="Courier New" w:hint="default"/>
      </w:rPr>
    </w:lvl>
    <w:lvl w:ilvl="5" w:tplc="8C7635C4" w:tentative="1">
      <w:start w:val="1"/>
      <w:numFmt w:val="bullet"/>
      <w:lvlText w:val=""/>
      <w:lvlJc w:val="left"/>
      <w:pPr>
        <w:ind w:left="4320" w:hanging="360"/>
      </w:pPr>
      <w:rPr>
        <w:rFonts w:ascii="Wingdings" w:hAnsi="Wingdings" w:hint="default"/>
      </w:rPr>
    </w:lvl>
    <w:lvl w:ilvl="6" w:tplc="EFE82FBA" w:tentative="1">
      <w:start w:val="1"/>
      <w:numFmt w:val="bullet"/>
      <w:lvlText w:val=""/>
      <w:lvlJc w:val="left"/>
      <w:pPr>
        <w:ind w:left="5040" w:hanging="360"/>
      </w:pPr>
      <w:rPr>
        <w:rFonts w:ascii="Symbol" w:hAnsi="Symbol" w:hint="default"/>
      </w:rPr>
    </w:lvl>
    <w:lvl w:ilvl="7" w:tplc="40C07E6A" w:tentative="1">
      <w:start w:val="1"/>
      <w:numFmt w:val="bullet"/>
      <w:lvlText w:val="o"/>
      <w:lvlJc w:val="left"/>
      <w:pPr>
        <w:ind w:left="5760" w:hanging="360"/>
      </w:pPr>
      <w:rPr>
        <w:rFonts w:ascii="Courier New" w:hAnsi="Courier New" w:cs="Courier New" w:hint="default"/>
      </w:rPr>
    </w:lvl>
    <w:lvl w:ilvl="8" w:tplc="32D68DB0" w:tentative="1">
      <w:start w:val="1"/>
      <w:numFmt w:val="bullet"/>
      <w:lvlText w:val=""/>
      <w:lvlJc w:val="left"/>
      <w:pPr>
        <w:ind w:left="6480" w:hanging="360"/>
      </w:pPr>
      <w:rPr>
        <w:rFonts w:ascii="Wingdings" w:hAnsi="Wingdings" w:hint="default"/>
      </w:rPr>
    </w:lvl>
  </w:abstractNum>
  <w:abstractNum w:abstractNumId="4" w15:restartNumberingAfterBreak="0">
    <w:nsid w:val="12405988"/>
    <w:multiLevelType w:val="hybridMultilevel"/>
    <w:tmpl w:val="1B3E6556"/>
    <w:lvl w:ilvl="0" w:tplc="81F40C98">
      <w:start w:val="1"/>
      <w:numFmt w:val="bullet"/>
      <w:lvlText w:val=""/>
      <w:lvlJc w:val="left"/>
      <w:pPr>
        <w:ind w:left="720" w:hanging="360"/>
      </w:pPr>
      <w:rPr>
        <w:rFonts w:ascii="Symbol" w:hAnsi="Symbol" w:hint="default"/>
      </w:rPr>
    </w:lvl>
    <w:lvl w:ilvl="1" w:tplc="971A3AD0" w:tentative="1">
      <w:start w:val="1"/>
      <w:numFmt w:val="bullet"/>
      <w:lvlText w:val="o"/>
      <w:lvlJc w:val="left"/>
      <w:pPr>
        <w:ind w:left="1440" w:hanging="360"/>
      </w:pPr>
      <w:rPr>
        <w:rFonts w:ascii="Courier New" w:hAnsi="Courier New" w:cs="Courier New" w:hint="default"/>
      </w:rPr>
    </w:lvl>
    <w:lvl w:ilvl="2" w:tplc="AF96B806" w:tentative="1">
      <w:start w:val="1"/>
      <w:numFmt w:val="bullet"/>
      <w:lvlText w:val=""/>
      <w:lvlJc w:val="left"/>
      <w:pPr>
        <w:ind w:left="2160" w:hanging="360"/>
      </w:pPr>
      <w:rPr>
        <w:rFonts w:ascii="Wingdings" w:hAnsi="Wingdings" w:hint="default"/>
      </w:rPr>
    </w:lvl>
    <w:lvl w:ilvl="3" w:tplc="52FE47EC" w:tentative="1">
      <w:start w:val="1"/>
      <w:numFmt w:val="bullet"/>
      <w:lvlText w:val=""/>
      <w:lvlJc w:val="left"/>
      <w:pPr>
        <w:ind w:left="2880" w:hanging="360"/>
      </w:pPr>
      <w:rPr>
        <w:rFonts w:ascii="Symbol" w:hAnsi="Symbol" w:hint="default"/>
      </w:rPr>
    </w:lvl>
    <w:lvl w:ilvl="4" w:tplc="84F6750C" w:tentative="1">
      <w:start w:val="1"/>
      <w:numFmt w:val="bullet"/>
      <w:lvlText w:val="o"/>
      <w:lvlJc w:val="left"/>
      <w:pPr>
        <w:ind w:left="3600" w:hanging="360"/>
      </w:pPr>
      <w:rPr>
        <w:rFonts w:ascii="Courier New" w:hAnsi="Courier New" w:cs="Courier New" w:hint="default"/>
      </w:rPr>
    </w:lvl>
    <w:lvl w:ilvl="5" w:tplc="F00EFAAA" w:tentative="1">
      <w:start w:val="1"/>
      <w:numFmt w:val="bullet"/>
      <w:lvlText w:val=""/>
      <w:lvlJc w:val="left"/>
      <w:pPr>
        <w:ind w:left="4320" w:hanging="360"/>
      </w:pPr>
      <w:rPr>
        <w:rFonts w:ascii="Wingdings" w:hAnsi="Wingdings" w:hint="default"/>
      </w:rPr>
    </w:lvl>
    <w:lvl w:ilvl="6" w:tplc="EB5AA254" w:tentative="1">
      <w:start w:val="1"/>
      <w:numFmt w:val="bullet"/>
      <w:lvlText w:val=""/>
      <w:lvlJc w:val="left"/>
      <w:pPr>
        <w:ind w:left="5040" w:hanging="360"/>
      </w:pPr>
      <w:rPr>
        <w:rFonts w:ascii="Symbol" w:hAnsi="Symbol" w:hint="default"/>
      </w:rPr>
    </w:lvl>
    <w:lvl w:ilvl="7" w:tplc="DFEC030E" w:tentative="1">
      <w:start w:val="1"/>
      <w:numFmt w:val="bullet"/>
      <w:lvlText w:val="o"/>
      <w:lvlJc w:val="left"/>
      <w:pPr>
        <w:ind w:left="5760" w:hanging="360"/>
      </w:pPr>
      <w:rPr>
        <w:rFonts w:ascii="Courier New" w:hAnsi="Courier New" w:cs="Courier New" w:hint="default"/>
      </w:rPr>
    </w:lvl>
    <w:lvl w:ilvl="8" w:tplc="8CC04202" w:tentative="1">
      <w:start w:val="1"/>
      <w:numFmt w:val="bullet"/>
      <w:lvlText w:val=""/>
      <w:lvlJc w:val="left"/>
      <w:pPr>
        <w:ind w:left="6480" w:hanging="360"/>
      </w:pPr>
      <w:rPr>
        <w:rFonts w:ascii="Wingdings" w:hAnsi="Wingdings" w:hint="default"/>
      </w:rPr>
    </w:lvl>
  </w:abstractNum>
  <w:abstractNum w:abstractNumId="5" w15:restartNumberingAfterBreak="0">
    <w:nsid w:val="18EC46BB"/>
    <w:multiLevelType w:val="hybridMultilevel"/>
    <w:tmpl w:val="5A8C37FE"/>
    <w:lvl w:ilvl="0" w:tplc="FDE044F0">
      <w:start w:val="1"/>
      <w:numFmt w:val="bullet"/>
      <w:lvlText w:val=""/>
      <w:lvlJc w:val="left"/>
      <w:pPr>
        <w:ind w:left="720" w:hanging="360"/>
      </w:pPr>
      <w:rPr>
        <w:rFonts w:ascii="Symbol" w:hAnsi="Symbol" w:hint="default"/>
      </w:rPr>
    </w:lvl>
    <w:lvl w:ilvl="1" w:tplc="F7ECAFE0">
      <w:start w:val="1"/>
      <w:numFmt w:val="bullet"/>
      <w:lvlText w:val="o"/>
      <w:lvlJc w:val="left"/>
      <w:pPr>
        <w:ind w:left="1440" w:hanging="360"/>
      </w:pPr>
      <w:rPr>
        <w:rFonts w:ascii="Courier New" w:hAnsi="Courier New" w:cs="Courier New" w:hint="default"/>
      </w:rPr>
    </w:lvl>
    <w:lvl w:ilvl="2" w:tplc="A5005E9C" w:tentative="1">
      <w:start w:val="1"/>
      <w:numFmt w:val="bullet"/>
      <w:lvlText w:val=""/>
      <w:lvlJc w:val="left"/>
      <w:pPr>
        <w:ind w:left="2160" w:hanging="360"/>
      </w:pPr>
      <w:rPr>
        <w:rFonts w:ascii="Wingdings" w:hAnsi="Wingdings" w:hint="default"/>
      </w:rPr>
    </w:lvl>
    <w:lvl w:ilvl="3" w:tplc="EA66F55A" w:tentative="1">
      <w:start w:val="1"/>
      <w:numFmt w:val="bullet"/>
      <w:lvlText w:val=""/>
      <w:lvlJc w:val="left"/>
      <w:pPr>
        <w:ind w:left="2880" w:hanging="360"/>
      </w:pPr>
      <w:rPr>
        <w:rFonts w:ascii="Symbol" w:hAnsi="Symbol" w:hint="default"/>
      </w:rPr>
    </w:lvl>
    <w:lvl w:ilvl="4" w:tplc="21FC0C30" w:tentative="1">
      <w:start w:val="1"/>
      <w:numFmt w:val="bullet"/>
      <w:lvlText w:val="o"/>
      <w:lvlJc w:val="left"/>
      <w:pPr>
        <w:ind w:left="3600" w:hanging="360"/>
      </w:pPr>
      <w:rPr>
        <w:rFonts w:ascii="Courier New" w:hAnsi="Courier New" w:cs="Courier New" w:hint="default"/>
      </w:rPr>
    </w:lvl>
    <w:lvl w:ilvl="5" w:tplc="F8847DC4" w:tentative="1">
      <w:start w:val="1"/>
      <w:numFmt w:val="bullet"/>
      <w:lvlText w:val=""/>
      <w:lvlJc w:val="left"/>
      <w:pPr>
        <w:ind w:left="4320" w:hanging="360"/>
      </w:pPr>
      <w:rPr>
        <w:rFonts w:ascii="Wingdings" w:hAnsi="Wingdings" w:hint="default"/>
      </w:rPr>
    </w:lvl>
    <w:lvl w:ilvl="6" w:tplc="6C0C7C56" w:tentative="1">
      <w:start w:val="1"/>
      <w:numFmt w:val="bullet"/>
      <w:lvlText w:val=""/>
      <w:lvlJc w:val="left"/>
      <w:pPr>
        <w:ind w:left="5040" w:hanging="360"/>
      </w:pPr>
      <w:rPr>
        <w:rFonts w:ascii="Symbol" w:hAnsi="Symbol" w:hint="default"/>
      </w:rPr>
    </w:lvl>
    <w:lvl w:ilvl="7" w:tplc="6B840570" w:tentative="1">
      <w:start w:val="1"/>
      <w:numFmt w:val="bullet"/>
      <w:lvlText w:val="o"/>
      <w:lvlJc w:val="left"/>
      <w:pPr>
        <w:ind w:left="5760" w:hanging="360"/>
      </w:pPr>
      <w:rPr>
        <w:rFonts w:ascii="Courier New" w:hAnsi="Courier New" w:cs="Courier New" w:hint="default"/>
      </w:rPr>
    </w:lvl>
    <w:lvl w:ilvl="8" w:tplc="E7E85A68" w:tentative="1">
      <w:start w:val="1"/>
      <w:numFmt w:val="bullet"/>
      <w:lvlText w:val=""/>
      <w:lvlJc w:val="left"/>
      <w:pPr>
        <w:ind w:left="6480" w:hanging="360"/>
      </w:pPr>
      <w:rPr>
        <w:rFonts w:ascii="Wingdings" w:hAnsi="Wingdings" w:hint="default"/>
      </w:rPr>
    </w:lvl>
  </w:abstractNum>
  <w:abstractNum w:abstractNumId="6" w15:restartNumberingAfterBreak="0">
    <w:nsid w:val="19B1560A"/>
    <w:multiLevelType w:val="hybridMultilevel"/>
    <w:tmpl w:val="24C8854E"/>
    <w:lvl w:ilvl="0" w:tplc="ACCA7232">
      <w:start w:val="1"/>
      <w:numFmt w:val="bullet"/>
      <w:lvlText w:val=""/>
      <w:lvlJc w:val="left"/>
      <w:pPr>
        <w:ind w:left="720" w:hanging="360"/>
      </w:pPr>
      <w:rPr>
        <w:rFonts w:ascii="Symbol" w:hAnsi="Symbol" w:hint="default"/>
      </w:rPr>
    </w:lvl>
    <w:lvl w:ilvl="1" w:tplc="49A0CDBC" w:tentative="1">
      <w:start w:val="1"/>
      <w:numFmt w:val="bullet"/>
      <w:lvlText w:val="o"/>
      <w:lvlJc w:val="left"/>
      <w:pPr>
        <w:ind w:left="1440" w:hanging="360"/>
      </w:pPr>
      <w:rPr>
        <w:rFonts w:ascii="Courier New" w:hAnsi="Courier New" w:hint="default"/>
      </w:rPr>
    </w:lvl>
    <w:lvl w:ilvl="2" w:tplc="34947A72" w:tentative="1">
      <w:start w:val="1"/>
      <w:numFmt w:val="bullet"/>
      <w:lvlText w:val=""/>
      <w:lvlJc w:val="left"/>
      <w:pPr>
        <w:ind w:left="2160" w:hanging="360"/>
      </w:pPr>
      <w:rPr>
        <w:rFonts w:ascii="Wingdings" w:hAnsi="Wingdings" w:hint="default"/>
      </w:rPr>
    </w:lvl>
    <w:lvl w:ilvl="3" w:tplc="061E02EC" w:tentative="1">
      <w:start w:val="1"/>
      <w:numFmt w:val="bullet"/>
      <w:lvlText w:val=""/>
      <w:lvlJc w:val="left"/>
      <w:pPr>
        <w:ind w:left="2880" w:hanging="360"/>
      </w:pPr>
      <w:rPr>
        <w:rFonts w:ascii="Symbol" w:hAnsi="Symbol" w:hint="default"/>
      </w:rPr>
    </w:lvl>
    <w:lvl w:ilvl="4" w:tplc="6DF0EAA2" w:tentative="1">
      <w:start w:val="1"/>
      <w:numFmt w:val="bullet"/>
      <w:lvlText w:val="o"/>
      <w:lvlJc w:val="left"/>
      <w:pPr>
        <w:ind w:left="3600" w:hanging="360"/>
      </w:pPr>
      <w:rPr>
        <w:rFonts w:ascii="Courier New" w:hAnsi="Courier New" w:hint="default"/>
      </w:rPr>
    </w:lvl>
    <w:lvl w:ilvl="5" w:tplc="E9FE3A06" w:tentative="1">
      <w:start w:val="1"/>
      <w:numFmt w:val="bullet"/>
      <w:lvlText w:val=""/>
      <w:lvlJc w:val="left"/>
      <w:pPr>
        <w:ind w:left="4320" w:hanging="360"/>
      </w:pPr>
      <w:rPr>
        <w:rFonts w:ascii="Wingdings" w:hAnsi="Wingdings" w:hint="default"/>
      </w:rPr>
    </w:lvl>
    <w:lvl w:ilvl="6" w:tplc="49A6E0A6" w:tentative="1">
      <w:start w:val="1"/>
      <w:numFmt w:val="bullet"/>
      <w:lvlText w:val=""/>
      <w:lvlJc w:val="left"/>
      <w:pPr>
        <w:ind w:left="5040" w:hanging="360"/>
      </w:pPr>
      <w:rPr>
        <w:rFonts w:ascii="Symbol" w:hAnsi="Symbol" w:hint="default"/>
      </w:rPr>
    </w:lvl>
    <w:lvl w:ilvl="7" w:tplc="BAF4B4BE" w:tentative="1">
      <w:start w:val="1"/>
      <w:numFmt w:val="bullet"/>
      <w:lvlText w:val="o"/>
      <w:lvlJc w:val="left"/>
      <w:pPr>
        <w:ind w:left="5760" w:hanging="360"/>
      </w:pPr>
      <w:rPr>
        <w:rFonts w:ascii="Courier New" w:hAnsi="Courier New" w:hint="default"/>
      </w:rPr>
    </w:lvl>
    <w:lvl w:ilvl="8" w:tplc="7F569152" w:tentative="1">
      <w:start w:val="1"/>
      <w:numFmt w:val="bullet"/>
      <w:lvlText w:val=""/>
      <w:lvlJc w:val="left"/>
      <w:pPr>
        <w:ind w:left="6480" w:hanging="360"/>
      </w:pPr>
      <w:rPr>
        <w:rFonts w:ascii="Wingdings" w:hAnsi="Wingdings" w:hint="default"/>
      </w:rPr>
    </w:lvl>
  </w:abstractNum>
  <w:abstractNum w:abstractNumId="7" w15:restartNumberingAfterBreak="0">
    <w:nsid w:val="1A00175D"/>
    <w:multiLevelType w:val="hybridMultilevel"/>
    <w:tmpl w:val="22A42F7A"/>
    <w:lvl w:ilvl="0" w:tplc="39EC840C">
      <w:start w:val="1"/>
      <w:numFmt w:val="bullet"/>
      <w:lvlText w:val=""/>
      <w:lvlJc w:val="left"/>
      <w:pPr>
        <w:ind w:left="720" w:hanging="360"/>
      </w:pPr>
      <w:rPr>
        <w:rFonts w:ascii="Symbol" w:hAnsi="Symbol" w:hint="default"/>
      </w:rPr>
    </w:lvl>
    <w:lvl w:ilvl="1" w:tplc="3536E59C" w:tentative="1">
      <w:start w:val="1"/>
      <w:numFmt w:val="bullet"/>
      <w:lvlText w:val="o"/>
      <w:lvlJc w:val="left"/>
      <w:pPr>
        <w:ind w:left="1440" w:hanging="360"/>
      </w:pPr>
      <w:rPr>
        <w:rFonts w:ascii="Courier New" w:hAnsi="Courier New" w:cs="Courier New" w:hint="default"/>
      </w:rPr>
    </w:lvl>
    <w:lvl w:ilvl="2" w:tplc="2E7A7074" w:tentative="1">
      <w:start w:val="1"/>
      <w:numFmt w:val="bullet"/>
      <w:lvlText w:val=""/>
      <w:lvlJc w:val="left"/>
      <w:pPr>
        <w:ind w:left="2160" w:hanging="360"/>
      </w:pPr>
      <w:rPr>
        <w:rFonts w:ascii="Wingdings" w:hAnsi="Wingdings" w:hint="default"/>
      </w:rPr>
    </w:lvl>
    <w:lvl w:ilvl="3" w:tplc="916425F4" w:tentative="1">
      <w:start w:val="1"/>
      <w:numFmt w:val="bullet"/>
      <w:lvlText w:val=""/>
      <w:lvlJc w:val="left"/>
      <w:pPr>
        <w:ind w:left="2880" w:hanging="360"/>
      </w:pPr>
      <w:rPr>
        <w:rFonts w:ascii="Symbol" w:hAnsi="Symbol" w:hint="default"/>
      </w:rPr>
    </w:lvl>
    <w:lvl w:ilvl="4" w:tplc="6A281050" w:tentative="1">
      <w:start w:val="1"/>
      <w:numFmt w:val="bullet"/>
      <w:lvlText w:val="o"/>
      <w:lvlJc w:val="left"/>
      <w:pPr>
        <w:ind w:left="3600" w:hanging="360"/>
      </w:pPr>
      <w:rPr>
        <w:rFonts w:ascii="Courier New" w:hAnsi="Courier New" w:cs="Courier New" w:hint="default"/>
      </w:rPr>
    </w:lvl>
    <w:lvl w:ilvl="5" w:tplc="32EE4ADA" w:tentative="1">
      <w:start w:val="1"/>
      <w:numFmt w:val="bullet"/>
      <w:lvlText w:val=""/>
      <w:lvlJc w:val="left"/>
      <w:pPr>
        <w:ind w:left="4320" w:hanging="360"/>
      </w:pPr>
      <w:rPr>
        <w:rFonts w:ascii="Wingdings" w:hAnsi="Wingdings" w:hint="default"/>
      </w:rPr>
    </w:lvl>
    <w:lvl w:ilvl="6" w:tplc="14542984" w:tentative="1">
      <w:start w:val="1"/>
      <w:numFmt w:val="bullet"/>
      <w:lvlText w:val=""/>
      <w:lvlJc w:val="left"/>
      <w:pPr>
        <w:ind w:left="5040" w:hanging="360"/>
      </w:pPr>
      <w:rPr>
        <w:rFonts w:ascii="Symbol" w:hAnsi="Symbol" w:hint="default"/>
      </w:rPr>
    </w:lvl>
    <w:lvl w:ilvl="7" w:tplc="0212D5E2" w:tentative="1">
      <w:start w:val="1"/>
      <w:numFmt w:val="bullet"/>
      <w:lvlText w:val="o"/>
      <w:lvlJc w:val="left"/>
      <w:pPr>
        <w:ind w:left="5760" w:hanging="360"/>
      </w:pPr>
      <w:rPr>
        <w:rFonts w:ascii="Courier New" w:hAnsi="Courier New" w:cs="Courier New" w:hint="default"/>
      </w:rPr>
    </w:lvl>
    <w:lvl w:ilvl="8" w:tplc="DF58E952" w:tentative="1">
      <w:start w:val="1"/>
      <w:numFmt w:val="bullet"/>
      <w:lvlText w:val=""/>
      <w:lvlJc w:val="left"/>
      <w:pPr>
        <w:ind w:left="6480" w:hanging="360"/>
      </w:pPr>
      <w:rPr>
        <w:rFonts w:ascii="Wingdings" w:hAnsi="Wingdings" w:hint="default"/>
      </w:rPr>
    </w:lvl>
  </w:abstractNum>
  <w:abstractNum w:abstractNumId="8" w15:restartNumberingAfterBreak="0">
    <w:nsid w:val="1BC45A8C"/>
    <w:multiLevelType w:val="hybridMultilevel"/>
    <w:tmpl w:val="EEAE10A4"/>
    <w:lvl w:ilvl="0" w:tplc="FB381B4A">
      <w:start w:val="1"/>
      <w:numFmt w:val="bullet"/>
      <w:lvlText w:val=""/>
      <w:lvlJc w:val="left"/>
      <w:pPr>
        <w:ind w:left="720" w:hanging="360"/>
      </w:pPr>
      <w:rPr>
        <w:rFonts w:ascii="Symbol" w:hAnsi="Symbol" w:hint="default"/>
      </w:rPr>
    </w:lvl>
    <w:lvl w:ilvl="1" w:tplc="3F2E2794" w:tentative="1">
      <w:start w:val="1"/>
      <w:numFmt w:val="bullet"/>
      <w:lvlText w:val="o"/>
      <w:lvlJc w:val="left"/>
      <w:pPr>
        <w:ind w:left="1440" w:hanging="360"/>
      </w:pPr>
      <w:rPr>
        <w:rFonts w:ascii="Courier New" w:hAnsi="Courier New" w:cs="Courier New" w:hint="default"/>
      </w:rPr>
    </w:lvl>
    <w:lvl w:ilvl="2" w:tplc="CD56FEA0" w:tentative="1">
      <w:start w:val="1"/>
      <w:numFmt w:val="bullet"/>
      <w:lvlText w:val=""/>
      <w:lvlJc w:val="left"/>
      <w:pPr>
        <w:ind w:left="2160" w:hanging="360"/>
      </w:pPr>
      <w:rPr>
        <w:rFonts w:ascii="Wingdings" w:hAnsi="Wingdings" w:hint="default"/>
      </w:rPr>
    </w:lvl>
    <w:lvl w:ilvl="3" w:tplc="F260018E" w:tentative="1">
      <w:start w:val="1"/>
      <w:numFmt w:val="bullet"/>
      <w:lvlText w:val=""/>
      <w:lvlJc w:val="left"/>
      <w:pPr>
        <w:ind w:left="2880" w:hanging="360"/>
      </w:pPr>
      <w:rPr>
        <w:rFonts w:ascii="Symbol" w:hAnsi="Symbol" w:hint="default"/>
      </w:rPr>
    </w:lvl>
    <w:lvl w:ilvl="4" w:tplc="EBE091E6" w:tentative="1">
      <w:start w:val="1"/>
      <w:numFmt w:val="bullet"/>
      <w:lvlText w:val="o"/>
      <w:lvlJc w:val="left"/>
      <w:pPr>
        <w:ind w:left="3600" w:hanging="360"/>
      </w:pPr>
      <w:rPr>
        <w:rFonts w:ascii="Courier New" w:hAnsi="Courier New" w:cs="Courier New" w:hint="default"/>
      </w:rPr>
    </w:lvl>
    <w:lvl w:ilvl="5" w:tplc="BB0E8570" w:tentative="1">
      <w:start w:val="1"/>
      <w:numFmt w:val="bullet"/>
      <w:lvlText w:val=""/>
      <w:lvlJc w:val="left"/>
      <w:pPr>
        <w:ind w:left="4320" w:hanging="360"/>
      </w:pPr>
      <w:rPr>
        <w:rFonts w:ascii="Wingdings" w:hAnsi="Wingdings" w:hint="default"/>
      </w:rPr>
    </w:lvl>
    <w:lvl w:ilvl="6" w:tplc="85C8B524" w:tentative="1">
      <w:start w:val="1"/>
      <w:numFmt w:val="bullet"/>
      <w:lvlText w:val=""/>
      <w:lvlJc w:val="left"/>
      <w:pPr>
        <w:ind w:left="5040" w:hanging="360"/>
      </w:pPr>
      <w:rPr>
        <w:rFonts w:ascii="Symbol" w:hAnsi="Symbol" w:hint="default"/>
      </w:rPr>
    </w:lvl>
    <w:lvl w:ilvl="7" w:tplc="D3B8D56A" w:tentative="1">
      <w:start w:val="1"/>
      <w:numFmt w:val="bullet"/>
      <w:lvlText w:val="o"/>
      <w:lvlJc w:val="left"/>
      <w:pPr>
        <w:ind w:left="5760" w:hanging="360"/>
      </w:pPr>
      <w:rPr>
        <w:rFonts w:ascii="Courier New" w:hAnsi="Courier New" w:cs="Courier New" w:hint="default"/>
      </w:rPr>
    </w:lvl>
    <w:lvl w:ilvl="8" w:tplc="CFFA4504" w:tentative="1">
      <w:start w:val="1"/>
      <w:numFmt w:val="bullet"/>
      <w:lvlText w:val=""/>
      <w:lvlJc w:val="left"/>
      <w:pPr>
        <w:ind w:left="6480" w:hanging="360"/>
      </w:pPr>
      <w:rPr>
        <w:rFonts w:ascii="Wingdings" w:hAnsi="Wingdings" w:hint="default"/>
      </w:rPr>
    </w:lvl>
  </w:abstractNum>
  <w:abstractNum w:abstractNumId="9" w15:restartNumberingAfterBreak="0">
    <w:nsid w:val="1BE0137D"/>
    <w:multiLevelType w:val="hybridMultilevel"/>
    <w:tmpl w:val="A0124D60"/>
    <w:lvl w:ilvl="0" w:tplc="DB6C5476">
      <w:start w:val="1"/>
      <w:numFmt w:val="bullet"/>
      <w:lvlText w:val=""/>
      <w:lvlJc w:val="left"/>
      <w:pPr>
        <w:ind w:left="1080" w:hanging="360"/>
      </w:pPr>
      <w:rPr>
        <w:rFonts w:ascii="Symbol" w:hAnsi="Symbol" w:hint="default"/>
      </w:rPr>
    </w:lvl>
    <w:lvl w:ilvl="1" w:tplc="B4DE1902" w:tentative="1">
      <w:start w:val="1"/>
      <w:numFmt w:val="bullet"/>
      <w:lvlText w:val="o"/>
      <w:lvlJc w:val="left"/>
      <w:pPr>
        <w:ind w:left="1800" w:hanging="360"/>
      </w:pPr>
      <w:rPr>
        <w:rFonts w:ascii="Courier New" w:hAnsi="Courier New" w:cs="Courier New" w:hint="default"/>
      </w:rPr>
    </w:lvl>
    <w:lvl w:ilvl="2" w:tplc="AB9AB948" w:tentative="1">
      <w:start w:val="1"/>
      <w:numFmt w:val="bullet"/>
      <w:lvlText w:val=""/>
      <w:lvlJc w:val="left"/>
      <w:pPr>
        <w:ind w:left="2520" w:hanging="360"/>
      </w:pPr>
      <w:rPr>
        <w:rFonts w:ascii="Wingdings" w:hAnsi="Wingdings" w:hint="default"/>
      </w:rPr>
    </w:lvl>
    <w:lvl w:ilvl="3" w:tplc="86DC3690" w:tentative="1">
      <w:start w:val="1"/>
      <w:numFmt w:val="bullet"/>
      <w:lvlText w:val=""/>
      <w:lvlJc w:val="left"/>
      <w:pPr>
        <w:ind w:left="3240" w:hanging="360"/>
      </w:pPr>
      <w:rPr>
        <w:rFonts w:ascii="Symbol" w:hAnsi="Symbol" w:hint="default"/>
      </w:rPr>
    </w:lvl>
    <w:lvl w:ilvl="4" w:tplc="B9580336" w:tentative="1">
      <w:start w:val="1"/>
      <w:numFmt w:val="bullet"/>
      <w:lvlText w:val="o"/>
      <w:lvlJc w:val="left"/>
      <w:pPr>
        <w:ind w:left="3960" w:hanging="360"/>
      </w:pPr>
      <w:rPr>
        <w:rFonts w:ascii="Courier New" w:hAnsi="Courier New" w:cs="Courier New" w:hint="default"/>
      </w:rPr>
    </w:lvl>
    <w:lvl w:ilvl="5" w:tplc="AC6AFCBC" w:tentative="1">
      <w:start w:val="1"/>
      <w:numFmt w:val="bullet"/>
      <w:lvlText w:val=""/>
      <w:lvlJc w:val="left"/>
      <w:pPr>
        <w:ind w:left="4680" w:hanging="360"/>
      </w:pPr>
      <w:rPr>
        <w:rFonts w:ascii="Wingdings" w:hAnsi="Wingdings" w:hint="default"/>
      </w:rPr>
    </w:lvl>
    <w:lvl w:ilvl="6" w:tplc="795C4838" w:tentative="1">
      <w:start w:val="1"/>
      <w:numFmt w:val="bullet"/>
      <w:lvlText w:val=""/>
      <w:lvlJc w:val="left"/>
      <w:pPr>
        <w:ind w:left="5400" w:hanging="360"/>
      </w:pPr>
      <w:rPr>
        <w:rFonts w:ascii="Symbol" w:hAnsi="Symbol" w:hint="default"/>
      </w:rPr>
    </w:lvl>
    <w:lvl w:ilvl="7" w:tplc="1510700A" w:tentative="1">
      <w:start w:val="1"/>
      <w:numFmt w:val="bullet"/>
      <w:lvlText w:val="o"/>
      <w:lvlJc w:val="left"/>
      <w:pPr>
        <w:ind w:left="6120" w:hanging="360"/>
      </w:pPr>
      <w:rPr>
        <w:rFonts w:ascii="Courier New" w:hAnsi="Courier New" w:cs="Courier New" w:hint="default"/>
      </w:rPr>
    </w:lvl>
    <w:lvl w:ilvl="8" w:tplc="C0D066C0" w:tentative="1">
      <w:start w:val="1"/>
      <w:numFmt w:val="bullet"/>
      <w:lvlText w:val=""/>
      <w:lvlJc w:val="left"/>
      <w:pPr>
        <w:ind w:left="6840" w:hanging="360"/>
      </w:pPr>
      <w:rPr>
        <w:rFonts w:ascii="Wingdings" w:hAnsi="Wingdings" w:hint="default"/>
      </w:rPr>
    </w:lvl>
  </w:abstractNum>
  <w:abstractNum w:abstractNumId="10" w15:restartNumberingAfterBreak="0">
    <w:nsid w:val="22777149"/>
    <w:multiLevelType w:val="hybridMultilevel"/>
    <w:tmpl w:val="4064AD20"/>
    <w:lvl w:ilvl="0" w:tplc="57B64CAE">
      <w:start w:val="1"/>
      <w:numFmt w:val="decimal"/>
      <w:lvlText w:val="%1."/>
      <w:lvlJc w:val="left"/>
      <w:pPr>
        <w:ind w:left="360" w:hanging="360"/>
      </w:pPr>
      <w:rPr>
        <w:rFonts w:hint="default"/>
      </w:rPr>
    </w:lvl>
    <w:lvl w:ilvl="1" w:tplc="29AE4850" w:tentative="1">
      <w:start w:val="1"/>
      <w:numFmt w:val="lowerLetter"/>
      <w:lvlText w:val="%2."/>
      <w:lvlJc w:val="left"/>
      <w:pPr>
        <w:ind w:left="1080" w:hanging="360"/>
      </w:pPr>
    </w:lvl>
    <w:lvl w:ilvl="2" w:tplc="923C9EAC" w:tentative="1">
      <w:start w:val="1"/>
      <w:numFmt w:val="lowerRoman"/>
      <w:lvlText w:val="%3."/>
      <w:lvlJc w:val="right"/>
      <w:pPr>
        <w:ind w:left="1800" w:hanging="180"/>
      </w:pPr>
    </w:lvl>
    <w:lvl w:ilvl="3" w:tplc="D72C75F2" w:tentative="1">
      <w:start w:val="1"/>
      <w:numFmt w:val="decimal"/>
      <w:lvlText w:val="%4."/>
      <w:lvlJc w:val="left"/>
      <w:pPr>
        <w:ind w:left="2520" w:hanging="360"/>
      </w:pPr>
    </w:lvl>
    <w:lvl w:ilvl="4" w:tplc="37B22E82" w:tentative="1">
      <w:start w:val="1"/>
      <w:numFmt w:val="lowerLetter"/>
      <w:lvlText w:val="%5."/>
      <w:lvlJc w:val="left"/>
      <w:pPr>
        <w:ind w:left="3240" w:hanging="360"/>
      </w:pPr>
    </w:lvl>
    <w:lvl w:ilvl="5" w:tplc="B356892A" w:tentative="1">
      <w:start w:val="1"/>
      <w:numFmt w:val="lowerRoman"/>
      <w:lvlText w:val="%6."/>
      <w:lvlJc w:val="right"/>
      <w:pPr>
        <w:ind w:left="3960" w:hanging="180"/>
      </w:pPr>
    </w:lvl>
    <w:lvl w:ilvl="6" w:tplc="837476EA" w:tentative="1">
      <w:start w:val="1"/>
      <w:numFmt w:val="decimal"/>
      <w:lvlText w:val="%7."/>
      <w:lvlJc w:val="left"/>
      <w:pPr>
        <w:ind w:left="4680" w:hanging="360"/>
      </w:pPr>
    </w:lvl>
    <w:lvl w:ilvl="7" w:tplc="827A207C" w:tentative="1">
      <w:start w:val="1"/>
      <w:numFmt w:val="lowerLetter"/>
      <w:lvlText w:val="%8."/>
      <w:lvlJc w:val="left"/>
      <w:pPr>
        <w:ind w:left="5400" w:hanging="360"/>
      </w:pPr>
    </w:lvl>
    <w:lvl w:ilvl="8" w:tplc="76CCF07A" w:tentative="1">
      <w:start w:val="1"/>
      <w:numFmt w:val="lowerRoman"/>
      <w:lvlText w:val="%9."/>
      <w:lvlJc w:val="right"/>
      <w:pPr>
        <w:ind w:left="6120" w:hanging="180"/>
      </w:pPr>
    </w:lvl>
  </w:abstractNum>
  <w:abstractNum w:abstractNumId="11" w15:restartNumberingAfterBreak="0">
    <w:nsid w:val="23F816CD"/>
    <w:multiLevelType w:val="hybridMultilevel"/>
    <w:tmpl w:val="F5CAD758"/>
    <w:lvl w:ilvl="0" w:tplc="6CBE43C2">
      <w:start w:val="1"/>
      <w:numFmt w:val="bullet"/>
      <w:lvlText w:val=""/>
      <w:lvlJc w:val="left"/>
      <w:pPr>
        <w:ind w:left="720" w:hanging="360"/>
      </w:pPr>
      <w:rPr>
        <w:rFonts w:ascii="Symbol" w:hAnsi="Symbol" w:hint="default"/>
      </w:rPr>
    </w:lvl>
    <w:lvl w:ilvl="1" w:tplc="F496A3E4" w:tentative="1">
      <w:start w:val="1"/>
      <w:numFmt w:val="bullet"/>
      <w:lvlText w:val="o"/>
      <w:lvlJc w:val="left"/>
      <w:pPr>
        <w:ind w:left="1440" w:hanging="360"/>
      </w:pPr>
      <w:rPr>
        <w:rFonts w:ascii="Courier New" w:hAnsi="Courier New" w:cs="Courier New" w:hint="default"/>
      </w:rPr>
    </w:lvl>
    <w:lvl w:ilvl="2" w:tplc="C9B6D8BA" w:tentative="1">
      <w:start w:val="1"/>
      <w:numFmt w:val="bullet"/>
      <w:lvlText w:val=""/>
      <w:lvlJc w:val="left"/>
      <w:pPr>
        <w:ind w:left="2160" w:hanging="360"/>
      </w:pPr>
      <w:rPr>
        <w:rFonts w:ascii="Wingdings" w:hAnsi="Wingdings" w:hint="default"/>
      </w:rPr>
    </w:lvl>
    <w:lvl w:ilvl="3" w:tplc="089479DA" w:tentative="1">
      <w:start w:val="1"/>
      <w:numFmt w:val="bullet"/>
      <w:lvlText w:val=""/>
      <w:lvlJc w:val="left"/>
      <w:pPr>
        <w:ind w:left="2880" w:hanging="360"/>
      </w:pPr>
      <w:rPr>
        <w:rFonts w:ascii="Symbol" w:hAnsi="Symbol" w:hint="default"/>
      </w:rPr>
    </w:lvl>
    <w:lvl w:ilvl="4" w:tplc="20BC4D92" w:tentative="1">
      <w:start w:val="1"/>
      <w:numFmt w:val="bullet"/>
      <w:lvlText w:val="o"/>
      <w:lvlJc w:val="left"/>
      <w:pPr>
        <w:ind w:left="3600" w:hanging="360"/>
      </w:pPr>
      <w:rPr>
        <w:rFonts w:ascii="Courier New" w:hAnsi="Courier New" w:cs="Courier New" w:hint="default"/>
      </w:rPr>
    </w:lvl>
    <w:lvl w:ilvl="5" w:tplc="3786A1D4" w:tentative="1">
      <w:start w:val="1"/>
      <w:numFmt w:val="bullet"/>
      <w:lvlText w:val=""/>
      <w:lvlJc w:val="left"/>
      <w:pPr>
        <w:ind w:left="4320" w:hanging="360"/>
      </w:pPr>
      <w:rPr>
        <w:rFonts w:ascii="Wingdings" w:hAnsi="Wingdings" w:hint="default"/>
      </w:rPr>
    </w:lvl>
    <w:lvl w:ilvl="6" w:tplc="E56AA7C2" w:tentative="1">
      <w:start w:val="1"/>
      <w:numFmt w:val="bullet"/>
      <w:lvlText w:val=""/>
      <w:lvlJc w:val="left"/>
      <w:pPr>
        <w:ind w:left="5040" w:hanging="360"/>
      </w:pPr>
      <w:rPr>
        <w:rFonts w:ascii="Symbol" w:hAnsi="Symbol" w:hint="default"/>
      </w:rPr>
    </w:lvl>
    <w:lvl w:ilvl="7" w:tplc="4F480628" w:tentative="1">
      <w:start w:val="1"/>
      <w:numFmt w:val="bullet"/>
      <w:lvlText w:val="o"/>
      <w:lvlJc w:val="left"/>
      <w:pPr>
        <w:ind w:left="5760" w:hanging="360"/>
      </w:pPr>
      <w:rPr>
        <w:rFonts w:ascii="Courier New" w:hAnsi="Courier New" w:cs="Courier New" w:hint="default"/>
      </w:rPr>
    </w:lvl>
    <w:lvl w:ilvl="8" w:tplc="B07E50C2" w:tentative="1">
      <w:start w:val="1"/>
      <w:numFmt w:val="bullet"/>
      <w:lvlText w:val=""/>
      <w:lvlJc w:val="left"/>
      <w:pPr>
        <w:ind w:left="6480" w:hanging="360"/>
      </w:pPr>
      <w:rPr>
        <w:rFonts w:ascii="Wingdings" w:hAnsi="Wingdings" w:hint="default"/>
      </w:rPr>
    </w:lvl>
  </w:abstractNum>
  <w:abstractNum w:abstractNumId="12" w15:restartNumberingAfterBreak="0">
    <w:nsid w:val="24057F42"/>
    <w:multiLevelType w:val="hybridMultilevel"/>
    <w:tmpl w:val="D286085C"/>
    <w:lvl w:ilvl="0" w:tplc="75F242D4">
      <w:start w:val="1"/>
      <w:numFmt w:val="bullet"/>
      <w:lvlText w:val=""/>
      <w:lvlJc w:val="left"/>
      <w:pPr>
        <w:ind w:left="720" w:hanging="360"/>
      </w:pPr>
      <w:rPr>
        <w:rFonts w:ascii="Symbol" w:hAnsi="Symbol" w:hint="default"/>
      </w:rPr>
    </w:lvl>
    <w:lvl w:ilvl="1" w:tplc="42DE8910" w:tentative="1">
      <w:start w:val="1"/>
      <w:numFmt w:val="bullet"/>
      <w:lvlText w:val="o"/>
      <w:lvlJc w:val="left"/>
      <w:pPr>
        <w:ind w:left="1440" w:hanging="360"/>
      </w:pPr>
      <w:rPr>
        <w:rFonts w:ascii="Courier New" w:hAnsi="Courier New" w:cs="Courier New" w:hint="default"/>
      </w:rPr>
    </w:lvl>
    <w:lvl w:ilvl="2" w:tplc="CE448E82" w:tentative="1">
      <w:start w:val="1"/>
      <w:numFmt w:val="bullet"/>
      <w:lvlText w:val=""/>
      <w:lvlJc w:val="left"/>
      <w:pPr>
        <w:ind w:left="2160" w:hanging="360"/>
      </w:pPr>
      <w:rPr>
        <w:rFonts w:ascii="Wingdings" w:hAnsi="Wingdings" w:hint="default"/>
      </w:rPr>
    </w:lvl>
    <w:lvl w:ilvl="3" w:tplc="9F0AE67C" w:tentative="1">
      <w:start w:val="1"/>
      <w:numFmt w:val="bullet"/>
      <w:lvlText w:val=""/>
      <w:lvlJc w:val="left"/>
      <w:pPr>
        <w:ind w:left="2880" w:hanging="360"/>
      </w:pPr>
      <w:rPr>
        <w:rFonts w:ascii="Symbol" w:hAnsi="Symbol" w:hint="default"/>
      </w:rPr>
    </w:lvl>
    <w:lvl w:ilvl="4" w:tplc="BA88A750" w:tentative="1">
      <w:start w:val="1"/>
      <w:numFmt w:val="bullet"/>
      <w:lvlText w:val="o"/>
      <w:lvlJc w:val="left"/>
      <w:pPr>
        <w:ind w:left="3600" w:hanging="360"/>
      </w:pPr>
      <w:rPr>
        <w:rFonts w:ascii="Courier New" w:hAnsi="Courier New" w:cs="Courier New" w:hint="default"/>
      </w:rPr>
    </w:lvl>
    <w:lvl w:ilvl="5" w:tplc="216CA72A" w:tentative="1">
      <w:start w:val="1"/>
      <w:numFmt w:val="bullet"/>
      <w:lvlText w:val=""/>
      <w:lvlJc w:val="left"/>
      <w:pPr>
        <w:ind w:left="4320" w:hanging="360"/>
      </w:pPr>
      <w:rPr>
        <w:rFonts w:ascii="Wingdings" w:hAnsi="Wingdings" w:hint="default"/>
      </w:rPr>
    </w:lvl>
    <w:lvl w:ilvl="6" w:tplc="806C2E72" w:tentative="1">
      <w:start w:val="1"/>
      <w:numFmt w:val="bullet"/>
      <w:lvlText w:val=""/>
      <w:lvlJc w:val="left"/>
      <w:pPr>
        <w:ind w:left="5040" w:hanging="360"/>
      </w:pPr>
      <w:rPr>
        <w:rFonts w:ascii="Symbol" w:hAnsi="Symbol" w:hint="default"/>
      </w:rPr>
    </w:lvl>
    <w:lvl w:ilvl="7" w:tplc="587AB336" w:tentative="1">
      <w:start w:val="1"/>
      <w:numFmt w:val="bullet"/>
      <w:lvlText w:val="o"/>
      <w:lvlJc w:val="left"/>
      <w:pPr>
        <w:ind w:left="5760" w:hanging="360"/>
      </w:pPr>
      <w:rPr>
        <w:rFonts w:ascii="Courier New" w:hAnsi="Courier New" w:cs="Courier New" w:hint="default"/>
      </w:rPr>
    </w:lvl>
    <w:lvl w:ilvl="8" w:tplc="935A654E" w:tentative="1">
      <w:start w:val="1"/>
      <w:numFmt w:val="bullet"/>
      <w:lvlText w:val=""/>
      <w:lvlJc w:val="left"/>
      <w:pPr>
        <w:ind w:left="6480" w:hanging="360"/>
      </w:pPr>
      <w:rPr>
        <w:rFonts w:ascii="Wingdings" w:hAnsi="Wingdings" w:hint="default"/>
      </w:rPr>
    </w:lvl>
  </w:abstractNum>
  <w:abstractNum w:abstractNumId="13" w15:restartNumberingAfterBreak="0">
    <w:nsid w:val="29F559F6"/>
    <w:multiLevelType w:val="hybridMultilevel"/>
    <w:tmpl w:val="D94CF22A"/>
    <w:lvl w:ilvl="0" w:tplc="FF948B86">
      <w:start w:val="1"/>
      <w:numFmt w:val="bullet"/>
      <w:lvlText w:val=""/>
      <w:lvlJc w:val="left"/>
      <w:pPr>
        <w:ind w:left="720" w:hanging="360"/>
      </w:pPr>
      <w:rPr>
        <w:rFonts w:ascii="Symbol" w:hAnsi="Symbol" w:hint="default"/>
      </w:rPr>
    </w:lvl>
    <w:lvl w:ilvl="1" w:tplc="1B8ACFE2" w:tentative="1">
      <w:start w:val="1"/>
      <w:numFmt w:val="bullet"/>
      <w:lvlText w:val="o"/>
      <w:lvlJc w:val="left"/>
      <w:pPr>
        <w:ind w:left="1440" w:hanging="360"/>
      </w:pPr>
      <w:rPr>
        <w:rFonts w:ascii="Courier New" w:hAnsi="Courier New" w:cs="Courier New" w:hint="default"/>
      </w:rPr>
    </w:lvl>
    <w:lvl w:ilvl="2" w:tplc="8E584216" w:tentative="1">
      <w:start w:val="1"/>
      <w:numFmt w:val="bullet"/>
      <w:lvlText w:val=""/>
      <w:lvlJc w:val="left"/>
      <w:pPr>
        <w:ind w:left="2160" w:hanging="360"/>
      </w:pPr>
      <w:rPr>
        <w:rFonts w:ascii="Wingdings" w:hAnsi="Wingdings" w:hint="default"/>
      </w:rPr>
    </w:lvl>
    <w:lvl w:ilvl="3" w:tplc="98D00A92" w:tentative="1">
      <w:start w:val="1"/>
      <w:numFmt w:val="bullet"/>
      <w:lvlText w:val=""/>
      <w:lvlJc w:val="left"/>
      <w:pPr>
        <w:ind w:left="2880" w:hanging="360"/>
      </w:pPr>
      <w:rPr>
        <w:rFonts w:ascii="Symbol" w:hAnsi="Symbol" w:hint="default"/>
      </w:rPr>
    </w:lvl>
    <w:lvl w:ilvl="4" w:tplc="D13C9C86" w:tentative="1">
      <w:start w:val="1"/>
      <w:numFmt w:val="bullet"/>
      <w:lvlText w:val="o"/>
      <w:lvlJc w:val="left"/>
      <w:pPr>
        <w:ind w:left="3600" w:hanging="360"/>
      </w:pPr>
      <w:rPr>
        <w:rFonts w:ascii="Courier New" w:hAnsi="Courier New" w:cs="Courier New" w:hint="default"/>
      </w:rPr>
    </w:lvl>
    <w:lvl w:ilvl="5" w:tplc="25C0A8CA" w:tentative="1">
      <w:start w:val="1"/>
      <w:numFmt w:val="bullet"/>
      <w:lvlText w:val=""/>
      <w:lvlJc w:val="left"/>
      <w:pPr>
        <w:ind w:left="4320" w:hanging="360"/>
      </w:pPr>
      <w:rPr>
        <w:rFonts w:ascii="Wingdings" w:hAnsi="Wingdings" w:hint="default"/>
      </w:rPr>
    </w:lvl>
    <w:lvl w:ilvl="6" w:tplc="D662F33E" w:tentative="1">
      <w:start w:val="1"/>
      <w:numFmt w:val="bullet"/>
      <w:lvlText w:val=""/>
      <w:lvlJc w:val="left"/>
      <w:pPr>
        <w:ind w:left="5040" w:hanging="360"/>
      </w:pPr>
      <w:rPr>
        <w:rFonts w:ascii="Symbol" w:hAnsi="Symbol" w:hint="default"/>
      </w:rPr>
    </w:lvl>
    <w:lvl w:ilvl="7" w:tplc="3D8ECB40" w:tentative="1">
      <w:start w:val="1"/>
      <w:numFmt w:val="bullet"/>
      <w:lvlText w:val="o"/>
      <w:lvlJc w:val="left"/>
      <w:pPr>
        <w:ind w:left="5760" w:hanging="360"/>
      </w:pPr>
      <w:rPr>
        <w:rFonts w:ascii="Courier New" w:hAnsi="Courier New" w:cs="Courier New" w:hint="default"/>
      </w:rPr>
    </w:lvl>
    <w:lvl w:ilvl="8" w:tplc="D0BAEBFC" w:tentative="1">
      <w:start w:val="1"/>
      <w:numFmt w:val="bullet"/>
      <w:lvlText w:val=""/>
      <w:lvlJc w:val="left"/>
      <w:pPr>
        <w:ind w:left="6480" w:hanging="360"/>
      </w:pPr>
      <w:rPr>
        <w:rFonts w:ascii="Wingdings" w:hAnsi="Wingdings" w:hint="default"/>
      </w:rPr>
    </w:lvl>
  </w:abstractNum>
  <w:abstractNum w:abstractNumId="14" w15:restartNumberingAfterBreak="0">
    <w:nsid w:val="2C100B8D"/>
    <w:multiLevelType w:val="hybridMultilevel"/>
    <w:tmpl w:val="8DD0E53A"/>
    <w:lvl w:ilvl="0" w:tplc="8578C064">
      <w:start w:val="1"/>
      <w:numFmt w:val="bullet"/>
      <w:lvlText w:val=""/>
      <w:lvlJc w:val="left"/>
      <w:pPr>
        <w:ind w:left="720" w:hanging="360"/>
      </w:pPr>
      <w:rPr>
        <w:rFonts w:ascii="Symbol" w:hAnsi="Symbol" w:hint="default"/>
      </w:rPr>
    </w:lvl>
    <w:lvl w:ilvl="1" w:tplc="3BF2FE08" w:tentative="1">
      <w:start w:val="1"/>
      <w:numFmt w:val="bullet"/>
      <w:lvlText w:val="o"/>
      <w:lvlJc w:val="left"/>
      <w:pPr>
        <w:ind w:left="1440" w:hanging="360"/>
      </w:pPr>
      <w:rPr>
        <w:rFonts w:ascii="Courier New" w:hAnsi="Courier New" w:cs="Courier New" w:hint="default"/>
      </w:rPr>
    </w:lvl>
    <w:lvl w:ilvl="2" w:tplc="2D84AAA2" w:tentative="1">
      <w:start w:val="1"/>
      <w:numFmt w:val="bullet"/>
      <w:lvlText w:val=""/>
      <w:lvlJc w:val="left"/>
      <w:pPr>
        <w:ind w:left="2160" w:hanging="360"/>
      </w:pPr>
      <w:rPr>
        <w:rFonts w:ascii="Wingdings" w:hAnsi="Wingdings" w:hint="default"/>
      </w:rPr>
    </w:lvl>
    <w:lvl w:ilvl="3" w:tplc="B70CDA8A" w:tentative="1">
      <w:start w:val="1"/>
      <w:numFmt w:val="bullet"/>
      <w:lvlText w:val=""/>
      <w:lvlJc w:val="left"/>
      <w:pPr>
        <w:ind w:left="2880" w:hanging="360"/>
      </w:pPr>
      <w:rPr>
        <w:rFonts w:ascii="Symbol" w:hAnsi="Symbol" w:hint="default"/>
      </w:rPr>
    </w:lvl>
    <w:lvl w:ilvl="4" w:tplc="6DFE22EC" w:tentative="1">
      <w:start w:val="1"/>
      <w:numFmt w:val="bullet"/>
      <w:lvlText w:val="o"/>
      <w:lvlJc w:val="left"/>
      <w:pPr>
        <w:ind w:left="3600" w:hanging="360"/>
      </w:pPr>
      <w:rPr>
        <w:rFonts w:ascii="Courier New" w:hAnsi="Courier New" w:cs="Courier New" w:hint="default"/>
      </w:rPr>
    </w:lvl>
    <w:lvl w:ilvl="5" w:tplc="09AEB70A" w:tentative="1">
      <w:start w:val="1"/>
      <w:numFmt w:val="bullet"/>
      <w:lvlText w:val=""/>
      <w:lvlJc w:val="left"/>
      <w:pPr>
        <w:ind w:left="4320" w:hanging="360"/>
      </w:pPr>
      <w:rPr>
        <w:rFonts w:ascii="Wingdings" w:hAnsi="Wingdings" w:hint="default"/>
      </w:rPr>
    </w:lvl>
    <w:lvl w:ilvl="6" w:tplc="9A2AB6AC" w:tentative="1">
      <w:start w:val="1"/>
      <w:numFmt w:val="bullet"/>
      <w:lvlText w:val=""/>
      <w:lvlJc w:val="left"/>
      <w:pPr>
        <w:ind w:left="5040" w:hanging="360"/>
      </w:pPr>
      <w:rPr>
        <w:rFonts w:ascii="Symbol" w:hAnsi="Symbol" w:hint="default"/>
      </w:rPr>
    </w:lvl>
    <w:lvl w:ilvl="7" w:tplc="9A72B542" w:tentative="1">
      <w:start w:val="1"/>
      <w:numFmt w:val="bullet"/>
      <w:lvlText w:val="o"/>
      <w:lvlJc w:val="left"/>
      <w:pPr>
        <w:ind w:left="5760" w:hanging="360"/>
      </w:pPr>
      <w:rPr>
        <w:rFonts w:ascii="Courier New" w:hAnsi="Courier New" w:cs="Courier New" w:hint="default"/>
      </w:rPr>
    </w:lvl>
    <w:lvl w:ilvl="8" w:tplc="207EDC02" w:tentative="1">
      <w:start w:val="1"/>
      <w:numFmt w:val="bullet"/>
      <w:lvlText w:val=""/>
      <w:lvlJc w:val="left"/>
      <w:pPr>
        <w:ind w:left="6480" w:hanging="360"/>
      </w:pPr>
      <w:rPr>
        <w:rFonts w:ascii="Wingdings" w:hAnsi="Wingdings" w:hint="default"/>
      </w:rPr>
    </w:lvl>
  </w:abstractNum>
  <w:abstractNum w:abstractNumId="15" w15:restartNumberingAfterBreak="0">
    <w:nsid w:val="30EA47A0"/>
    <w:multiLevelType w:val="multilevel"/>
    <w:tmpl w:val="15361C90"/>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15:restartNumberingAfterBreak="0">
    <w:nsid w:val="32621D22"/>
    <w:multiLevelType w:val="hybridMultilevel"/>
    <w:tmpl w:val="B9407926"/>
    <w:lvl w:ilvl="0" w:tplc="8922498E">
      <w:start w:val="1"/>
      <w:numFmt w:val="bullet"/>
      <w:lvlText w:val=""/>
      <w:lvlJc w:val="left"/>
      <w:pPr>
        <w:ind w:left="360" w:hanging="360"/>
      </w:pPr>
      <w:rPr>
        <w:rFonts w:ascii="Symbol" w:hAnsi="Symbol" w:hint="default"/>
      </w:rPr>
    </w:lvl>
    <w:lvl w:ilvl="1" w:tplc="2AAA0A7C" w:tentative="1">
      <w:start w:val="1"/>
      <w:numFmt w:val="bullet"/>
      <w:lvlText w:val="o"/>
      <w:lvlJc w:val="left"/>
      <w:pPr>
        <w:ind w:left="1080" w:hanging="360"/>
      </w:pPr>
      <w:rPr>
        <w:rFonts w:ascii="Courier New" w:hAnsi="Courier New" w:cs="Courier New" w:hint="default"/>
      </w:rPr>
    </w:lvl>
    <w:lvl w:ilvl="2" w:tplc="8B20F1F8" w:tentative="1">
      <w:start w:val="1"/>
      <w:numFmt w:val="bullet"/>
      <w:lvlText w:val=""/>
      <w:lvlJc w:val="left"/>
      <w:pPr>
        <w:ind w:left="1800" w:hanging="360"/>
      </w:pPr>
      <w:rPr>
        <w:rFonts w:ascii="Wingdings" w:hAnsi="Wingdings" w:hint="default"/>
      </w:rPr>
    </w:lvl>
    <w:lvl w:ilvl="3" w:tplc="5A3C0AF0" w:tentative="1">
      <w:start w:val="1"/>
      <w:numFmt w:val="bullet"/>
      <w:lvlText w:val=""/>
      <w:lvlJc w:val="left"/>
      <w:pPr>
        <w:ind w:left="2520" w:hanging="360"/>
      </w:pPr>
      <w:rPr>
        <w:rFonts w:ascii="Symbol" w:hAnsi="Symbol" w:hint="default"/>
      </w:rPr>
    </w:lvl>
    <w:lvl w:ilvl="4" w:tplc="0DAE29DC" w:tentative="1">
      <w:start w:val="1"/>
      <w:numFmt w:val="bullet"/>
      <w:lvlText w:val="o"/>
      <w:lvlJc w:val="left"/>
      <w:pPr>
        <w:ind w:left="3240" w:hanging="360"/>
      </w:pPr>
      <w:rPr>
        <w:rFonts w:ascii="Courier New" w:hAnsi="Courier New" w:cs="Courier New" w:hint="default"/>
      </w:rPr>
    </w:lvl>
    <w:lvl w:ilvl="5" w:tplc="505C6F02" w:tentative="1">
      <w:start w:val="1"/>
      <w:numFmt w:val="bullet"/>
      <w:lvlText w:val=""/>
      <w:lvlJc w:val="left"/>
      <w:pPr>
        <w:ind w:left="3960" w:hanging="360"/>
      </w:pPr>
      <w:rPr>
        <w:rFonts w:ascii="Wingdings" w:hAnsi="Wingdings" w:hint="default"/>
      </w:rPr>
    </w:lvl>
    <w:lvl w:ilvl="6" w:tplc="399A4C0A" w:tentative="1">
      <w:start w:val="1"/>
      <w:numFmt w:val="bullet"/>
      <w:lvlText w:val=""/>
      <w:lvlJc w:val="left"/>
      <w:pPr>
        <w:ind w:left="4680" w:hanging="360"/>
      </w:pPr>
      <w:rPr>
        <w:rFonts w:ascii="Symbol" w:hAnsi="Symbol" w:hint="default"/>
      </w:rPr>
    </w:lvl>
    <w:lvl w:ilvl="7" w:tplc="7D6E89FE" w:tentative="1">
      <w:start w:val="1"/>
      <w:numFmt w:val="bullet"/>
      <w:lvlText w:val="o"/>
      <w:lvlJc w:val="left"/>
      <w:pPr>
        <w:ind w:left="5400" w:hanging="360"/>
      </w:pPr>
      <w:rPr>
        <w:rFonts w:ascii="Courier New" w:hAnsi="Courier New" w:cs="Courier New" w:hint="default"/>
      </w:rPr>
    </w:lvl>
    <w:lvl w:ilvl="8" w:tplc="44F4D3BC" w:tentative="1">
      <w:start w:val="1"/>
      <w:numFmt w:val="bullet"/>
      <w:lvlText w:val=""/>
      <w:lvlJc w:val="left"/>
      <w:pPr>
        <w:ind w:left="6120" w:hanging="360"/>
      </w:pPr>
      <w:rPr>
        <w:rFonts w:ascii="Wingdings" w:hAnsi="Wingdings" w:hint="default"/>
      </w:rPr>
    </w:lvl>
  </w:abstractNum>
  <w:abstractNum w:abstractNumId="17" w15:restartNumberingAfterBreak="0">
    <w:nsid w:val="32A65799"/>
    <w:multiLevelType w:val="hybridMultilevel"/>
    <w:tmpl w:val="7DB28632"/>
    <w:lvl w:ilvl="0" w:tplc="CB087116">
      <w:start w:val="1"/>
      <w:numFmt w:val="bullet"/>
      <w:lvlText w:val=""/>
      <w:lvlJc w:val="left"/>
      <w:pPr>
        <w:ind w:left="720" w:hanging="360"/>
      </w:pPr>
      <w:rPr>
        <w:rFonts w:ascii="Symbol" w:hAnsi="Symbol" w:hint="default"/>
      </w:rPr>
    </w:lvl>
    <w:lvl w:ilvl="1" w:tplc="B9822F18" w:tentative="1">
      <w:start w:val="1"/>
      <w:numFmt w:val="bullet"/>
      <w:lvlText w:val="o"/>
      <w:lvlJc w:val="left"/>
      <w:pPr>
        <w:ind w:left="1440" w:hanging="360"/>
      </w:pPr>
      <w:rPr>
        <w:rFonts w:ascii="Courier New" w:hAnsi="Courier New" w:cs="Courier New" w:hint="default"/>
      </w:rPr>
    </w:lvl>
    <w:lvl w:ilvl="2" w:tplc="02389E5E" w:tentative="1">
      <w:start w:val="1"/>
      <w:numFmt w:val="bullet"/>
      <w:lvlText w:val=""/>
      <w:lvlJc w:val="left"/>
      <w:pPr>
        <w:ind w:left="2160" w:hanging="360"/>
      </w:pPr>
      <w:rPr>
        <w:rFonts w:ascii="Wingdings" w:hAnsi="Wingdings" w:hint="default"/>
      </w:rPr>
    </w:lvl>
    <w:lvl w:ilvl="3" w:tplc="F52AF4A6" w:tentative="1">
      <w:start w:val="1"/>
      <w:numFmt w:val="bullet"/>
      <w:lvlText w:val=""/>
      <w:lvlJc w:val="left"/>
      <w:pPr>
        <w:ind w:left="2880" w:hanging="360"/>
      </w:pPr>
      <w:rPr>
        <w:rFonts w:ascii="Symbol" w:hAnsi="Symbol" w:hint="default"/>
      </w:rPr>
    </w:lvl>
    <w:lvl w:ilvl="4" w:tplc="1F0A035E" w:tentative="1">
      <w:start w:val="1"/>
      <w:numFmt w:val="bullet"/>
      <w:lvlText w:val="o"/>
      <w:lvlJc w:val="left"/>
      <w:pPr>
        <w:ind w:left="3600" w:hanging="360"/>
      </w:pPr>
      <w:rPr>
        <w:rFonts w:ascii="Courier New" w:hAnsi="Courier New" w:cs="Courier New" w:hint="default"/>
      </w:rPr>
    </w:lvl>
    <w:lvl w:ilvl="5" w:tplc="7C6E083A" w:tentative="1">
      <w:start w:val="1"/>
      <w:numFmt w:val="bullet"/>
      <w:lvlText w:val=""/>
      <w:lvlJc w:val="left"/>
      <w:pPr>
        <w:ind w:left="4320" w:hanging="360"/>
      </w:pPr>
      <w:rPr>
        <w:rFonts w:ascii="Wingdings" w:hAnsi="Wingdings" w:hint="default"/>
      </w:rPr>
    </w:lvl>
    <w:lvl w:ilvl="6" w:tplc="03D8C9D0" w:tentative="1">
      <w:start w:val="1"/>
      <w:numFmt w:val="bullet"/>
      <w:lvlText w:val=""/>
      <w:lvlJc w:val="left"/>
      <w:pPr>
        <w:ind w:left="5040" w:hanging="360"/>
      </w:pPr>
      <w:rPr>
        <w:rFonts w:ascii="Symbol" w:hAnsi="Symbol" w:hint="default"/>
      </w:rPr>
    </w:lvl>
    <w:lvl w:ilvl="7" w:tplc="C83EAC2E" w:tentative="1">
      <w:start w:val="1"/>
      <w:numFmt w:val="bullet"/>
      <w:lvlText w:val="o"/>
      <w:lvlJc w:val="left"/>
      <w:pPr>
        <w:ind w:left="5760" w:hanging="360"/>
      </w:pPr>
      <w:rPr>
        <w:rFonts w:ascii="Courier New" w:hAnsi="Courier New" w:cs="Courier New" w:hint="default"/>
      </w:rPr>
    </w:lvl>
    <w:lvl w:ilvl="8" w:tplc="D5163D60" w:tentative="1">
      <w:start w:val="1"/>
      <w:numFmt w:val="bullet"/>
      <w:lvlText w:val=""/>
      <w:lvlJc w:val="left"/>
      <w:pPr>
        <w:ind w:left="6480" w:hanging="360"/>
      </w:pPr>
      <w:rPr>
        <w:rFonts w:ascii="Wingdings" w:hAnsi="Wingdings" w:hint="default"/>
      </w:rPr>
    </w:lvl>
  </w:abstractNum>
  <w:abstractNum w:abstractNumId="18" w15:restartNumberingAfterBreak="0">
    <w:nsid w:val="32DE378D"/>
    <w:multiLevelType w:val="hybridMultilevel"/>
    <w:tmpl w:val="82D0C390"/>
    <w:lvl w:ilvl="0" w:tplc="5C1AC508">
      <w:start w:val="1"/>
      <w:numFmt w:val="bullet"/>
      <w:pStyle w:val="Bullet"/>
      <w:lvlText w:val=""/>
      <w:lvlJc w:val="left"/>
      <w:pPr>
        <w:ind w:left="363" w:hanging="360"/>
      </w:pPr>
      <w:rPr>
        <w:rFonts w:ascii="Symbol" w:hAnsi="Symbol" w:hint="default"/>
      </w:rPr>
    </w:lvl>
    <w:lvl w:ilvl="1" w:tplc="5A5C1070">
      <w:start w:val="1"/>
      <w:numFmt w:val="bullet"/>
      <w:lvlText w:val="o"/>
      <w:lvlJc w:val="left"/>
      <w:pPr>
        <w:ind w:left="1083" w:hanging="360"/>
      </w:pPr>
      <w:rPr>
        <w:rFonts w:ascii="Courier New" w:hAnsi="Courier New" w:cs="Courier New" w:hint="default"/>
      </w:rPr>
    </w:lvl>
    <w:lvl w:ilvl="2" w:tplc="E4121440" w:tentative="1">
      <w:start w:val="1"/>
      <w:numFmt w:val="bullet"/>
      <w:lvlText w:val=""/>
      <w:lvlJc w:val="left"/>
      <w:pPr>
        <w:ind w:left="1803" w:hanging="360"/>
      </w:pPr>
      <w:rPr>
        <w:rFonts w:ascii="Wingdings" w:hAnsi="Wingdings" w:hint="default"/>
      </w:rPr>
    </w:lvl>
    <w:lvl w:ilvl="3" w:tplc="26E46400" w:tentative="1">
      <w:start w:val="1"/>
      <w:numFmt w:val="bullet"/>
      <w:lvlText w:val=""/>
      <w:lvlJc w:val="left"/>
      <w:pPr>
        <w:ind w:left="2523" w:hanging="360"/>
      </w:pPr>
      <w:rPr>
        <w:rFonts w:ascii="Symbol" w:hAnsi="Symbol" w:hint="default"/>
      </w:rPr>
    </w:lvl>
    <w:lvl w:ilvl="4" w:tplc="CB4CABF2" w:tentative="1">
      <w:start w:val="1"/>
      <w:numFmt w:val="bullet"/>
      <w:lvlText w:val="o"/>
      <w:lvlJc w:val="left"/>
      <w:pPr>
        <w:ind w:left="3243" w:hanging="360"/>
      </w:pPr>
      <w:rPr>
        <w:rFonts w:ascii="Courier New" w:hAnsi="Courier New" w:cs="Courier New" w:hint="default"/>
      </w:rPr>
    </w:lvl>
    <w:lvl w:ilvl="5" w:tplc="EA4ABACC" w:tentative="1">
      <w:start w:val="1"/>
      <w:numFmt w:val="bullet"/>
      <w:lvlText w:val=""/>
      <w:lvlJc w:val="left"/>
      <w:pPr>
        <w:ind w:left="3963" w:hanging="360"/>
      </w:pPr>
      <w:rPr>
        <w:rFonts w:ascii="Wingdings" w:hAnsi="Wingdings" w:hint="default"/>
      </w:rPr>
    </w:lvl>
    <w:lvl w:ilvl="6" w:tplc="B310EFF4" w:tentative="1">
      <w:start w:val="1"/>
      <w:numFmt w:val="bullet"/>
      <w:lvlText w:val=""/>
      <w:lvlJc w:val="left"/>
      <w:pPr>
        <w:ind w:left="4683" w:hanging="360"/>
      </w:pPr>
      <w:rPr>
        <w:rFonts w:ascii="Symbol" w:hAnsi="Symbol" w:hint="default"/>
      </w:rPr>
    </w:lvl>
    <w:lvl w:ilvl="7" w:tplc="F0D0F0BC" w:tentative="1">
      <w:start w:val="1"/>
      <w:numFmt w:val="bullet"/>
      <w:lvlText w:val="o"/>
      <w:lvlJc w:val="left"/>
      <w:pPr>
        <w:ind w:left="5403" w:hanging="360"/>
      </w:pPr>
      <w:rPr>
        <w:rFonts w:ascii="Courier New" w:hAnsi="Courier New" w:cs="Courier New" w:hint="default"/>
      </w:rPr>
    </w:lvl>
    <w:lvl w:ilvl="8" w:tplc="DF9E58BA" w:tentative="1">
      <w:start w:val="1"/>
      <w:numFmt w:val="bullet"/>
      <w:lvlText w:val=""/>
      <w:lvlJc w:val="left"/>
      <w:pPr>
        <w:ind w:left="6123" w:hanging="360"/>
      </w:pPr>
      <w:rPr>
        <w:rFonts w:ascii="Wingdings" w:hAnsi="Wingdings" w:hint="default"/>
      </w:rPr>
    </w:lvl>
  </w:abstractNum>
  <w:abstractNum w:abstractNumId="19" w15:restartNumberingAfterBreak="0">
    <w:nsid w:val="368F3BFC"/>
    <w:multiLevelType w:val="hybridMultilevel"/>
    <w:tmpl w:val="08588680"/>
    <w:lvl w:ilvl="0" w:tplc="B8C8473A">
      <w:start w:val="1"/>
      <w:numFmt w:val="bullet"/>
      <w:lvlText w:val=""/>
      <w:lvlJc w:val="left"/>
      <w:pPr>
        <w:ind w:left="720" w:hanging="360"/>
      </w:pPr>
      <w:rPr>
        <w:rFonts w:ascii="Symbol" w:hAnsi="Symbol" w:hint="default"/>
      </w:rPr>
    </w:lvl>
    <w:lvl w:ilvl="1" w:tplc="FB50F626" w:tentative="1">
      <w:start w:val="1"/>
      <w:numFmt w:val="bullet"/>
      <w:lvlText w:val="o"/>
      <w:lvlJc w:val="left"/>
      <w:pPr>
        <w:ind w:left="1440" w:hanging="360"/>
      </w:pPr>
      <w:rPr>
        <w:rFonts w:ascii="Courier New" w:hAnsi="Courier New" w:cs="Courier New" w:hint="default"/>
      </w:rPr>
    </w:lvl>
    <w:lvl w:ilvl="2" w:tplc="BA2EEBAC" w:tentative="1">
      <w:start w:val="1"/>
      <w:numFmt w:val="bullet"/>
      <w:lvlText w:val=""/>
      <w:lvlJc w:val="left"/>
      <w:pPr>
        <w:ind w:left="2160" w:hanging="360"/>
      </w:pPr>
      <w:rPr>
        <w:rFonts w:ascii="Wingdings" w:hAnsi="Wingdings" w:hint="default"/>
      </w:rPr>
    </w:lvl>
    <w:lvl w:ilvl="3" w:tplc="DED2B84C" w:tentative="1">
      <w:start w:val="1"/>
      <w:numFmt w:val="bullet"/>
      <w:lvlText w:val=""/>
      <w:lvlJc w:val="left"/>
      <w:pPr>
        <w:ind w:left="2880" w:hanging="360"/>
      </w:pPr>
      <w:rPr>
        <w:rFonts w:ascii="Symbol" w:hAnsi="Symbol" w:hint="default"/>
      </w:rPr>
    </w:lvl>
    <w:lvl w:ilvl="4" w:tplc="A9128E0E" w:tentative="1">
      <w:start w:val="1"/>
      <w:numFmt w:val="bullet"/>
      <w:lvlText w:val="o"/>
      <w:lvlJc w:val="left"/>
      <w:pPr>
        <w:ind w:left="3600" w:hanging="360"/>
      </w:pPr>
      <w:rPr>
        <w:rFonts w:ascii="Courier New" w:hAnsi="Courier New" w:cs="Courier New" w:hint="default"/>
      </w:rPr>
    </w:lvl>
    <w:lvl w:ilvl="5" w:tplc="1F906148" w:tentative="1">
      <w:start w:val="1"/>
      <w:numFmt w:val="bullet"/>
      <w:lvlText w:val=""/>
      <w:lvlJc w:val="left"/>
      <w:pPr>
        <w:ind w:left="4320" w:hanging="360"/>
      </w:pPr>
      <w:rPr>
        <w:rFonts w:ascii="Wingdings" w:hAnsi="Wingdings" w:hint="default"/>
      </w:rPr>
    </w:lvl>
    <w:lvl w:ilvl="6" w:tplc="7DA23122" w:tentative="1">
      <w:start w:val="1"/>
      <w:numFmt w:val="bullet"/>
      <w:lvlText w:val=""/>
      <w:lvlJc w:val="left"/>
      <w:pPr>
        <w:ind w:left="5040" w:hanging="360"/>
      </w:pPr>
      <w:rPr>
        <w:rFonts w:ascii="Symbol" w:hAnsi="Symbol" w:hint="default"/>
      </w:rPr>
    </w:lvl>
    <w:lvl w:ilvl="7" w:tplc="2C58B6D4" w:tentative="1">
      <w:start w:val="1"/>
      <w:numFmt w:val="bullet"/>
      <w:lvlText w:val="o"/>
      <w:lvlJc w:val="left"/>
      <w:pPr>
        <w:ind w:left="5760" w:hanging="360"/>
      </w:pPr>
      <w:rPr>
        <w:rFonts w:ascii="Courier New" w:hAnsi="Courier New" w:cs="Courier New" w:hint="default"/>
      </w:rPr>
    </w:lvl>
    <w:lvl w:ilvl="8" w:tplc="81029F50" w:tentative="1">
      <w:start w:val="1"/>
      <w:numFmt w:val="bullet"/>
      <w:lvlText w:val=""/>
      <w:lvlJc w:val="left"/>
      <w:pPr>
        <w:ind w:left="6480" w:hanging="360"/>
      </w:pPr>
      <w:rPr>
        <w:rFonts w:ascii="Wingdings" w:hAnsi="Wingdings" w:hint="default"/>
      </w:rPr>
    </w:lvl>
  </w:abstractNum>
  <w:abstractNum w:abstractNumId="20" w15:restartNumberingAfterBreak="0">
    <w:nsid w:val="36C32319"/>
    <w:multiLevelType w:val="hybridMultilevel"/>
    <w:tmpl w:val="62943B7A"/>
    <w:lvl w:ilvl="0" w:tplc="6778C256">
      <w:start w:val="1"/>
      <w:numFmt w:val="bullet"/>
      <w:lvlText w:val=""/>
      <w:lvlJc w:val="left"/>
      <w:pPr>
        <w:ind w:left="720" w:hanging="360"/>
      </w:pPr>
      <w:rPr>
        <w:rFonts w:ascii="Symbol" w:hAnsi="Symbol" w:hint="default"/>
      </w:rPr>
    </w:lvl>
    <w:lvl w:ilvl="1" w:tplc="F9909CD8" w:tentative="1">
      <w:start w:val="1"/>
      <w:numFmt w:val="bullet"/>
      <w:lvlText w:val="o"/>
      <w:lvlJc w:val="left"/>
      <w:pPr>
        <w:ind w:left="1440" w:hanging="360"/>
      </w:pPr>
      <w:rPr>
        <w:rFonts w:ascii="Courier New" w:hAnsi="Courier New" w:cs="Courier New" w:hint="default"/>
      </w:rPr>
    </w:lvl>
    <w:lvl w:ilvl="2" w:tplc="8A78B554" w:tentative="1">
      <w:start w:val="1"/>
      <w:numFmt w:val="bullet"/>
      <w:lvlText w:val=""/>
      <w:lvlJc w:val="left"/>
      <w:pPr>
        <w:ind w:left="2160" w:hanging="360"/>
      </w:pPr>
      <w:rPr>
        <w:rFonts w:ascii="Wingdings" w:hAnsi="Wingdings" w:hint="default"/>
      </w:rPr>
    </w:lvl>
    <w:lvl w:ilvl="3" w:tplc="EBBADCCA" w:tentative="1">
      <w:start w:val="1"/>
      <w:numFmt w:val="bullet"/>
      <w:lvlText w:val=""/>
      <w:lvlJc w:val="left"/>
      <w:pPr>
        <w:ind w:left="2880" w:hanging="360"/>
      </w:pPr>
      <w:rPr>
        <w:rFonts w:ascii="Symbol" w:hAnsi="Symbol" w:hint="default"/>
      </w:rPr>
    </w:lvl>
    <w:lvl w:ilvl="4" w:tplc="E870CCD6" w:tentative="1">
      <w:start w:val="1"/>
      <w:numFmt w:val="bullet"/>
      <w:lvlText w:val="o"/>
      <w:lvlJc w:val="left"/>
      <w:pPr>
        <w:ind w:left="3600" w:hanging="360"/>
      </w:pPr>
      <w:rPr>
        <w:rFonts w:ascii="Courier New" w:hAnsi="Courier New" w:cs="Courier New" w:hint="default"/>
      </w:rPr>
    </w:lvl>
    <w:lvl w:ilvl="5" w:tplc="A2AA027A" w:tentative="1">
      <w:start w:val="1"/>
      <w:numFmt w:val="bullet"/>
      <w:lvlText w:val=""/>
      <w:lvlJc w:val="left"/>
      <w:pPr>
        <w:ind w:left="4320" w:hanging="360"/>
      </w:pPr>
      <w:rPr>
        <w:rFonts w:ascii="Wingdings" w:hAnsi="Wingdings" w:hint="default"/>
      </w:rPr>
    </w:lvl>
    <w:lvl w:ilvl="6" w:tplc="6BE82156" w:tentative="1">
      <w:start w:val="1"/>
      <w:numFmt w:val="bullet"/>
      <w:lvlText w:val=""/>
      <w:lvlJc w:val="left"/>
      <w:pPr>
        <w:ind w:left="5040" w:hanging="360"/>
      </w:pPr>
      <w:rPr>
        <w:rFonts w:ascii="Symbol" w:hAnsi="Symbol" w:hint="default"/>
      </w:rPr>
    </w:lvl>
    <w:lvl w:ilvl="7" w:tplc="5E1481E2" w:tentative="1">
      <w:start w:val="1"/>
      <w:numFmt w:val="bullet"/>
      <w:lvlText w:val="o"/>
      <w:lvlJc w:val="left"/>
      <w:pPr>
        <w:ind w:left="5760" w:hanging="360"/>
      </w:pPr>
      <w:rPr>
        <w:rFonts w:ascii="Courier New" w:hAnsi="Courier New" w:cs="Courier New" w:hint="default"/>
      </w:rPr>
    </w:lvl>
    <w:lvl w:ilvl="8" w:tplc="1A0C9DAA" w:tentative="1">
      <w:start w:val="1"/>
      <w:numFmt w:val="bullet"/>
      <w:lvlText w:val=""/>
      <w:lvlJc w:val="left"/>
      <w:pPr>
        <w:ind w:left="6480" w:hanging="360"/>
      </w:pPr>
      <w:rPr>
        <w:rFonts w:ascii="Wingdings" w:hAnsi="Wingdings" w:hint="default"/>
      </w:rPr>
    </w:lvl>
  </w:abstractNum>
  <w:abstractNum w:abstractNumId="21" w15:restartNumberingAfterBreak="0">
    <w:nsid w:val="380F6005"/>
    <w:multiLevelType w:val="hybridMultilevel"/>
    <w:tmpl w:val="CCA4350C"/>
    <w:lvl w:ilvl="0" w:tplc="135E8508">
      <w:start w:val="1"/>
      <w:numFmt w:val="none"/>
      <w:pStyle w:val="NumberedParaCharCharChar1CharCharCharChar"/>
      <w:lvlText w:val="1"/>
      <w:lvlJc w:val="left"/>
      <w:pPr>
        <w:tabs>
          <w:tab w:val="num" w:pos="567"/>
        </w:tabs>
        <w:ind w:left="0" w:firstLine="0"/>
      </w:pPr>
      <w:rPr>
        <w:rFonts w:hint="default"/>
        <w:b w:val="0"/>
        <w:i w:val="0"/>
        <w:strike w:val="0"/>
      </w:rPr>
    </w:lvl>
    <w:lvl w:ilvl="1" w:tplc="21448F9C">
      <w:start w:val="38"/>
      <w:numFmt w:val="decimal"/>
      <w:pStyle w:val="NumberedParaCharCharChar1CharCharCharChar"/>
      <w:lvlText w:val="%2"/>
      <w:lvlJc w:val="left"/>
      <w:pPr>
        <w:tabs>
          <w:tab w:val="num" w:pos="87"/>
        </w:tabs>
        <w:ind w:left="-480" w:firstLine="0"/>
      </w:pPr>
      <w:rPr>
        <w:rFonts w:hint="default"/>
      </w:rPr>
    </w:lvl>
    <w:lvl w:ilvl="2" w:tplc="C504C9FC" w:tentative="1">
      <w:start w:val="1"/>
      <w:numFmt w:val="lowerRoman"/>
      <w:lvlText w:val="%3."/>
      <w:lvlJc w:val="right"/>
      <w:pPr>
        <w:tabs>
          <w:tab w:val="num" w:pos="600"/>
        </w:tabs>
        <w:ind w:left="600" w:hanging="180"/>
      </w:pPr>
    </w:lvl>
    <w:lvl w:ilvl="3" w:tplc="698E0E2C">
      <w:start w:val="1"/>
      <w:numFmt w:val="lowerRoman"/>
      <w:lvlText w:val="(%4)"/>
      <w:lvlJc w:val="left"/>
      <w:pPr>
        <w:tabs>
          <w:tab w:val="num" w:pos="1320"/>
        </w:tabs>
        <w:ind w:left="1320" w:hanging="360"/>
      </w:pPr>
      <w:rPr>
        <w:rFonts w:hint="default"/>
        <w:b w:val="0"/>
        <w:strike w:val="0"/>
      </w:rPr>
    </w:lvl>
    <w:lvl w:ilvl="4" w:tplc="2176F444" w:tentative="1">
      <w:start w:val="1"/>
      <w:numFmt w:val="lowerLetter"/>
      <w:lvlText w:val="%5."/>
      <w:lvlJc w:val="left"/>
      <w:pPr>
        <w:tabs>
          <w:tab w:val="num" w:pos="2040"/>
        </w:tabs>
        <w:ind w:left="2040" w:hanging="360"/>
      </w:pPr>
    </w:lvl>
    <w:lvl w:ilvl="5" w:tplc="89EA7D10" w:tentative="1">
      <w:start w:val="1"/>
      <w:numFmt w:val="lowerRoman"/>
      <w:lvlText w:val="%6."/>
      <w:lvlJc w:val="right"/>
      <w:pPr>
        <w:tabs>
          <w:tab w:val="num" w:pos="2760"/>
        </w:tabs>
        <w:ind w:left="2760" w:hanging="180"/>
      </w:pPr>
    </w:lvl>
    <w:lvl w:ilvl="6" w:tplc="3EBC04EC" w:tentative="1">
      <w:start w:val="1"/>
      <w:numFmt w:val="decimal"/>
      <w:lvlText w:val="%7."/>
      <w:lvlJc w:val="left"/>
      <w:pPr>
        <w:tabs>
          <w:tab w:val="num" w:pos="3480"/>
        </w:tabs>
        <w:ind w:left="3480" w:hanging="360"/>
      </w:pPr>
    </w:lvl>
    <w:lvl w:ilvl="7" w:tplc="54EC3FB6" w:tentative="1">
      <w:start w:val="1"/>
      <w:numFmt w:val="lowerLetter"/>
      <w:lvlText w:val="%8."/>
      <w:lvlJc w:val="left"/>
      <w:pPr>
        <w:tabs>
          <w:tab w:val="num" w:pos="4200"/>
        </w:tabs>
        <w:ind w:left="4200" w:hanging="360"/>
      </w:pPr>
    </w:lvl>
    <w:lvl w:ilvl="8" w:tplc="BAE44BF2" w:tentative="1">
      <w:start w:val="1"/>
      <w:numFmt w:val="lowerRoman"/>
      <w:lvlText w:val="%9."/>
      <w:lvlJc w:val="right"/>
      <w:pPr>
        <w:tabs>
          <w:tab w:val="num" w:pos="4920"/>
        </w:tabs>
        <w:ind w:left="4920" w:hanging="180"/>
      </w:pPr>
    </w:lvl>
  </w:abstractNum>
  <w:abstractNum w:abstractNumId="22" w15:restartNumberingAfterBreak="0">
    <w:nsid w:val="39E724C2"/>
    <w:multiLevelType w:val="hybridMultilevel"/>
    <w:tmpl w:val="9FD2D76C"/>
    <w:lvl w:ilvl="0" w:tplc="C17A19E8">
      <w:start w:val="1"/>
      <w:numFmt w:val="lowerLetter"/>
      <w:lvlText w:val="%1)"/>
      <w:lvlJc w:val="left"/>
      <w:pPr>
        <w:ind w:left="360" w:hanging="360"/>
      </w:pPr>
      <w:rPr>
        <w:rFonts w:cs="Times New Roman" w:hint="default"/>
      </w:rPr>
    </w:lvl>
    <w:lvl w:ilvl="1" w:tplc="497448C4">
      <w:start w:val="1"/>
      <w:numFmt w:val="lowerLetter"/>
      <w:lvlText w:val="(%2)"/>
      <w:lvlJc w:val="left"/>
      <w:pPr>
        <w:ind w:left="1185" w:hanging="465"/>
      </w:pPr>
      <w:rPr>
        <w:rFonts w:hint="default"/>
      </w:rPr>
    </w:lvl>
    <w:lvl w:ilvl="2" w:tplc="E84E7B32" w:tentative="1">
      <w:start w:val="1"/>
      <w:numFmt w:val="lowerRoman"/>
      <w:lvlText w:val="%3."/>
      <w:lvlJc w:val="right"/>
      <w:pPr>
        <w:ind w:left="1800" w:hanging="180"/>
      </w:pPr>
      <w:rPr>
        <w:rFonts w:cs="Times New Roman"/>
      </w:rPr>
    </w:lvl>
    <w:lvl w:ilvl="3" w:tplc="B094CE3E" w:tentative="1">
      <w:start w:val="1"/>
      <w:numFmt w:val="decimal"/>
      <w:lvlText w:val="%4."/>
      <w:lvlJc w:val="left"/>
      <w:pPr>
        <w:ind w:left="2520" w:hanging="360"/>
      </w:pPr>
      <w:rPr>
        <w:rFonts w:cs="Times New Roman"/>
      </w:rPr>
    </w:lvl>
    <w:lvl w:ilvl="4" w:tplc="9C749E7C" w:tentative="1">
      <w:start w:val="1"/>
      <w:numFmt w:val="lowerLetter"/>
      <w:lvlText w:val="%5."/>
      <w:lvlJc w:val="left"/>
      <w:pPr>
        <w:ind w:left="3240" w:hanging="360"/>
      </w:pPr>
      <w:rPr>
        <w:rFonts w:cs="Times New Roman"/>
      </w:rPr>
    </w:lvl>
    <w:lvl w:ilvl="5" w:tplc="752A4DFE" w:tentative="1">
      <w:start w:val="1"/>
      <w:numFmt w:val="lowerRoman"/>
      <w:lvlText w:val="%6."/>
      <w:lvlJc w:val="right"/>
      <w:pPr>
        <w:ind w:left="3960" w:hanging="180"/>
      </w:pPr>
      <w:rPr>
        <w:rFonts w:cs="Times New Roman"/>
      </w:rPr>
    </w:lvl>
    <w:lvl w:ilvl="6" w:tplc="5DC4B9DC" w:tentative="1">
      <w:start w:val="1"/>
      <w:numFmt w:val="decimal"/>
      <w:lvlText w:val="%7."/>
      <w:lvlJc w:val="left"/>
      <w:pPr>
        <w:ind w:left="4680" w:hanging="360"/>
      </w:pPr>
      <w:rPr>
        <w:rFonts w:cs="Times New Roman"/>
      </w:rPr>
    </w:lvl>
    <w:lvl w:ilvl="7" w:tplc="BDA8599A" w:tentative="1">
      <w:start w:val="1"/>
      <w:numFmt w:val="lowerLetter"/>
      <w:lvlText w:val="%8."/>
      <w:lvlJc w:val="left"/>
      <w:pPr>
        <w:ind w:left="5400" w:hanging="360"/>
      </w:pPr>
      <w:rPr>
        <w:rFonts w:cs="Times New Roman"/>
      </w:rPr>
    </w:lvl>
    <w:lvl w:ilvl="8" w:tplc="F34EBD1C" w:tentative="1">
      <w:start w:val="1"/>
      <w:numFmt w:val="lowerRoman"/>
      <w:lvlText w:val="%9."/>
      <w:lvlJc w:val="right"/>
      <w:pPr>
        <w:ind w:left="6120" w:hanging="180"/>
      </w:pPr>
      <w:rPr>
        <w:rFonts w:cs="Times New Roman"/>
      </w:rPr>
    </w:lvl>
  </w:abstractNum>
  <w:abstractNum w:abstractNumId="23" w15:restartNumberingAfterBreak="0">
    <w:nsid w:val="3DC6052B"/>
    <w:multiLevelType w:val="hybridMultilevel"/>
    <w:tmpl w:val="FD4CF25E"/>
    <w:lvl w:ilvl="0" w:tplc="E8803A7C">
      <w:start w:val="1"/>
      <w:numFmt w:val="bullet"/>
      <w:lvlText w:val=""/>
      <w:lvlJc w:val="left"/>
      <w:pPr>
        <w:ind w:left="1495" w:hanging="360"/>
      </w:pPr>
      <w:rPr>
        <w:rFonts w:ascii="Symbol" w:hAnsi="Symbol" w:hint="default"/>
      </w:rPr>
    </w:lvl>
    <w:lvl w:ilvl="1" w:tplc="1822354C" w:tentative="1">
      <w:start w:val="1"/>
      <w:numFmt w:val="bullet"/>
      <w:lvlText w:val="o"/>
      <w:lvlJc w:val="left"/>
      <w:pPr>
        <w:ind w:left="2215" w:hanging="360"/>
      </w:pPr>
      <w:rPr>
        <w:rFonts w:ascii="Courier New" w:hAnsi="Courier New" w:cs="Courier New" w:hint="default"/>
      </w:rPr>
    </w:lvl>
    <w:lvl w:ilvl="2" w:tplc="F14A597C" w:tentative="1">
      <w:start w:val="1"/>
      <w:numFmt w:val="bullet"/>
      <w:lvlText w:val=""/>
      <w:lvlJc w:val="left"/>
      <w:pPr>
        <w:ind w:left="2935" w:hanging="360"/>
      </w:pPr>
      <w:rPr>
        <w:rFonts w:ascii="Wingdings" w:hAnsi="Wingdings" w:hint="default"/>
      </w:rPr>
    </w:lvl>
    <w:lvl w:ilvl="3" w:tplc="3C645380" w:tentative="1">
      <w:start w:val="1"/>
      <w:numFmt w:val="bullet"/>
      <w:lvlText w:val=""/>
      <w:lvlJc w:val="left"/>
      <w:pPr>
        <w:ind w:left="3655" w:hanging="360"/>
      </w:pPr>
      <w:rPr>
        <w:rFonts w:ascii="Symbol" w:hAnsi="Symbol" w:hint="default"/>
      </w:rPr>
    </w:lvl>
    <w:lvl w:ilvl="4" w:tplc="C34CC6C6" w:tentative="1">
      <w:start w:val="1"/>
      <w:numFmt w:val="bullet"/>
      <w:lvlText w:val="o"/>
      <w:lvlJc w:val="left"/>
      <w:pPr>
        <w:ind w:left="4375" w:hanging="360"/>
      </w:pPr>
      <w:rPr>
        <w:rFonts w:ascii="Courier New" w:hAnsi="Courier New" w:cs="Courier New" w:hint="default"/>
      </w:rPr>
    </w:lvl>
    <w:lvl w:ilvl="5" w:tplc="343C4B3E" w:tentative="1">
      <w:start w:val="1"/>
      <w:numFmt w:val="bullet"/>
      <w:lvlText w:val=""/>
      <w:lvlJc w:val="left"/>
      <w:pPr>
        <w:ind w:left="5095" w:hanging="360"/>
      </w:pPr>
      <w:rPr>
        <w:rFonts w:ascii="Wingdings" w:hAnsi="Wingdings" w:hint="default"/>
      </w:rPr>
    </w:lvl>
    <w:lvl w:ilvl="6" w:tplc="0036776E" w:tentative="1">
      <w:start w:val="1"/>
      <w:numFmt w:val="bullet"/>
      <w:lvlText w:val=""/>
      <w:lvlJc w:val="left"/>
      <w:pPr>
        <w:ind w:left="5815" w:hanging="360"/>
      </w:pPr>
      <w:rPr>
        <w:rFonts w:ascii="Symbol" w:hAnsi="Symbol" w:hint="default"/>
      </w:rPr>
    </w:lvl>
    <w:lvl w:ilvl="7" w:tplc="1CB8345E" w:tentative="1">
      <w:start w:val="1"/>
      <w:numFmt w:val="bullet"/>
      <w:lvlText w:val="o"/>
      <w:lvlJc w:val="left"/>
      <w:pPr>
        <w:ind w:left="6535" w:hanging="360"/>
      </w:pPr>
      <w:rPr>
        <w:rFonts w:ascii="Courier New" w:hAnsi="Courier New" w:cs="Courier New" w:hint="default"/>
      </w:rPr>
    </w:lvl>
    <w:lvl w:ilvl="8" w:tplc="8A125E0C" w:tentative="1">
      <w:start w:val="1"/>
      <w:numFmt w:val="bullet"/>
      <w:lvlText w:val=""/>
      <w:lvlJc w:val="left"/>
      <w:pPr>
        <w:ind w:left="7255" w:hanging="360"/>
      </w:pPr>
      <w:rPr>
        <w:rFonts w:ascii="Wingdings" w:hAnsi="Wingdings" w:hint="default"/>
      </w:rPr>
    </w:lvl>
  </w:abstractNum>
  <w:abstractNum w:abstractNumId="24" w15:restartNumberingAfterBreak="0">
    <w:nsid w:val="3F64109D"/>
    <w:multiLevelType w:val="hybridMultilevel"/>
    <w:tmpl w:val="299EE04C"/>
    <w:lvl w:ilvl="0" w:tplc="BD723D1E">
      <w:start w:val="1"/>
      <w:numFmt w:val="bullet"/>
      <w:lvlText w:val=""/>
      <w:lvlJc w:val="left"/>
      <w:pPr>
        <w:ind w:left="720" w:hanging="360"/>
      </w:pPr>
      <w:rPr>
        <w:rFonts w:ascii="Symbol" w:hAnsi="Symbol" w:hint="default"/>
      </w:rPr>
    </w:lvl>
    <w:lvl w:ilvl="1" w:tplc="2F2CF34A" w:tentative="1">
      <w:start w:val="1"/>
      <w:numFmt w:val="bullet"/>
      <w:lvlText w:val="o"/>
      <w:lvlJc w:val="left"/>
      <w:pPr>
        <w:ind w:left="1440" w:hanging="360"/>
      </w:pPr>
      <w:rPr>
        <w:rFonts w:ascii="Courier New" w:hAnsi="Courier New" w:cs="Courier New" w:hint="default"/>
      </w:rPr>
    </w:lvl>
    <w:lvl w:ilvl="2" w:tplc="FC76E94A" w:tentative="1">
      <w:start w:val="1"/>
      <w:numFmt w:val="bullet"/>
      <w:lvlText w:val=""/>
      <w:lvlJc w:val="left"/>
      <w:pPr>
        <w:ind w:left="2160" w:hanging="360"/>
      </w:pPr>
      <w:rPr>
        <w:rFonts w:ascii="Wingdings" w:hAnsi="Wingdings" w:hint="default"/>
      </w:rPr>
    </w:lvl>
    <w:lvl w:ilvl="3" w:tplc="4BD23D0C" w:tentative="1">
      <w:start w:val="1"/>
      <w:numFmt w:val="bullet"/>
      <w:lvlText w:val=""/>
      <w:lvlJc w:val="left"/>
      <w:pPr>
        <w:ind w:left="2880" w:hanging="360"/>
      </w:pPr>
      <w:rPr>
        <w:rFonts w:ascii="Symbol" w:hAnsi="Symbol" w:hint="default"/>
      </w:rPr>
    </w:lvl>
    <w:lvl w:ilvl="4" w:tplc="5992AB9A" w:tentative="1">
      <w:start w:val="1"/>
      <w:numFmt w:val="bullet"/>
      <w:lvlText w:val="o"/>
      <w:lvlJc w:val="left"/>
      <w:pPr>
        <w:ind w:left="3600" w:hanging="360"/>
      </w:pPr>
      <w:rPr>
        <w:rFonts w:ascii="Courier New" w:hAnsi="Courier New" w:cs="Courier New" w:hint="default"/>
      </w:rPr>
    </w:lvl>
    <w:lvl w:ilvl="5" w:tplc="DB0847B2" w:tentative="1">
      <w:start w:val="1"/>
      <w:numFmt w:val="bullet"/>
      <w:lvlText w:val=""/>
      <w:lvlJc w:val="left"/>
      <w:pPr>
        <w:ind w:left="4320" w:hanging="360"/>
      </w:pPr>
      <w:rPr>
        <w:rFonts w:ascii="Wingdings" w:hAnsi="Wingdings" w:hint="default"/>
      </w:rPr>
    </w:lvl>
    <w:lvl w:ilvl="6" w:tplc="CE402814" w:tentative="1">
      <w:start w:val="1"/>
      <w:numFmt w:val="bullet"/>
      <w:lvlText w:val=""/>
      <w:lvlJc w:val="left"/>
      <w:pPr>
        <w:ind w:left="5040" w:hanging="360"/>
      </w:pPr>
      <w:rPr>
        <w:rFonts w:ascii="Symbol" w:hAnsi="Symbol" w:hint="default"/>
      </w:rPr>
    </w:lvl>
    <w:lvl w:ilvl="7" w:tplc="DF02D61E" w:tentative="1">
      <w:start w:val="1"/>
      <w:numFmt w:val="bullet"/>
      <w:lvlText w:val="o"/>
      <w:lvlJc w:val="left"/>
      <w:pPr>
        <w:ind w:left="5760" w:hanging="360"/>
      </w:pPr>
      <w:rPr>
        <w:rFonts w:ascii="Courier New" w:hAnsi="Courier New" w:cs="Courier New" w:hint="default"/>
      </w:rPr>
    </w:lvl>
    <w:lvl w:ilvl="8" w:tplc="B9A43F7E" w:tentative="1">
      <w:start w:val="1"/>
      <w:numFmt w:val="bullet"/>
      <w:lvlText w:val=""/>
      <w:lvlJc w:val="left"/>
      <w:pPr>
        <w:ind w:left="6480" w:hanging="360"/>
      </w:pPr>
      <w:rPr>
        <w:rFonts w:ascii="Wingdings" w:hAnsi="Wingdings" w:hint="default"/>
      </w:rPr>
    </w:lvl>
  </w:abstractNum>
  <w:abstractNum w:abstractNumId="25" w15:restartNumberingAfterBreak="0">
    <w:nsid w:val="3F8463B0"/>
    <w:multiLevelType w:val="hybridMultilevel"/>
    <w:tmpl w:val="52B8D89C"/>
    <w:lvl w:ilvl="0" w:tplc="ABAA46CC">
      <w:start w:val="1"/>
      <w:numFmt w:val="lowerLetter"/>
      <w:lvlText w:val="%1)"/>
      <w:lvlJc w:val="left"/>
      <w:pPr>
        <w:ind w:left="1080" w:hanging="360"/>
      </w:pPr>
    </w:lvl>
    <w:lvl w:ilvl="1" w:tplc="638C73BE" w:tentative="1">
      <w:start w:val="1"/>
      <w:numFmt w:val="lowerLetter"/>
      <w:lvlText w:val="%2."/>
      <w:lvlJc w:val="left"/>
      <w:pPr>
        <w:ind w:left="1800" w:hanging="360"/>
      </w:pPr>
    </w:lvl>
    <w:lvl w:ilvl="2" w:tplc="BF8E4E7E" w:tentative="1">
      <w:start w:val="1"/>
      <w:numFmt w:val="lowerRoman"/>
      <w:lvlText w:val="%3."/>
      <w:lvlJc w:val="right"/>
      <w:pPr>
        <w:ind w:left="2520" w:hanging="180"/>
      </w:pPr>
    </w:lvl>
    <w:lvl w:ilvl="3" w:tplc="CEBECD96" w:tentative="1">
      <w:start w:val="1"/>
      <w:numFmt w:val="decimal"/>
      <w:lvlText w:val="%4."/>
      <w:lvlJc w:val="left"/>
      <w:pPr>
        <w:ind w:left="3240" w:hanging="360"/>
      </w:pPr>
    </w:lvl>
    <w:lvl w:ilvl="4" w:tplc="6C183B8E" w:tentative="1">
      <w:start w:val="1"/>
      <w:numFmt w:val="lowerLetter"/>
      <w:lvlText w:val="%5."/>
      <w:lvlJc w:val="left"/>
      <w:pPr>
        <w:ind w:left="3960" w:hanging="360"/>
      </w:pPr>
    </w:lvl>
    <w:lvl w:ilvl="5" w:tplc="40A44A28" w:tentative="1">
      <w:start w:val="1"/>
      <w:numFmt w:val="lowerRoman"/>
      <w:lvlText w:val="%6."/>
      <w:lvlJc w:val="right"/>
      <w:pPr>
        <w:ind w:left="4680" w:hanging="180"/>
      </w:pPr>
    </w:lvl>
    <w:lvl w:ilvl="6" w:tplc="45F2B3FE" w:tentative="1">
      <w:start w:val="1"/>
      <w:numFmt w:val="decimal"/>
      <w:lvlText w:val="%7."/>
      <w:lvlJc w:val="left"/>
      <w:pPr>
        <w:ind w:left="5400" w:hanging="360"/>
      </w:pPr>
    </w:lvl>
    <w:lvl w:ilvl="7" w:tplc="8BC699B2" w:tentative="1">
      <w:start w:val="1"/>
      <w:numFmt w:val="lowerLetter"/>
      <w:lvlText w:val="%8."/>
      <w:lvlJc w:val="left"/>
      <w:pPr>
        <w:ind w:left="6120" w:hanging="360"/>
      </w:pPr>
    </w:lvl>
    <w:lvl w:ilvl="8" w:tplc="DC86C2F2" w:tentative="1">
      <w:start w:val="1"/>
      <w:numFmt w:val="lowerRoman"/>
      <w:lvlText w:val="%9."/>
      <w:lvlJc w:val="right"/>
      <w:pPr>
        <w:ind w:left="6840" w:hanging="180"/>
      </w:pPr>
    </w:lvl>
  </w:abstractNum>
  <w:abstractNum w:abstractNumId="26" w15:restartNumberingAfterBreak="0">
    <w:nsid w:val="428479E9"/>
    <w:multiLevelType w:val="hybridMultilevel"/>
    <w:tmpl w:val="67E42F68"/>
    <w:lvl w:ilvl="0" w:tplc="89C60B1E">
      <w:start w:val="1"/>
      <w:numFmt w:val="bullet"/>
      <w:lvlText w:val=""/>
      <w:lvlJc w:val="left"/>
      <w:pPr>
        <w:ind w:left="720" w:hanging="360"/>
      </w:pPr>
      <w:rPr>
        <w:rFonts w:ascii="Symbol" w:hAnsi="Symbol" w:hint="default"/>
      </w:rPr>
    </w:lvl>
    <w:lvl w:ilvl="1" w:tplc="C4825996" w:tentative="1">
      <w:start w:val="1"/>
      <w:numFmt w:val="bullet"/>
      <w:lvlText w:val="o"/>
      <w:lvlJc w:val="left"/>
      <w:pPr>
        <w:ind w:left="1440" w:hanging="360"/>
      </w:pPr>
      <w:rPr>
        <w:rFonts w:ascii="Courier New" w:hAnsi="Courier New" w:cs="Courier New" w:hint="default"/>
      </w:rPr>
    </w:lvl>
    <w:lvl w:ilvl="2" w:tplc="333278B0" w:tentative="1">
      <w:start w:val="1"/>
      <w:numFmt w:val="bullet"/>
      <w:lvlText w:val=""/>
      <w:lvlJc w:val="left"/>
      <w:pPr>
        <w:ind w:left="2160" w:hanging="360"/>
      </w:pPr>
      <w:rPr>
        <w:rFonts w:ascii="Wingdings" w:hAnsi="Wingdings" w:hint="default"/>
      </w:rPr>
    </w:lvl>
    <w:lvl w:ilvl="3" w:tplc="78909522" w:tentative="1">
      <w:start w:val="1"/>
      <w:numFmt w:val="bullet"/>
      <w:lvlText w:val=""/>
      <w:lvlJc w:val="left"/>
      <w:pPr>
        <w:ind w:left="2880" w:hanging="360"/>
      </w:pPr>
      <w:rPr>
        <w:rFonts w:ascii="Symbol" w:hAnsi="Symbol" w:hint="default"/>
      </w:rPr>
    </w:lvl>
    <w:lvl w:ilvl="4" w:tplc="D54A1A2E" w:tentative="1">
      <w:start w:val="1"/>
      <w:numFmt w:val="bullet"/>
      <w:lvlText w:val="o"/>
      <w:lvlJc w:val="left"/>
      <w:pPr>
        <w:ind w:left="3600" w:hanging="360"/>
      </w:pPr>
      <w:rPr>
        <w:rFonts w:ascii="Courier New" w:hAnsi="Courier New" w:cs="Courier New" w:hint="default"/>
      </w:rPr>
    </w:lvl>
    <w:lvl w:ilvl="5" w:tplc="C2E42E54" w:tentative="1">
      <w:start w:val="1"/>
      <w:numFmt w:val="bullet"/>
      <w:lvlText w:val=""/>
      <w:lvlJc w:val="left"/>
      <w:pPr>
        <w:ind w:left="4320" w:hanging="360"/>
      </w:pPr>
      <w:rPr>
        <w:rFonts w:ascii="Wingdings" w:hAnsi="Wingdings" w:hint="default"/>
      </w:rPr>
    </w:lvl>
    <w:lvl w:ilvl="6" w:tplc="D10683F2" w:tentative="1">
      <w:start w:val="1"/>
      <w:numFmt w:val="bullet"/>
      <w:lvlText w:val=""/>
      <w:lvlJc w:val="left"/>
      <w:pPr>
        <w:ind w:left="5040" w:hanging="360"/>
      </w:pPr>
      <w:rPr>
        <w:rFonts w:ascii="Symbol" w:hAnsi="Symbol" w:hint="default"/>
      </w:rPr>
    </w:lvl>
    <w:lvl w:ilvl="7" w:tplc="686C909C" w:tentative="1">
      <w:start w:val="1"/>
      <w:numFmt w:val="bullet"/>
      <w:lvlText w:val="o"/>
      <w:lvlJc w:val="left"/>
      <w:pPr>
        <w:ind w:left="5760" w:hanging="360"/>
      </w:pPr>
      <w:rPr>
        <w:rFonts w:ascii="Courier New" w:hAnsi="Courier New" w:cs="Courier New" w:hint="default"/>
      </w:rPr>
    </w:lvl>
    <w:lvl w:ilvl="8" w:tplc="38C8C3C8" w:tentative="1">
      <w:start w:val="1"/>
      <w:numFmt w:val="bullet"/>
      <w:lvlText w:val=""/>
      <w:lvlJc w:val="left"/>
      <w:pPr>
        <w:ind w:left="6480" w:hanging="360"/>
      </w:pPr>
      <w:rPr>
        <w:rFonts w:ascii="Wingdings" w:hAnsi="Wingdings" w:hint="default"/>
      </w:rPr>
    </w:lvl>
  </w:abstractNum>
  <w:abstractNum w:abstractNumId="27" w15:restartNumberingAfterBreak="0">
    <w:nsid w:val="44D27211"/>
    <w:multiLevelType w:val="hybridMultilevel"/>
    <w:tmpl w:val="18F6EAFE"/>
    <w:lvl w:ilvl="0" w:tplc="19EA6B24">
      <w:start w:val="1"/>
      <w:numFmt w:val="lowerLetter"/>
      <w:lvlText w:val="%1)"/>
      <w:lvlJc w:val="left"/>
      <w:pPr>
        <w:ind w:left="1080" w:hanging="360"/>
      </w:pPr>
      <w:rPr>
        <w:rFonts w:hint="default"/>
      </w:rPr>
    </w:lvl>
    <w:lvl w:ilvl="1" w:tplc="AC76E0D2">
      <w:start w:val="1"/>
      <w:numFmt w:val="lowerLetter"/>
      <w:lvlText w:val="%2."/>
      <w:lvlJc w:val="left"/>
      <w:pPr>
        <w:ind w:left="1800" w:hanging="360"/>
      </w:pPr>
    </w:lvl>
    <w:lvl w:ilvl="2" w:tplc="9CC2543A" w:tentative="1">
      <w:start w:val="1"/>
      <w:numFmt w:val="lowerRoman"/>
      <w:lvlText w:val="%3."/>
      <w:lvlJc w:val="right"/>
      <w:pPr>
        <w:ind w:left="2520" w:hanging="180"/>
      </w:pPr>
    </w:lvl>
    <w:lvl w:ilvl="3" w:tplc="B9B016AC" w:tentative="1">
      <w:start w:val="1"/>
      <w:numFmt w:val="decimal"/>
      <w:lvlText w:val="%4."/>
      <w:lvlJc w:val="left"/>
      <w:pPr>
        <w:ind w:left="3240" w:hanging="360"/>
      </w:pPr>
    </w:lvl>
    <w:lvl w:ilvl="4" w:tplc="36B08C44" w:tentative="1">
      <w:start w:val="1"/>
      <w:numFmt w:val="lowerLetter"/>
      <w:lvlText w:val="%5."/>
      <w:lvlJc w:val="left"/>
      <w:pPr>
        <w:ind w:left="3960" w:hanging="360"/>
      </w:pPr>
    </w:lvl>
    <w:lvl w:ilvl="5" w:tplc="AFD2B41A" w:tentative="1">
      <w:start w:val="1"/>
      <w:numFmt w:val="lowerRoman"/>
      <w:lvlText w:val="%6."/>
      <w:lvlJc w:val="right"/>
      <w:pPr>
        <w:ind w:left="4680" w:hanging="180"/>
      </w:pPr>
    </w:lvl>
    <w:lvl w:ilvl="6" w:tplc="D55CDE92" w:tentative="1">
      <w:start w:val="1"/>
      <w:numFmt w:val="decimal"/>
      <w:lvlText w:val="%7."/>
      <w:lvlJc w:val="left"/>
      <w:pPr>
        <w:ind w:left="5400" w:hanging="360"/>
      </w:pPr>
    </w:lvl>
    <w:lvl w:ilvl="7" w:tplc="48BE11BC" w:tentative="1">
      <w:start w:val="1"/>
      <w:numFmt w:val="lowerLetter"/>
      <w:lvlText w:val="%8."/>
      <w:lvlJc w:val="left"/>
      <w:pPr>
        <w:ind w:left="6120" w:hanging="360"/>
      </w:pPr>
    </w:lvl>
    <w:lvl w:ilvl="8" w:tplc="BE2ADF1C" w:tentative="1">
      <w:start w:val="1"/>
      <w:numFmt w:val="lowerRoman"/>
      <w:lvlText w:val="%9."/>
      <w:lvlJc w:val="right"/>
      <w:pPr>
        <w:ind w:left="6840" w:hanging="180"/>
      </w:pPr>
    </w:lvl>
  </w:abstractNum>
  <w:abstractNum w:abstractNumId="28" w15:restartNumberingAfterBreak="0">
    <w:nsid w:val="483607C6"/>
    <w:multiLevelType w:val="hybridMultilevel"/>
    <w:tmpl w:val="B33C83E0"/>
    <w:lvl w:ilvl="0" w:tplc="16A06FF2">
      <w:start w:val="1"/>
      <w:numFmt w:val="lowerLetter"/>
      <w:lvlText w:val="%1)"/>
      <w:lvlJc w:val="left"/>
      <w:pPr>
        <w:ind w:left="928" w:hanging="360"/>
      </w:pPr>
    </w:lvl>
    <w:lvl w:ilvl="1" w:tplc="0672A954">
      <w:start w:val="1"/>
      <w:numFmt w:val="lowerLetter"/>
      <w:lvlText w:val="%2."/>
      <w:lvlJc w:val="left"/>
      <w:pPr>
        <w:ind w:left="1648" w:hanging="360"/>
      </w:pPr>
    </w:lvl>
    <w:lvl w:ilvl="2" w:tplc="912CEDEA" w:tentative="1">
      <w:start w:val="1"/>
      <w:numFmt w:val="lowerRoman"/>
      <w:lvlText w:val="%3."/>
      <w:lvlJc w:val="right"/>
      <w:pPr>
        <w:ind w:left="2368" w:hanging="180"/>
      </w:pPr>
    </w:lvl>
    <w:lvl w:ilvl="3" w:tplc="E41EF950" w:tentative="1">
      <w:start w:val="1"/>
      <w:numFmt w:val="decimal"/>
      <w:lvlText w:val="%4."/>
      <w:lvlJc w:val="left"/>
      <w:pPr>
        <w:ind w:left="3088" w:hanging="360"/>
      </w:pPr>
    </w:lvl>
    <w:lvl w:ilvl="4" w:tplc="FA2AE206" w:tentative="1">
      <w:start w:val="1"/>
      <w:numFmt w:val="lowerLetter"/>
      <w:lvlText w:val="%5."/>
      <w:lvlJc w:val="left"/>
      <w:pPr>
        <w:ind w:left="3808" w:hanging="360"/>
      </w:pPr>
    </w:lvl>
    <w:lvl w:ilvl="5" w:tplc="C4BCE3BA" w:tentative="1">
      <w:start w:val="1"/>
      <w:numFmt w:val="lowerRoman"/>
      <w:lvlText w:val="%6."/>
      <w:lvlJc w:val="right"/>
      <w:pPr>
        <w:ind w:left="4528" w:hanging="180"/>
      </w:pPr>
    </w:lvl>
    <w:lvl w:ilvl="6" w:tplc="057E3512" w:tentative="1">
      <w:start w:val="1"/>
      <w:numFmt w:val="decimal"/>
      <w:lvlText w:val="%7."/>
      <w:lvlJc w:val="left"/>
      <w:pPr>
        <w:ind w:left="5248" w:hanging="360"/>
      </w:pPr>
    </w:lvl>
    <w:lvl w:ilvl="7" w:tplc="76E0DE7A" w:tentative="1">
      <w:start w:val="1"/>
      <w:numFmt w:val="lowerLetter"/>
      <w:lvlText w:val="%8."/>
      <w:lvlJc w:val="left"/>
      <w:pPr>
        <w:ind w:left="5968" w:hanging="360"/>
      </w:pPr>
    </w:lvl>
    <w:lvl w:ilvl="8" w:tplc="8C6CA406" w:tentative="1">
      <w:start w:val="1"/>
      <w:numFmt w:val="lowerRoman"/>
      <w:lvlText w:val="%9."/>
      <w:lvlJc w:val="right"/>
      <w:pPr>
        <w:ind w:left="6688" w:hanging="180"/>
      </w:pPr>
    </w:lvl>
  </w:abstractNum>
  <w:abstractNum w:abstractNumId="29" w15:restartNumberingAfterBreak="0">
    <w:nsid w:val="49614E38"/>
    <w:multiLevelType w:val="multilevel"/>
    <w:tmpl w:val="129A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BF774F"/>
    <w:multiLevelType w:val="hybridMultilevel"/>
    <w:tmpl w:val="17D25926"/>
    <w:lvl w:ilvl="0" w:tplc="20D86D4E">
      <w:start w:val="1"/>
      <w:numFmt w:val="bullet"/>
      <w:lvlText w:val=""/>
      <w:lvlJc w:val="left"/>
      <w:pPr>
        <w:ind w:left="720" w:hanging="360"/>
      </w:pPr>
      <w:rPr>
        <w:rFonts w:ascii="Symbol" w:hAnsi="Symbol" w:hint="default"/>
      </w:rPr>
    </w:lvl>
    <w:lvl w:ilvl="1" w:tplc="C0D2D51C">
      <w:start w:val="1"/>
      <w:numFmt w:val="bullet"/>
      <w:lvlText w:val="o"/>
      <w:lvlJc w:val="left"/>
      <w:pPr>
        <w:ind w:left="1440" w:hanging="360"/>
      </w:pPr>
      <w:rPr>
        <w:rFonts w:ascii="Courier New" w:hAnsi="Courier New" w:cs="Courier New" w:hint="default"/>
      </w:rPr>
    </w:lvl>
    <w:lvl w:ilvl="2" w:tplc="11F2DDFC" w:tentative="1">
      <w:start w:val="1"/>
      <w:numFmt w:val="bullet"/>
      <w:lvlText w:val=""/>
      <w:lvlJc w:val="left"/>
      <w:pPr>
        <w:ind w:left="2160" w:hanging="360"/>
      </w:pPr>
      <w:rPr>
        <w:rFonts w:ascii="Wingdings" w:hAnsi="Wingdings" w:hint="default"/>
      </w:rPr>
    </w:lvl>
    <w:lvl w:ilvl="3" w:tplc="AF6AF390" w:tentative="1">
      <w:start w:val="1"/>
      <w:numFmt w:val="bullet"/>
      <w:lvlText w:val=""/>
      <w:lvlJc w:val="left"/>
      <w:pPr>
        <w:ind w:left="2880" w:hanging="360"/>
      </w:pPr>
      <w:rPr>
        <w:rFonts w:ascii="Symbol" w:hAnsi="Symbol" w:hint="default"/>
      </w:rPr>
    </w:lvl>
    <w:lvl w:ilvl="4" w:tplc="92E25A4E" w:tentative="1">
      <w:start w:val="1"/>
      <w:numFmt w:val="bullet"/>
      <w:lvlText w:val="o"/>
      <w:lvlJc w:val="left"/>
      <w:pPr>
        <w:ind w:left="3600" w:hanging="360"/>
      </w:pPr>
      <w:rPr>
        <w:rFonts w:ascii="Courier New" w:hAnsi="Courier New" w:cs="Courier New" w:hint="default"/>
      </w:rPr>
    </w:lvl>
    <w:lvl w:ilvl="5" w:tplc="F3E07F8C" w:tentative="1">
      <w:start w:val="1"/>
      <w:numFmt w:val="bullet"/>
      <w:lvlText w:val=""/>
      <w:lvlJc w:val="left"/>
      <w:pPr>
        <w:ind w:left="4320" w:hanging="360"/>
      </w:pPr>
      <w:rPr>
        <w:rFonts w:ascii="Wingdings" w:hAnsi="Wingdings" w:hint="default"/>
      </w:rPr>
    </w:lvl>
    <w:lvl w:ilvl="6" w:tplc="8572E310" w:tentative="1">
      <w:start w:val="1"/>
      <w:numFmt w:val="bullet"/>
      <w:lvlText w:val=""/>
      <w:lvlJc w:val="left"/>
      <w:pPr>
        <w:ind w:left="5040" w:hanging="360"/>
      </w:pPr>
      <w:rPr>
        <w:rFonts w:ascii="Symbol" w:hAnsi="Symbol" w:hint="default"/>
      </w:rPr>
    </w:lvl>
    <w:lvl w:ilvl="7" w:tplc="9EA4AAF2" w:tentative="1">
      <w:start w:val="1"/>
      <w:numFmt w:val="bullet"/>
      <w:lvlText w:val="o"/>
      <w:lvlJc w:val="left"/>
      <w:pPr>
        <w:ind w:left="5760" w:hanging="360"/>
      </w:pPr>
      <w:rPr>
        <w:rFonts w:ascii="Courier New" w:hAnsi="Courier New" w:cs="Courier New" w:hint="default"/>
      </w:rPr>
    </w:lvl>
    <w:lvl w:ilvl="8" w:tplc="A87C19A0" w:tentative="1">
      <w:start w:val="1"/>
      <w:numFmt w:val="bullet"/>
      <w:lvlText w:val=""/>
      <w:lvlJc w:val="left"/>
      <w:pPr>
        <w:ind w:left="6480" w:hanging="360"/>
      </w:pPr>
      <w:rPr>
        <w:rFonts w:ascii="Wingdings" w:hAnsi="Wingdings" w:hint="default"/>
      </w:rPr>
    </w:lvl>
  </w:abstractNum>
  <w:abstractNum w:abstractNumId="31" w15:restartNumberingAfterBreak="0">
    <w:nsid w:val="4D4643BA"/>
    <w:multiLevelType w:val="hybridMultilevel"/>
    <w:tmpl w:val="0492AAD8"/>
    <w:lvl w:ilvl="0" w:tplc="79809F48">
      <w:start w:val="3"/>
      <w:numFmt w:val="lowerLetter"/>
      <w:lvlText w:val="%1)"/>
      <w:lvlJc w:val="left"/>
      <w:pPr>
        <w:ind w:left="1080" w:hanging="360"/>
      </w:pPr>
      <w:rPr>
        <w:rFonts w:hint="default"/>
      </w:rPr>
    </w:lvl>
    <w:lvl w:ilvl="1" w:tplc="3C1413FC">
      <w:start w:val="1"/>
      <w:numFmt w:val="lowerLetter"/>
      <w:lvlText w:val="%2."/>
      <w:lvlJc w:val="left"/>
      <w:pPr>
        <w:ind w:left="1800" w:hanging="360"/>
      </w:pPr>
    </w:lvl>
    <w:lvl w:ilvl="2" w:tplc="1E2255A8" w:tentative="1">
      <w:start w:val="1"/>
      <w:numFmt w:val="lowerRoman"/>
      <w:lvlText w:val="%3."/>
      <w:lvlJc w:val="right"/>
      <w:pPr>
        <w:ind w:left="2520" w:hanging="180"/>
      </w:pPr>
    </w:lvl>
    <w:lvl w:ilvl="3" w:tplc="9CF27D12" w:tentative="1">
      <w:start w:val="1"/>
      <w:numFmt w:val="decimal"/>
      <w:lvlText w:val="%4."/>
      <w:lvlJc w:val="left"/>
      <w:pPr>
        <w:ind w:left="3240" w:hanging="360"/>
      </w:pPr>
    </w:lvl>
    <w:lvl w:ilvl="4" w:tplc="AAFC3568" w:tentative="1">
      <w:start w:val="1"/>
      <w:numFmt w:val="lowerLetter"/>
      <w:lvlText w:val="%5."/>
      <w:lvlJc w:val="left"/>
      <w:pPr>
        <w:ind w:left="3960" w:hanging="360"/>
      </w:pPr>
    </w:lvl>
    <w:lvl w:ilvl="5" w:tplc="47AC2010" w:tentative="1">
      <w:start w:val="1"/>
      <w:numFmt w:val="lowerRoman"/>
      <w:lvlText w:val="%6."/>
      <w:lvlJc w:val="right"/>
      <w:pPr>
        <w:ind w:left="4680" w:hanging="180"/>
      </w:pPr>
    </w:lvl>
    <w:lvl w:ilvl="6" w:tplc="6C74174A" w:tentative="1">
      <w:start w:val="1"/>
      <w:numFmt w:val="decimal"/>
      <w:lvlText w:val="%7."/>
      <w:lvlJc w:val="left"/>
      <w:pPr>
        <w:ind w:left="5400" w:hanging="360"/>
      </w:pPr>
    </w:lvl>
    <w:lvl w:ilvl="7" w:tplc="C46ABE42" w:tentative="1">
      <w:start w:val="1"/>
      <w:numFmt w:val="lowerLetter"/>
      <w:lvlText w:val="%8."/>
      <w:lvlJc w:val="left"/>
      <w:pPr>
        <w:ind w:left="6120" w:hanging="360"/>
      </w:pPr>
    </w:lvl>
    <w:lvl w:ilvl="8" w:tplc="5C3E35EE" w:tentative="1">
      <w:start w:val="1"/>
      <w:numFmt w:val="lowerRoman"/>
      <w:lvlText w:val="%9."/>
      <w:lvlJc w:val="right"/>
      <w:pPr>
        <w:ind w:left="6840" w:hanging="180"/>
      </w:pPr>
    </w:lvl>
  </w:abstractNum>
  <w:abstractNum w:abstractNumId="32" w15:restartNumberingAfterBreak="0">
    <w:nsid w:val="4DDE7F75"/>
    <w:multiLevelType w:val="multilevel"/>
    <w:tmpl w:val="DB84DC42"/>
    <w:lvl w:ilvl="0">
      <w:start w:val="1"/>
      <w:numFmt w:val="decimal"/>
      <w:lvlText w:val="%1."/>
      <w:lvlJc w:val="left"/>
      <w:pPr>
        <w:ind w:left="36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3" w15:restartNumberingAfterBreak="0">
    <w:nsid w:val="4E1A6EB1"/>
    <w:multiLevelType w:val="hybridMultilevel"/>
    <w:tmpl w:val="A68CF040"/>
    <w:lvl w:ilvl="0" w:tplc="5B927C76">
      <w:start w:val="1"/>
      <w:numFmt w:val="bullet"/>
      <w:lvlText w:val=""/>
      <w:lvlJc w:val="left"/>
      <w:pPr>
        <w:ind w:left="720" w:hanging="360"/>
      </w:pPr>
      <w:rPr>
        <w:rFonts w:ascii="Symbol" w:hAnsi="Symbol" w:hint="default"/>
      </w:rPr>
    </w:lvl>
    <w:lvl w:ilvl="1" w:tplc="36CA67BA" w:tentative="1">
      <w:start w:val="1"/>
      <w:numFmt w:val="bullet"/>
      <w:lvlText w:val="o"/>
      <w:lvlJc w:val="left"/>
      <w:pPr>
        <w:ind w:left="1440" w:hanging="360"/>
      </w:pPr>
      <w:rPr>
        <w:rFonts w:ascii="Courier New" w:hAnsi="Courier New" w:cs="Courier New" w:hint="default"/>
      </w:rPr>
    </w:lvl>
    <w:lvl w:ilvl="2" w:tplc="BAC84422" w:tentative="1">
      <w:start w:val="1"/>
      <w:numFmt w:val="bullet"/>
      <w:lvlText w:val=""/>
      <w:lvlJc w:val="left"/>
      <w:pPr>
        <w:ind w:left="2160" w:hanging="360"/>
      </w:pPr>
      <w:rPr>
        <w:rFonts w:ascii="Wingdings" w:hAnsi="Wingdings" w:hint="default"/>
      </w:rPr>
    </w:lvl>
    <w:lvl w:ilvl="3" w:tplc="2EE678D0" w:tentative="1">
      <w:start w:val="1"/>
      <w:numFmt w:val="bullet"/>
      <w:lvlText w:val=""/>
      <w:lvlJc w:val="left"/>
      <w:pPr>
        <w:ind w:left="2880" w:hanging="360"/>
      </w:pPr>
      <w:rPr>
        <w:rFonts w:ascii="Symbol" w:hAnsi="Symbol" w:hint="default"/>
      </w:rPr>
    </w:lvl>
    <w:lvl w:ilvl="4" w:tplc="25BE3CF8" w:tentative="1">
      <w:start w:val="1"/>
      <w:numFmt w:val="bullet"/>
      <w:lvlText w:val="o"/>
      <w:lvlJc w:val="left"/>
      <w:pPr>
        <w:ind w:left="3600" w:hanging="360"/>
      </w:pPr>
      <w:rPr>
        <w:rFonts w:ascii="Courier New" w:hAnsi="Courier New" w:cs="Courier New" w:hint="default"/>
      </w:rPr>
    </w:lvl>
    <w:lvl w:ilvl="5" w:tplc="412C7F82" w:tentative="1">
      <w:start w:val="1"/>
      <w:numFmt w:val="bullet"/>
      <w:lvlText w:val=""/>
      <w:lvlJc w:val="left"/>
      <w:pPr>
        <w:ind w:left="4320" w:hanging="360"/>
      </w:pPr>
      <w:rPr>
        <w:rFonts w:ascii="Wingdings" w:hAnsi="Wingdings" w:hint="default"/>
      </w:rPr>
    </w:lvl>
    <w:lvl w:ilvl="6" w:tplc="1F9613AC" w:tentative="1">
      <w:start w:val="1"/>
      <w:numFmt w:val="bullet"/>
      <w:lvlText w:val=""/>
      <w:lvlJc w:val="left"/>
      <w:pPr>
        <w:ind w:left="5040" w:hanging="360"/>
      </w:pPr>
      <w:rPr>
        <w:rFonts w:ascii="Symbol" w:hAnsi="Symbol" w:hint="default"/>
      </w:rPr>
    </w:lvl>
    <w:lvl w:ilvl="7" w:tplc="F704E998" w:tentative="1">
      <w:start w:val="1"/>
      <w:numFmt w:val="bullet"/>
      <w:lvlText w:val="o"/>
      <w:lvlJc w:val="left"/>
      <w:pPr>
        <w:ind w:left="5760" w:hanging="360"/>
      </w:pPr>
      <w:rPr>
        <w:rFonts w:ascii="Courier New" w:hAnsi="Courier New" w:cs="Courier New" w:hint="default"/>
      </w:rPr>
    </w:lvl>
    <w:lvl w:ilvl="8" w:tplc="1930C5E2" w:tentative="1">
      <w:start w:val="1"/>
      <w:numFmt w:val="bullet"/>
      <w:lvlText w:val=""/>
      <w:lvlJc w:val="left"/>
      <w:pPr>
        <w:ind w:left="6480" w:hanging="360"/>
      </w:pPr>
      <w:rPr>
        <w:rFonts w:ascii="Wingdings" w:hAnsi="Wingdings" w:hint="default"/>
      </w:rPr>
    </w:lvl>
  </w:abstractNum>
  <w:abstractNum w:abstractNumId="34" w15:restartNumberingAfterBreak="0">
    <w:nsid w:val="4E9E37F6"/>
    <w:multiLevelType w:val="hybridMultilevel"/>
    <w:tmpl w:val="DE04D486"/>
    <w:lvl w:ilvl="0" w:tplc="B71C3146">
      <w:start w:val="1"/>
      <w:numFmt w:val="decimal"/>
      <w:lvlText w:val="%1."/>
      <w:lvlJc w:val="left"/>
      <w:pPr>
        <w:ind w:left="720" w:hanging="360"/>
      </w:pPr>
      <w:rPr>
        <w:rFonts w:hint="default"/>
      </w:rPr>
    </w:lvl>
    <w:lvl w:ilvl="1" w:tplc="CA665360" w:tentative="1">
      <w:start w:val="1"/>
      <w:numFmt w:val="lowerLetter"/>
      <w:lvlText w:val="%2."/>
      <w:lvlJc w:val="left"/>
      <w:pPr>
        <w:ind w:left="1440" w:hanging="360"/>
      </w:pPr>
    </w:lvl>
    <w:lvl w:ilvl="2" w:tplc="FA1830F6" w:tentative="1">
      <w:start w:val="1"/>
      <w:numFmt w:val="lowerRoman"/>
      <w:lvlText w:val="%3."/>
      <w:lvlJc w:val="right"/>
      <w:pPr>
        <w:ind w:left="2160" w:hanging="180"/>
      </w:pPr>
    </w:lvl>
    <w:lvl w:ilvl="3" w:tplc="A54E532E" w:tentative="1">
      <w:start w:val="1"/>
      <w:numFmt w:val="decimal"/>
      <w:lvlText w:val="%4."/>
      <w:lvlJc w:val="left"/>
      <w:pPr>
        <w:ind w:left="2880" w:hanging="360"/>
      </w:pPr>
    </w:lvl>
    <w:lvl w:ilvl="4" w:tplc="91DC1FDC" w:tentative="1">
      <w:start w:val="1"/>
      <w:numFmt w:val="lowerLetter"/>
      <w:lvlText w:val="%5."/>
      <w:lvlJc w:val="left"/>
      <w:pPr>
        <w:ind w:left="3600" w:hanging="360"/>
      </w:pPr>
    </w:lvl>
    <w:lvl w:ilvl="5" w:tplc="ABCEA0EE" w:tentative="1">
      <w:start w:val="1"/>
      <w:numFmt w:val="lowerRoman"/>
      <w:lvlText w:val="%6."/>
      <w:lvlJc w:val="right"/>
      <w:pPr>
        <w:ind w:left="4320" w:hanging="180"/>
      </w:pPr>
    </w:lvl>
    <w:lvl w:ilvl="6" w:tplc="3BCEADB4" w:tentative="1">
      <w:start w:val="1"/>
      <w:numFmt w:val="decimal"/>
      <w:lvlText w:val="%7."/>
      <w:lvlJc w:val="left"/>
      <w:pPr>
        <w:ind w:left="5040" w:hanging="360"/>
      </w:pPr>
    </w:lvl>
    <w:lvl w:ilvl="7" w:tplc="649C23E6" w:tentative="1">
      <w:start w:val="1"/>
      <w:numFmt w:val="lowerLetter"/>
      <w:lvlText w:val="%8."/>
      <w:lvlJc w:val="left"/>
      <w:pPr>
        <w:ind w:left="5760" w:hanging="360"/>
      </w:pPr>
    </w:lvl>
    <w:lvl w:ilvl="8" w:tplc="93FCBC58" w:tentative="1">
      <w:start w:val="1"/>
      <w:numFmt w:val="lowerRoman"/>
      <w:lvlText w:val="%9."/>
      <w:lvlJc w:val="right"/>
      <w:pPr>
        <w:ind w:left="6480" w:hanging="180"/>
      </w:pPr>
    </w:lvl>
  </w:abstractNum>
  <w:abstractNum w:abstractNumId="35" w15:restartNumberingAfterBreak="0">
    <w:nsid w:val="50307FE2"/>
    <w:multiLevelType w:val="hybridMultilevel"/>
    <w:tmpl w:val="B60EB36A"/>
    <w:lvl w:ilvl="0" w:tplc="834EDB04">
      <w:start w:val="1"/>
      <w:numFmt w:val="bullet"/>
      <w:lvlText w:val=""/>
      <w:lvlJc w:val="left"/>
      <w:pPr>
        <w:ind w:left="720" w:hanging="360"/>
      </w:pPr>
      <w:rPr>
        <w:rFonts w:ascii="Symbol" w:hAnsi="Symbol" w:hint="default"/>
      </w:rPr>
    </w:lvl>
    <w:lvl w:ilvl="1" w:tplc="BD7611FC" w:tentative="1">
      <w:start w:val="1"/>
      <w:numFmt w:val="bullet"/>
      <w:lvlText w:val="o"/>
      <w:lvlJc w:val="left"/>
      <w:pPr>
        <w:ind w:left="1440" w:hanging="360"/>
      </w:pPr>
      <w:rPr>
        <w:rFonts w:ascii="Courier New" w:hAnsi="Courier New" w:cs="Courier New" w:hint="default"/>
      </w:rPr>
    </w:lvl>
    <w:lvl w:ilvl="2" w:tplc="3064CAB0" w:tentative="1">
      <w:start w:val="1"/>
      <w:numFmt w:val="bullet"/>
      <w:lvlText w:val=""/>
      <w:lvlJc w:val="left"/>
      <w:pPr>
        <w:ind w:left="2160" w:hanging="360"/>
      </w:pPr>
      <w:rPr>
        <w:rFonts w:ascii="Wingdings" w:hAnsi="Wingdings" w:hint="default"/>
      </w:rPr>
    </w:lvl>
    <w:lvl w:ilvl="3" w:tplc="45FC3544" w:tentative="1">
      <w:start w:val="1"/>
      <w:numFmt w:val="bullet"/>
      <w:lvlText w:val=""/>
      <w:lvlJc w:val="left"/>
      <w:pPr>
        <w:ind w:left="2880" w:hanging="360"/>
      </w:pPr>
      <w:rPr>
        <w:rFonts w:ascii="Symbol" w:hAnsi="Symbol" w:hint="default"/>
      </w:rPr>
    </w:lvl>
    <w:lvl w:ilvl="4" w:tplc="E32A695C" w:tentative="1">
      <w:start w:val="1"/>
      <w:numFmt w:val="bullet"/>
      <w:lvlText w:val="o"/>
      <w:lvlJc w:val="left"/>
      <w:pPr>
        <w:ind w:left="3600" w:hanging="360"/>
      </w:pPr>
      <w:rPr>
        <w:rFonts w:ascii="Courier New" w:hAnsi="Courier New" w:cs="Courier New" w:hint="default"/>
      </w:rPr>
    </w:lvl>
    <w:lvl w:ilvl="5" w:tplc="77A213CE" w:tentative="1">
      <w:start w:val="1"/>
      <w:numFmt w:val="bullet"/>
      <w:lvlText w:val=""/>
      <w:lvlJc w:val="left"/>
      <w:pPr>
        <w:ind w:left="4320" w:hanging="360"/>
      </w:pPr>
      <w:rPr>
        <w:rFonts w:ascii="Wingdings" w:hAnsi="Wingdings" w:hint="default"/>
      </w:rPr>
    </w:lvl>
    <w:lvl w:ilvl="6" w:tplc="0818C532" w:tentative="1">
      <w:start w:val="1"/>
      <w:numFmt w:val="bullet"/>
      <w:lvlText w:val=""/>
      <w:lvlJc w:val="left"/>
      <w:pPr>
        <w:ind w:left="5040" w:hanging="360"/>
      </w:pPr>
      <w:rPr>
        <w:rFonts w:ascii="Symbol" w:hAnsi="Symbol" w:hint="default"/>
      </w:rPr>
    </w:lvl>
    <w:lvl w:ilvl="7" w:tplc="9CC6D5FA" w:tentative="1">
      <w:start w:val="1"/>
      <w:numFmt w:val="bullet"/>
      <w:lvlText w:val="o"/>
      <w:lvlJc w:val="left"/>
      <w:pPr>
        <w:ind w:left="5760" w:hanging="360"/>
      </w:pPr>
      <w:rPr>
        <w:rFonts w:ascii="Courier New" w:hAnsi="Courier New" w:cs="Courier New" w:hint="default"/>
      </w:rPr>
    </w:lvl>
    <w:lvl w:ilvl="8" w:tplc="7714DE2C" w:tentative="1">
      <w:start w:val="1"/>
      <w:numFmt w:val="bullet"/>
      <w:lvlText w:val=""/>
      <w:lvlJc w:val="left"/>
      <w:pPr>
        <w:ind w:left="6480" w:hanging="360"/>
      </w:pPr>
      <w:rPr>
        <w:rFonts w:ascii="Wingdings" w:hAnsi="Wingdings" w:hint="default"/>
      </w:rPr>
    </w:lvl>
  </w:abstractNum>
  <w:abstractNum w:abstractNumId="36" w15:restartNumberingAfterBreak="0">
    <w:nsid w:val="50436984"/>
    <w:multiLevelType w:val="hybridMultilevel"/>
    <w:tmpl w:val="83F6E998"/>
    <w:lvl w:ilvl="0" w:tplc="DC6CB684">
      <w:start w:val="1"/>
      <w:numFmt w:val="bullet"/>
      <w:lvlText w:val=""/>
      <w:lvlJc w:val="left"/>
      <w:pPr>
        <w:ind w:left="720" w:hanging="360"/>
      </w:pPr>
      <w:rPr>
        <w:rFonts w:ascii="Symbol" w:hAnsi="Symbol" w:hint="default"/>
      </w:rPr>
    </w:lvl>
    <w:lvl w:ilvl="1" w:tplc="83060DEA" w:tentative="1">
      <w:start w:val="1"/>
      <w:numFmt w:val="bullet"/>
      <w:lvlText w:val="o"/>
      <w:lvlJc w:val="left"/>
      <w:pPr>
        <w:ind w:left="1440" w:hanging="360"/>
      </w:pPr>
      <w:rPr>
        <w:rFonts w:ascii="Courier New" w:hAnsi="Courier New" w:cs="Courier New" w:hint="default"/>
      </w:rPr>
    </w:lvl>
    <w:lvl w:ilvl="2" w:tplc="36409192" w:tentative="1">
      <w:start w:val="1"/>
      <w:numFmt w:val="bullet"/>
      <w:lvlText w:val=""/>
      <w:lvlJc w:val="left"/>
      <w:pPr>
        <w:ind w:left="2160" w:hanging="360"/>
      </w:pPr>
      <w:rPr>
        <w:rFonts w:ascii="Wingdings" w:hAnsi="Wingdings" w:hint="default"/>
      </w:rPr>
    </w:lvl>
    <w:lvl w:ilvl="3" w:tplc="18F492C0" w:tentative="1">
      <w:start w:val="1"/>
      <w:numFmt w:val="bullet"/>
      <w:lvlText w:val=""/>
      <w:lvlJc w:val="left"/>
      <w:pPr>
        <w:ind w:left="2880" w:hanging="360"/>
      </w:pPr>
      <w:rPr>
        <w:rFonts w:ascii="Symbol" w:hAnsi="Symbol" w:hint="default"/>
      </w:rPr>
    </w:lvl>
    <w:lvl w:ilvl="4" w:tplc="53263358" w:tentative="1">
      <w:start w:val="1"/>
      <w:numFmt w:val="bullet"/>
      <w:lvlText w:val="o"/>
      <w:lvlJc w:val="left"/>
      <w:pPr>
        <w:ind w:left="3600" w:hanging="360"/>
      </w:pPr>
      <w:rPr>
        <w:rFonts w:ascii="Courier New" w:hAnsi="Courier New" w:cs="Courier New" w:hint="default"/>
      </w:rPr>
    </w:lvl>
    <w:lvl w:ilvl="5" w:tplc="2A184FF2" w:tentative="1">
      <w:start w:val="1"/>
      <w:numFmt w:val="bullet"/>
      <w:lvlText w:val=""/>
      <w:lvlJc w:val="left"/>
      <w:pPr>
        <w:ind w:left="4320" w:hanging="360"/>
      </w:pPr>
      <w:rPr>
        <w:rFonts w:ascii="Wingdings" w:hAnsi="Wingdings" w:hint="default"/>
      </w:rPr>
    </w:lvl>
    <w:lvl w:ilvl="6" w:tplc="88907666" w:tentative="1">
      <w:start w:val="1"/>
      <w:numFmt w:val="bullet"/>
      <w:lvlText w:val=""/>
      <w:lvlJc w:val="left"/>
      <w:pPr>
        <w:ind w:left="5040" w:hanging="360"/>
      </w:pPr>
      <w:rPr>
        <w:rFonts w:ascii="Symbol" w:hAnsi="Symbol" w:hint="default"/>
      </w:rPr>
    </w:lvl>
    <w:lvl w:ilvl="7" w:tplc="C64628B2" w:tentative="1">
      <w:start w:val="1"/>
      <w:numFmt w:val="bullet"/>
      <w:lvlText w:val="o"/>
      <w:lvlJc w:val="left"/>
      <w:pPr>
        <w:ind w:left="5760" w:hanging="360"/>
      </w:pPr>
      <w:rPr>
        <w:rFonts w:ascii="Courier New" w:hAnsi="Courier New" w:cs="Courier New" w:hint="default"/>
      </w:rPr>
    </w:lvl>
    <w:lvl w:ilvl="8" w:tplc="955C73BC" w:tentative="1">
      <w:start w:val="1"/>
      <w:numFmt w:val="bullet"/>
      <w:lvlText w:val=""/>
      <w:lvlJc w:val="left"/>
      <w:pPr>
        <w:ind w:left="6480" w:hanging="360"/>
      </w:pPr>
      <w:rPr>
        <w:rFonts w:ascii="Wingdings" w:hAnsi="Wingdings" w:hint="default"/>
      </w:rPr>
    </w:lvl>
  </w:abstractNum>
  <w:abstractNum w:abstractNumId="37" w15:restartNumberingAfterBreak="0">
    <w:nsid w:val="53AA6FBD"/>
    <w:multiLevelType w:val="hybridMultilevel"/>
    <w:tmpl w:val="E75A2E94"/>
    <w:lvl w:ilvl="0" w:tplc="9806B6C6">
      <w:start w:val="1"/>
      <w:numFmt w:val="bullet"/>
      <w:lvlText w:val=""/>
      <w:lvlJc w:val="left"/>
      <w:pPr>
        <w:ind w:left="360" w:hanging="360"/>
      </w:pPr>
      <w:rPr>
        <w:rFonts w:ascii="Symbol" w:hAnsi="Symbol" w:hint="default"/>
      </w:rPr>
    </w:lvl>
    <w:lvl w:ilvl="1" w:tplc="3BBE4624" w:tentative="1">
      <w:start w:val="1"/>
      <w:numFmt w:val="bullet"/>
      <w:lvlText w:val="o"/>
      <w:lvlJc w:val="left"/>
      <w:pPr>
        <w:ind w:left="1364" w:hanging="360"/>
      </w:pPr>
      <w:rPr>
        <w:rFonts w:ascii="Courier New" w:hAnsi="Courier New" w:hint="default"/>
      </w:rPr>
    </w:lvl>
    <w:lvl w:ilvl="2" w:tplc="508EE0DA" w:tentative="1">
      <w:start w:val="1"/>
      <w:numFmt w:val="bullet"/>
      <w:lvlText w:val=""/>
      <w:lvlJc w:val="left"/>
      <w:pPr>
        <w:ind w:left="2084" w:hanging="360"/>
      </w:pPr>
      <w:rPr>
        <w:rFonts w:ascii="Wingdings" w:hAnsi="Wingdings" w:hint="default"/>
      </w:rPr>
    </w:lvl>
    <w:lvl w:ilvl="3" w:tplc="CB483EE2" w:tentative="1">
      <w:start w:val="1"/>
      <w:numFmt w:val="bullet"/>
      <w:lvlText w:val=""/>
      <w:lvlJc w:val="left"/>
      <w:pPr>
        <w:ind w:left="2804" w:hanging="360"/>
      </w:pPr>
      <w:rPr>
        <w:rFonts w:ascii="Symbol" w:hAnsi="Symbol" w:hint="default"/>
      </w:rPr>
    </w:lvl>
    <w:lvl w:ilvl="4" w:tplc="D0E21910" w:tentative="1">
      <w:start w:val="1"/>
      <w:numFmt w:val="bullet"/>
      <w:lvlText w:val="o"/>
      <w:lvlJc w:val="left"/>
      <w:pPr>
        <w:ind w:left="3524" w:hanging="360"/>
      </w:pPr>
      <w:rPr>
        <w:rFonts w:ascii="Courier New" w:hAnsi="Courier New" w:hint="default"/>
      </w:rPr>
    </w:lvl>
    <w:lvl w:ilvl="5" w:tplc="CD20DDB4" w:tentative="1">
      <w:start w:val="1"/>
      <w:numFmt w:val="bullet"/>
      <w:lvlText w:val=""/>
      <w:lvlJc w:val="left"/>
      <w:pPr>
        <w:ind w:left="4244" w:hanging="360"/>
      </w:pPr>
      <w:rPr>
        <w:rFonts w:ascii="Wingdings" w:hAnsi="Wingdings" w:hint="default"/>
      </w:rPr>
    </w:lvl>
    <w:lvl w:ilvl="6" w:tplc="D3F28E04" w:tentative="1">
      <w:start w:val="1"/>
      <w:numFmt w:val="bullet"/>
      <w:lvlText w:val=""/>
      <w:lvlJc w:val="left"/>
      <w:pPr>
        <w:ind w:left="4964" w:hanging="360"/>
      </w:pPr>
      <w:rPr>
        <w:rFonts w:ascii="Symbol" w:hAnsi="Symbol" w:hint="default"/>
      </w:rPr>
    </w:lvl>
    <w:lvl w:ilvl="7" w:tplc="A1CA5254" w:tentative="1">
      <w:start w:val="1"/>
      <w:numFmt w:val="bullet"/>
      <w:lvlText w:val="o"/>
      <w:lvlJc w:val="left"/>
      <w:pPr>
        <w:ind w:left="5684" w:hanging="360"/>
      </w:pPr>
      <w:rPr>
        <w:rFonts w:ascii="Courier New" w:hAnsi="Courier New" w:hint="default"/>
      </w:rPr>
    </w:lvl>
    <w:lvl w:ilvl="8" w:tplc="D370F638" w:tentative="1">
      <w:start w:val="1"/>
      <w:numFmt w:val="bullet"/>
      <w:lvlText w:val=""/>
      <w:lvlJc w:val="left"/>
      <w:pPr>
        <w:ind w:left="6404" w:hanging="360"/>
      </w:pPr>
      <w:rPr>
        <w:rFonts w:ascii="Wingdings" w:hAnsi="Wingdings" w:hint="default"/>
      </w:rPr>
    </w:lvl>
  </w:abstractNum>
  <w:abstractNum w:abstractNumId="38" w15:restartNumberingAfterBreak="0">
    <w:nsid w:val="547D10F3"/>
    <w:multiLevelType w:val="hybridMultilevel"/>
    <w:tmpl w:val="C584E36E"/>
    <w:lvl w:ilvl="0" w:tplc="0F4C4C5E">
      <w:start w:val="1"/>
      <w:numFmt w:val="lowerLetter"/>
      <w:lvlText w:val="%1)"/>
      <w:lvlJc w:val="left"/>
      <w:pPr>
        <w:ind w:left="360" w:hanging="360"/>
      </w:pPr>
    </w:lvl>
    <w:lvl w:ilvl="1" w:tplc="23C801AC" w:tentative="1">
      <w:start w:val="1"/>
      <w:numFmt w:val="lowerLetter"/>
      <w:lvlText w:val="%2."/>
      <w:lvlJc w:val="left"/>
      <w:pPr>
        <w:ind w:left="1080" w:hanging="360"/>
      </w:pPr>
    </w:lvl>
    <w:lvl w:ilvl="2" w:tplc="5B8C8034" w:tentative="1">
      <w:start w:val="1"/>
      <w:numFmt w:val="lowerRoman"/>
      <w:lvlText w:val="%3."/>
      <w:lvlJc w:val="right"/>
      <w:pPr>
        <w:ind w:left="1800" w:hanging="180"/>
      </w:pPr>
    </w:lvl>
    <w:lvl w:ilvl="3" w:tplc="BFBAE312" w:tentative="1">
      <w:start w:val="1"/>
      <w:numFmt w:val="decimal"/>
      <w:lvlText w:val="%4."/>
      <w:lvlJc w:val="left"/>
      <w:pPr>
        <w:ind w:left="2520" w:hanging="360"/>
      </w:pPr>
    </w:lvl>
    <w:lvl w:ilvl="4" w:tplc="CC22C7D0" w:tentative="1">
      <w:start w:val="1"/>
      <w:numFmt w:val="lowerLetter"/>
      <w:lvlText w:val="%5."/>
      <w:lvlJc w:val="left"/>
      <w:pPr>
        <w:ind w:left="3240" w:hanging="360"/>
      </w:pPr>
    </w:lvl>
    <w:lvl w:ilvl="5" w:tplc="0248BD8A" w:tentative="1">
      <w:start w:val="1"/>
      <w:numFmt w:val="lowerRoman"/>
      <w:lvlText w:val="%6."/>
      <w:lvlJc w:val="right"/>
      <w:pPr>
        <w:ind w:left="3960" w:hanging="180"/>
      </w:pPr>
    </w:lvl>
    <w:lvl w:ilvl="6" w:tplc="D882AFB0" w:tentative="1">
      <w:start w:val="1"/>
      <w:numFmt w:val="decimal"/>
      <w:lvlText w:val="%7."/>
      <w:lvlJc w:val="left"/>
      <w:pPr>
        <w:ind w:left="4680" w:hanging="360"/>
      </w:pPr>
    </w:lvl>
    <w:lvl w:ilvl="7" w:tplc="793A03CC" w:tentative="1">
      <w:start w:val="1"/>
      <w:numFmt w:val="lowerLetter"/>
      <w:lvlText w:val="%8."/>
      <w:lvlJc w:val="left"/>
      <w:pPr>
        <w:ind w:left="5400" w:hanging="360"/>
      </w:pPr>
    </w:lvl>
    <w:lvl w:ilvl="8" w:tplc="0DAA8AF6" w:tentative="1">
      <w:start w:val="1"/>
      <w:numFmt w:val="lowerRoman"/>
      <w:lvlText w:val="%9."/>
      <w:lvlJc w:val="right"/>
      <w:pPr>
        <w:ind w:left="6120" w:hanging="180"/>
      </w:pPr>
    </w:lvl>
  </w:abstractNum>
  <w:abstractNum w:abstractNumId="39" w15:restartNumberingAfterBreak="0">
    <w:nsid w:val="55461E04"/>
    <w:multiLevelType w:val="hybridMultilevel"/>
    <w:tmpl w:val="729896BE"/>
    <w:lvl w:ilvl="0" w:tplc="FA925086">
      <w:start w:val="1"/>
      <w:numFmt w:val="bullet"/>
      <w:lvlText w:val=""/>
      <w:lvlJc w:val="left"/>
      <w:pPr>
        <w:ind w:left="1500" w:hanging="360"/>
      </w:pPr>
      <w:rPr>
        <w:rFonts w:ascii="Symbol" w:hAnsi="Symbol" w:hint="default"/>
      </w:rPr>
    </w:lvl>
    <w:lvl w:ilvl="1" w:tplc="A232C0F0" w:tentative="1">
      <w:start w:val="1"/>
      <w:numFmt w:val="bullet"/>
      <w:lvlText w:val="o"/>
      <w:lvlJc w:val="left"/>
      <w:pPr>
        <w:ind w:left="2220" w:hanging="360"/>
      </w:pPr>
      <w:rPr>
        <w:rFonts w:ascii="Courier New" w:hAnsi="Courier New" w:cs="Courier New" w:hint="default"/>
      </w:rPr>
    </w:lvl>
    <w:lvl w:ilvl="2" w:tplc="58AA090A" w:tentative="1">
      <w:start w:val="1"/>
      <w:numFmt w:val="bullet"/>
      <w:lvlText w:val=""/>
      <w:lvlJc w:val="left"/>
      <w:pPr>
        <w:ind w:left="2940" w:hanging="360"/>
      </w:pPr>
      <w:rPr>
        <w:rFonts w:ascii="Wingdings" w:hAnsi="Wingdings" w:hint="default"/>
      </w:rPr>
    </w:lvl>
    <w:lvl w:ilvl="3" w:tplc="155CEBF0" w:tentative="1">
      <w:start w:val="1"/>
      <w:numFmt w:val="bullet"/>
      <w:lvlText w:val=""/>
      <w:lvlJc w:val="left"/>
      <w:pPr>
        <w:ind w:left="3660" w:hanging="360"/>
      </w:pPr>
      <w:rPr>
        <w:rFonts w:ascii="Symbol" w:hAnsi="Symbol" w:hint="default"/>
      </w:rPr>
    </w:lvl>
    <w:lvl w:ilvl="4" w:tplc="FD623AF0" w:tentative="1">
      <w:start w:val="1"/>
      <w:numFmt w:val="bullet"/>
      <w:lvlText w:val="o"/>
      <w:lvlJc w:val="left"/>
      <w:pPr>
        <w:ind w:left="4380" w:hanging="360"/>
      </w:pPr>
      <w:rPr>
        <w:rFonts w:ascii="Courier New" w:hAnsi="Courier New" w:cs="Courier New" w:hint="default"/>
      </w:rPr>
    </w:lvl>
    <w:lvl w:ilvl="5" w:tplc="990E166A" w:tentative="1">
      <w:start w:val="1"/>
      <w:numFmt w:val="bullet"/>
      <w:lvlText w:val=""/>
      <w:lvlJc w:val="left"/>
      <w:pPr>
        <w:ind w:left="5100" w:hanging="360"/>
      </w:pPr>
      <w:rPr>
        <w:rFonts w:ascii="Wingdings" w:hAnsi="Wingdings" w:hint="default"/>
      </w:rPr>
    </w:lvl>
    <w:lvl w:ilvl="6" w:tplc="2D602F7C" w:tentative="1">
      <w:start w:val="1"/>
      <w:numFmt w:val="bullet"/>
      <w:lvlText w:val=""/>
      <w:lvlJc w:val="left"/>
      <w:pPr>
        <w:ind w:left="5820" w:hanging="360"/>
      </w:pPr>
      <w:rPr>
        <w:rFonts w:ascii="Symbol" w:hAnsi="Symbol" w:hint="default"/>
      </w:rPr>
    </w:lvl>
    <w:lvl w:ilvl="7" w:tplc="25664660" w:tentative="1">
      <w:start w:val="1"/>
      <w:numFmt w:val="bullet"/>
      <w:lvlText w:val="o"/>
      <w:lvlJc w:val="left"/>
      <w:pPr>
        <w:ind w:left="6540" w:hanging="360"/>
      </w:pPr>
      <w:rPr>
        <w:rFonts w:ascii="Courier New" w:hAnsi="Courier New" w:cs="Courier New" w:hint="default"/>
      </w:rPr>
    </w:lvl>
    <w:lvl w:ilvl="8" w:tplc="34B21D12" w:tentative="1">
      <w:start w:val="1"/>
      <w:numFmt w:val="bullet"/>
      <w:lvlText w:val=""/>
      <w:lvlJc w:val="left"/>
      <w:pPr>
        <w:ind w:left="7260" w:hanging="360"/>
      </w:pPr>
      <w:rPr>
        <w:rFonts w:ascii="Wingdings" w:hAnsi="Wingdings" w:hint="default"/>
      </w:rPr>
    </w:lvl>
  </w:abstractNum>
  <w:abstractNum w:abstractNumId="40" w15:restartNumberingAfterBreak="0">
    <w:nsid w:val="57D55B17"/>
    <w:multiLevelType w:val="hybridMultilevel"/>
    <w:tmpl w:val="7376F8CE"/>
    <w:lvl w:ilvl="0" w:tplc="7B448340">
      <w:start w:val="1"/>
      <w:numFmt w:val="bullet"/>
      <w:lvlText w:val=""/>
      <w:lvlJc w:val="left"/>
      <w:pPr>
        <w:ind w:left="720" w:hanging="360"/>
      </w:pPr>
      <w:rPr>
        <w:rFonts w:ascii="Symbol" w:hAnsi="Symbol" w:hint="default"/>
      </w:rPr>
    </w:lvl>
    <w:lvl w:ilvl="1" w:tplc="BE6CF110" w:tentative="1">
      <w:start w:val="1"/>
      <w:numFmt w:val="bullet"/>
      <w:lvlText w:val="o"/>
      <w:lvlJc w:val="left"/>
      <w:pPr>
        <w:ind w:left="1440" w:hanging="360"/>
      </w:pPr>
      <w:rPr>
        <w:rFonts w:ascii="Courier New" w:hAnsi="Courier New" w:cs="Courier New" w:hint="default"/>
      </w:rPr>
    </w:lvl>
    <w:lvl w:ilvl="2" w:tplc="90D48798" w:tentative="1">
      <w:start w:val="1"/>
      <w:numFmt w:val="bullet"/>
      <w:lvlText w:val=""/>
      <w:lvlJc w:val="left"/>
      <w:pPr>
        <w:ind w:left="2160" w:hanging="360"/>
      </w:pPr>
      <w:rPr>
        <w:rFonts w:ascii="Wingdings" w:hAnsi="Wingdings" w:hint="default"/>
      </w:rPr>
    </w:lvl>
    <w:lvl w:ilvl="3" w:tplc="6B34032E" w:tentative="1">
      <w:start w:val="1"/>
      <w:numFmt w:val="bullet"/>
      <w:lvlText w:val=""/>
      <w:lvlJc w:val="left"/>
      <w:pPr>
        <w:ind w:left="2880" w:hanging="360"/>
      </w:pPr>
      <w:rPr>
        <w:rFonts w:ascii="Symbol" w:hAnsi="Symbol" w:hint="default"/>
      </w:rPr>
    </w:lvl>
    <w:lvl w:ilvl="4" w:tplc="59FA2E24" w:tentative="1">
      <w:start w:val="1"/>
      <w:numFmt w:val="bullet"/>
      <w:lvlText w:val="o"/>
      <w:lvlJc w:val="left"/>
      <w:pPr>
        <w:ind w:left="3600" w:hanging="360"/>
      </w:pPr>
      <w:rPr>
        <w:rFonts w:ascii="Courier New" w:hAnsi="Courier New" w:cs="Courier New" w:hint="default"/>
      </w:rPr>
    </w:lvl>
    <w:lvl w:ilvl="5" w:tplc="83222A8A" w:tentative="1">
      <w:start w:val="1"/>
      <w:numFmt w:val="bullet"/>
      <w:lvlText w:val=""/>
      <w:lvlJc w:val="left"/>
      <w:pPr>
        <w:ind w:left="4320" w:hanging="360"/>
      </w:pPr>
      <w:rPr>
        <w:rFonts w:ascii="Wingdings" w:hAnsi="Wingdings" w:hint="default"/>
      </w:rPr>
    </w:lvl>
    <w:lvl w:ilvl="6" w:tplc="4B382F20" w:tentative="1">
      <w:start w:val="1"/>
      <w:numFmt w:val="bullet"/>
      <w:lvlText w:val=""/>
      <w:lvlJc w:val="left"/>
      <w:pPr>
        <w:ind w:left="5040" w:hanging="360"/>
      </w:pPr>
      <w:rPr>
        <w:rFonts w:ascii="Symbol" w:hAnsi="Symbol" w:hint="default"/>
      </w:rPr>
    </w:lvl>
    <w:lvl w:ilvl="7" w:tplc="5D7E3FA4" w:tentative="1">
      <w:start w:val="1"/>
      <w:numFmt w:val="bullet"/>
      <w:lvlText w:val="o"/>
      <w:lvlJc w:val="left"/>
      <w:pPr>
        <w:ind w:left="5760" w:hanging="360"/>
      </w:pPr>
      <w:rPr>
        <w:rFonts w:ascii="Courier New" w:hAnsi="Courier New" w:cs="Courier New" w:hint="default"/>
      </w:rPr>
    </w:lvl>
    <w:lvl w:ilvl="8" w:tplc="CE181ACE" w:tentative="1">
      <w:start w:val="1"/>
      <w:numFmt w:val="bullet"/>
      <w:lvlText w:val=""/>
      <w:lvlJc w:val="left"/>
      <w:pPr>
        <w:ind w:left="6480" w:hanging="360"/>
      </w:pPr>
      <w:rPr>
        <w:rFonts w:ascii="Wingdings" w:hAnsi="Wingdings" w:hint="default"/>
      </w:rPr>
    </w:lvl>
  </w:abstractNum>
  <w:abstractNum w:abstractNumId="41" w15:restartNumberingAfterBreak="0">
    <w:nsid w:val="589772B2"/>
    <w:multiLevelType w:val="hybridMultilevel"/>
    <w:tmpl w:val="FFFFFFFF"/>
    <w:lvl w:ilvl="0" w:tplc="0D04A170">
      <w:start w:val="1"/>
      <w:numFmt w:val="bullet"/>
      <w:lvlText w:val=""/>
      <w:lvlJc w:val="left"/>
      <w:pPr>
        <w:ind w:left="720" w:hanging="360"/>
      </w:pPr>
      <w:rPr>
        <w:rFonts w:ascii="Symbol" w:hAnsi="Symbol" w:hint="default"/>
      </w:rPr>
    </w:lvl>
    <w:lvl w:ilvl="1" w:tplc="C540AE26">
      <w:start w:val="1"/>
      <w:numFmt w:val="bullet"/>
      <w:lvlText w:val="o"/>
      <w:lvlJc w:val="left"/>
      <w:pPr>
        <w:ind w:left="1440" w:hanging="360"/>
      </w:pPr>
      <w:rPr>
        <w:rFonts w:ascii="Courier New" w:hAnsi="Courier New" w:hint="default"/>
      </w:rPr>
    </w:lvl>
    <w:lvl w:ilvl="2" w:tplc="5A086D06">
      <w:start w:val="1"/>
      <w:numFmt w:val="bullet"/>
      <w:lvlText w:val=""/>
      <w:lvlJc w:val="left"/>
      <w:pPr>
        <w:ind w:left="2160" w:hanging="360"/>
      </w:pPr>
      <w:rPr>
        <w:rFonts w:ascii="Wingdings" w:hAnsi="Wingdings" w:hint="default"/>
      </w:rPr>
    </w:lvl>
    <w:lvl w:ilvl="3" w:tplc="EF6A6C96">
      <w:start w:val="1"/>
      <w:numFmt w:val="bullet"/>
      <w:lvlText w:val=""/>
      <w:lvlJc w:val="left"/>
      <w:pPr>
        <w:ind w:left="2880" w:hanging="360"/>
      </w:pPr>
      <w:rPr>
        <w:rFonts w:ascii="Symbol" w:hAnsi="Symbol" w:hint="default"/>
      </w:rPr>
    </w:lvl>
    <w:lvl w:ilvl="4" w:tplc="191CB922">
      <w:start w:val="1"/>
      <w:numFmt w:val="bullet"/>
      <w:lvlText w:val="o"/>
      <w:lvlJc w:val="left"/>
      <w:pPr>
        <w:ind w:left="3600" w:hanging="360"/>
      </w:pPr>
      <w:rPr>
        <w:rFonts w:ascii="Courier New" w:hAnsi="Courier New" w:hint="default"/>
      </w:rPr>
    </w:lvl>
    <w:lvl w:ilvl="5" w:tplc="D39CA5FE">
      <w:start w:val="1"/>
      <w:numFmt w:val="bullet"/>
      <w:lvlText w:val=""/>
      <w:lvlJc w:val="left"/>
      <w:pPr>
        <w:ind w:left="4320" w:hanging="360"/>
      </w:pPr>
      <w:rPr>
        <w:rFonts w:ascii="Wingdings" w:hAnsi="Wingdings" w:hint="default"/>
      </w:rPr>
    </w:lvl>
    <w:lvl w:ilvl="6" w:tplc="753C1A10">
      <w:start w:val="1"/>
      <w:numFmt w:val="bullet"/>
      <w:lvlText w:val=""/>
      <w:lvlJc w:val="left"/>
      <w:pPr>
        <w:ind w:left="5040" w:hanging="360"/>
      </w:pPr>
      <w:rPr>
        <w:rFonts w:ascii="Symbol" w:hAnsi="Symbol" w:hint="default"/>
      </w:rPr>
    </w:lvl>
    <w:lvl w:ilvl="7" w:tplc="536E136C">
      <w:start w:val="1"/>
      <w:numFmt w:val="bullet"/>
      <w:lvlText w:val="o"/>
      <w:lvlJc w:val="left"/>
      <w:pPr>
        <w:ind w:left="5760" w:hanging="360"/>
      </w:pPr>
      <w:rPr>
        <w:rFonts w:ascii="Courier New" w:hAnsi="Courier New" w:hint="default"/>
      </w:rPr>
    </w:lvl>
    <w:lvl w:ilvl="8" w:tplc="575CC516">
      <w:start w:val="1"/>
      <w:numFmt w:val="bullet"/>
      <w:lvlText w:val=""/>
      <w:lvlJc w:val="left"/>
      <w:pPr>
        <w:ind w:left="6480" w:hanging="360"/>
      </w:pPr>
      <w:rPr>
        <w:rFonts w:ascii="Wingdings" w:hAnsi="Wingdings" w:hint="default"/>
      </w:rPr>
    </w:lvl>
  </w:abstractNum>
  <w:abstractNum w:abstractNumId="42" w15:restartNumberingAfterBreak="0">
    <w:nsid w:val="58D535FD"/>
    <w:multiLevelType w:val="multilevel"/>
    <w:tmpl w:val="C458047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03F158D"/>
    <w:multiLevelType w:val="hybridMultilevel"/>
    <w:tmpl w:val="E8F6AB4C"/>
    <w:lvl w:ilvl="0" w:tplc="C34CADC8">
      <w:start w:val="1"/>
      <w:numFmt w:val="bullet"/>
      <w:lvlText w:val=""/>
      <w:lvlJc w:val="left"/>
      <w:pPr>
        <w:ind w:left="720" w:hanging="360"/>
      </w:pPr>
      <w:rPr>
        <w:rFonts w:ascii="Symbol" w:hAnsi="Symbol" w:hint="default"/>
      </w:rPr>
    </w:lvl>
    <w:lvl w:ilvl="1" w:tplc="84FC528E" w:tentative="1">
      <w:start w:val="1"/>
      <w:numFmt w:val="bullet"/>
      <w:lvlText w:val="o"/>
      <w:lvlJc w:val="left"/>
      <w:pPr>
        <w:ind w:left="1440" w:hanging="360"/>
      </w:pPr>
      <w:rPr>
        <w:rFonts w:ascii="Courier New" w:hAnsi="Courier New" w:cs="Courier New" w:hint="default"/>
      </w:rPr>
    </w:lvl>
    <w:lvl w:ilvl="2" w:tplc="9D24F954" w:tentative="1">
      <w:start w:val="1"/>
      <w:numFmt w:val="bullet"/>
      <w:lvlText w:val=""/>
      <w:lvlJc w:val="left"/>
      <w:pPr>
        <w:ind w:left="2160" w:hanging="360"/>
      </w:pPr>
      <w:rPr>
        <w:rFonts w:ascii="Wingdings" w:hAnsi="Wingdings" w:hint="default"/>
      </w:rPr>
    </w:lvl>
    <w:lvl w:ilvl="3" w:tplc="A252A1F6" w:tentative="1">
      <w:start w:val="1"/>
      <w:numFmt w:val="bullet"/>
      <w:lvlText w:val=""/>
      <w:lvlJc w:val="left"/>
      <w:pPr>
        <w:ind w:left="2880" w:hanging="360"/>
      </w:pPr>
      <w:rPr>
        <w:rFonts w:ascii="Symbol" w:hAnsi="Symbol" w:hint="default"/>
      </w:rPr>
    </w:lvl>
    <w:lvl w:ilvl="4" w:tplc="D358841A" w:tentative="1">
      <w:start w:val="1"/>
      <w:numFmt w:val="bullet"/>
      <w:lvlText w:val="o"/>
      <w:lvlJc w:val="left"/>
      <w:pPr>
        <w:ind w:left="3600" w:hanging="360"/>
      </w:pPr>
      <w:rPr>
        <w:rFonts w:ascii="Courier New" w:hAnsi="Courier New" w:cs="Courier New" w:hint="default"/>
      </w:rPr>
    </w:lvl>
    <w:lvl w:ilvl="5" w:tplc="4C2C8F3E" w:tentative="1">
      <w:start w:val="1"/>
      <w:numFmt w:val="bullet"/>
      <w:lvlText w:val=""/>
      <w:lvlJc w:val="left"/>
      <w:pPr>
        <w:ind w:left="4320" w:hanging="360"/>
      </w:pPr>
      <w:rPr>
        <w:rFonts w:ascii="Wingdings" w:hAnsi="Wingdings" w:hint="default"/>
      </w:rPr>
    </w:lvl>
    <w:lvl w:ilvl="6" w:tplc="CE04F1F0" w:tentative="1">
      <w:start w:val="1"/>
      <w:numFmt w:val="bullet"/>
      <w:lvlText w:val=""/>
      <w:lvlJc w:val="left"/>
      <w:pPr>
        <w:ind w:left="5040" w:hanging="360"/>
      </w:pPr>
      <w:rPr>
        <w:rFonts w:ascii="Symbol" w:hAnsi="Symbol" w:hint="default"/>
      </w:rPr>
    </w:lvl>
    <w:lvl w:ilvl="7" w:tplc="074A173C" w:tentative="1">
      <w:start w:val="1"/>
      <w:numFmt w:val="bullet"/>
      <w:lvlText w:val="o"/>
      <w:lvlJc w:val="left"/>
      <w:pPr>
        <w:ind w:left="5760" w:hanging="360"/>
      </w:pPr>
      <w:rPr>
        <w:rFonts w:ascii="Courier New" w:hAnsi="Courier New" w:cs="Courier New" w:hint="default"/>
      </w:rPr>
    </w:lvl>
    <w:lvl w:ilvl="8" w:tplc="AE068C2A" w:tentative="1">
      <w:start w:val="1"/>
      <w:numFmt w:val="bullet"/>
      <w:lvlText w:val=""/>
      <w:lvlJc w:val="left"/>
      <w:pPr>
        <w:ind w:left="6480" w:hanging="360"/>
      </w:pPr>
      <w:rPr>
        <w:rFonts w:ascii="Wingdings" w:hAnsi="Wingdings" w:hint="default"/>
      </w:rPr>
    </w:lvl>
  </w:abstractNum>
  <w:abstractNum w:abstractNumId="44" w15:restartNumberingAfterBreak="0">
    <w:nsid w:val="64DB666A"/>
    <w:multiLevelType w:val="hybridMultilevel"/>
    <w:tmpl w:val="61D0EB5C"/>
    <w:lvl w:ilvl="0" w:tplc="9C166552">
      <w:start w:val="1"/>
      <w:numFmt w:val="bullet"/>
      <w:lvlText w:val=""/>
      <w:lvlJc w:val="left"/>
      <w:pPr>
        <w:ind w:left="720" w:hanging="360"/>
      </w:pPr>
      <w:rPr>
        <w:rFonts w:ascii="Symbol" w:hAnsi="Symbol" w:hint="default"/>
      </w:rPr>
    </w:lvl>
    <w:lvl w:ilvl="1" w:tplc="6D3E6BA8" w:tentative="1">
      <w:start w:val="1"/>
      <w:numFmt w:val="bullet"/>
      <w:lvlText w:val="o"/>
      <w:lvlJc w:val="left"/>
      <w:pPr>
        <w:ind w:left="1440" w:hanging="360"/>
      </w:pPr>
      <w:rPr>
        <w:rFonts w:ascii="Courier New" w:hAnsi="Courier New" w:cs="Courier New" w:hint="default"/>
      </w:rPr>
    </w:lvl>
    <w:lvl w:ilvl="2" w:tplc="64F0A7F4" w:tentative="1">
      <w:start w:val="1"/>
      <w:numFmt w:val="bullet"/>
      <w:lvlText w:val=""/>
      <w:lvlJc w:val="left"/>
      <w:pPr>
        <w:ind w:left="2160" w:hanging="360"/>
      </w:pPr>
      <w:rPr>
        <w:rFonts w:ascii="Wingdings" w:hAnsi="Wingdings" w:hint="default"/>
      </w:rPr>
    </w:lvl>
    <w:lvl w:ilvl="3" w:tplc="CC9032AA" w:tentative="1">
      <w:start w:val="1"/>
      <w:numFmt w:val="bullet"/>
      <w:lvlText w:val=""/>
      <w:lvlJc w:val="left"/>
      <w:pPr>
        <w:ind w:left="2880" w:hanging="360"/>
      </w:pPr>
      <w:rPr>
        <w:rFonts w:ascii="Symbol" w:hAnsi="Symbol" w:hint="default"/>
      </w:rPr>
    </w:lvl>
    <w:lvl w:ilvl="4" w:tplc="0FB62D84" w:tentative="1">
      <w:start w:val="1"/>
      <w:numFmt w:val="bullet"/>
      <w:lvlText w:val="o"/>
      <w:lvlJc w:val="left"/>
      <w:pPr>
        <w:ind w:left="3600" w:hanging="360"/>
      </w:pPr>
      <w:rPr>
        <w:rFonts w:ascii="Courier New" w:hAnsi="Courier New" w:cs="Courier New" w:hint="default"/>
      </w:rPr>
    </w:lvl>
    <w:lvl w:ilvl="5" w:tplc="B13E36E8" w:tentative="1">
      <w:start w:val="1"/>
      <w:numFmt w:val="bullet"/>
      <w:lvlText w:val=""/>
      <w:lvlJc w:val="left"/>
      <w:pPr>
        <w:ind w:left="4320" w:hanging="360"/>
      </w:pPr>
      <w:rPr>
        <w:rFonts w:ascii="Wingdings" w:hAnsi="Wingdings" w:hint="default"/>
      </w:rPr>
    </w:lvl>
    <w:lvl w:ilvl="6" w:tplc="B394C042" w:tentative="1">
      <w:start w:val="1"/>
      <w:numFmt w:val="bullet"/>
      <w:lvlText w:val=""/>
      <w:lvlJc w:val="left"/>
      <w:pPr>
        <w:ind w:left="5040" w:hanging="360"/>
      </w:pPr>
      <w:rPr>
        <w:rFonts w:ascii="Symbol" w:hAnsi="Symbol" w:hint="default"/>
      </w:rPr>
    </w:lvl>
    <w:lvl w:ilvl="7" w:tplc="3A24E2BA" w:tentative="1">
      <w:start w:val="1"/>
      <w:numFmt w:val="bullet"/>
      <w:lvlText w:val="o"/>
      <w:lvlJc w:val="left"/>
      <w:pPr>
        <w:ind w:left="5760" w:hanging="360"/>
      </w:pPr>
      <w:rPr>
        <w:rFonts w:ascii="Courier New" w:hAnsi="Courier New" w:cs="Courier New" w:hint="default"/>
      </w:rPr>
    </w:lvl>
    <w:lvl w:ilvl="8" w:tplc="81BED2AC" w:tentative="1">
      <w:start w:val="1"/>
      <w:numFmt w:val="bullet"/>
      <w:lvlText w:val=""/>
      <w:lvlJc w:val="left"/>
      <w:pPr>
        <w:ind w:left="6480" w:hanging="360"/>
      </w:pPr>
      <w:rPr>
        <w:rFonts w:ascii="Wingdings" w:hAnsi="Wingdings" w:hint="default"/>
      </w:rPr>
    </w:lvl>
  </w:abstractNum>
  <w:abstractNum w:abstractNumId="45" w15:restartNumberingAfterBreak="0">
    <w:nsid w:val="65AD77D4"/>
    <w:multiLevelType w:val="multilevel"/>
    <w:tmpl w:val="A67453AE"/>
    <w:styleLink w:val="List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6" w15:restartNumberingAfterBreak="0">
    <w:nsid w:val="673F2045"/>
    <w:multiLevelType w:val="hybridMultilevel"/>
    <w:tmpl w:val="7AB27AAE"/>
    <w:lvl w:ilvl="0" w:tplc="A0FED13E">
      <w:start w:val="1"/>
      <w:numFmt w:val="bullet"/>
      <w:lvlText w:val=""/>
      <w:lvlJc w:val="left"/>
      <w:pPr>
        <w:ind w:left="720" w:hanging="360"/>
      </w:pPr>
      <w:rPr>
        <w:rFonts w:ascii="Symbol" w:hAnsi="Symbol" w:hint="default"/>
      </w:rPr>
    </w:lvl>
    <w:lvl w:ilvl="1" w:tplc="C518DCE0" w:tentative="1">
      <w:start w:val="1"/>
      <w:numFmt w:val="bullet"/>
      <w:lvlText w:val="o"/>
      <w:lvlJc w:val="left"/>
      <w:pPr>
        <w:ind w:left="1440" w:hanging="360"/>
      </w:pPr>
      <w:rPr>
        <w:rFonts w:ascii="Courier New" w:hAnsi="Courier New" w:cs="Courier New" w:hint="default"/>
      </w:rPr>
    </w:lvl>
    <w:lvl w:ilvl="2" w:tplc="2ADA4D22" w:tentative="1">
      <w:start w:val="1"/>
      <w:numFmt w:val="bullet"/>
      <w:lvlText w:val=""/>
      <w:lvlJc w:val="left"/>
      <w:pPr>
        <w:ind w:left="2160" w:hanging="360"/>
      </w:pPr>
      <w:rPr>
        <w:rFonts w:ascii="Wingdings" w:hAnsi="Wingdings" w:hint="default"/>
      </w:rPr>
    </w:lvl>
    <w:lvl w:ilvl="3" w:tplc="A48C1690" w:tentative="1">
      <w:start w:val="1"/>
      <w:numFmt w:val="bullet"/>
      <w:lvlText w:val=""/>
      <w:lvlJc w:val="left"/>
      <w:pPr>
        <w:ind w:left="2880" w:hanging="360"/>
      </w:pPr>
      <w:rPr>
        <w:rFonts w:ascii="Symbol" w:hAnsi="Symbol" w:hint="default"/>
      </w:rPr>
    </w:lvl>
    <w:lvl w:ilvl="4" w:tplc="FD7E6C18" w:tentative="1">
      <w:start w:val="1"/>
      <w:numFmt w:val="bullet"/>
      <w:lvlText w:val="o"/>
      <w:lvlJc w:val="left"/>
      <w:pPr>
        <w:ind w:left="3600" w:hanging="360"/>
      </w:pPr>
      <w:rPr>
        <w:rFonts w:ascii="Courier New" w:hAnsi="Courier New" w:cs="Courier New" w:hint="default"/>
      </w:rPr>
    </w:lvl>
    <w:lvl w:ilvl="5" w:tplc="77440A6E" w:tentative="1">
      <w:start w:val="1"/>
      <w:numFmt w:val="bullet"/>
      <w:lvlText w:val=""/>
      <w:lvlJc w:val="left"/>
      <w:pPr>
        <w:ind w:left="4320" w:hanging="360"/>
      </w:pPr>
      <w:rPr>
        <w:rFonts w:ascii="Wingdings" w:hAnsi="Wingdings" w:hint="default"/>
      </w:rPr>
    </w:lvl>
    <w:lvl w:ilvl="6" w:tplc="9E56E220" w:tentative="1">
      <w:start w:val="1"/>
      <w:numFmt w:val="bullet"/>
      <w:lvlText w:val=""/>
      <w:lvlJc w:val="left"/>
      <w:pPr>
        <w:ind w:left="5040" w:hanging="360"/>
      </w:pPr>
      <w:rPr>
        <w:rFonts w:ascii="Symbol" w:hAnsi="Symbol" w:hint="default"/>
      </w:rPr>
    </w:lvl>
    <w:lvl w:ilvl="7" w:tplc="83889B48" w:tentative="1">
      <w:start w:val="1"/>
      <w:numFmt w:val="bullet"/>
      <w:lvlText w:val="o"/>
      <w:lvlJc w:val="left"/>
      <w:pPr>
        <w:ind w:left="5760" w:hanging="360"/>
      </w:pPr>
      <w:rPr>
        <w:rFonts w:ascii="Courier New" w:hAnsi="Courier New" w:cs="Courier New" w:hint="default"/>
      </w:rPr>
    </w:lvl>
    <w:lvl w:ilvl="8" w:tplc="7E8C31BE" w:tentative="1">
      <w:start w:val="1"/>
      <w:numFmt w:val="bullet"/>
      <w:lvlText w:val=""/>
      <w:lvlJc w:val="left"/>
      <w:pPr>
        <w:ind w:left="6480" w:hanging="360"/>
      </w:pPr>
      <w:rPr>
        <w:rFonts w:ascii="Wingdings" w:hAnsi="Wingdings" w:hint="default"/>
      </w:rPr>
    </w:lvl>
  </w:abstractNum>
  <w:abstractNum w:abstractNumId="47" w15:restartNumberingAfterBreak="0">
    <w:nsid w:val="678B0D77"/>
    <w:multiLevelType w:val="hybridMultilevel"/>
    <w:tmpl w:val="6A12B634"/>
    <w:lvl w:ilvl="0" w:tplc="5F4A320E">
      <w:start w:val="1"/>
      <w:numFmt w:val="bullet"/>
      <w:lvlText w:val=""/>
      <w:lvlJc w:val="left"/>
      <w:pPr>
        <w:ind w:left="2160" w:hanging="360"/>
      </w:pPr>
      <w:rPr>
        <w:rFonts w:ascii="Symbol" w:hAnsi="Symbol" w:hint="default"/>
      </w:rPr>
    </w:lvl>
    <w:lvl w:ilvl="1" w:tplc="B2249E5A">
      <w:start w:val="1"/>
      <w:numFmt w:val="bullet"/>
      <w:lvlText w:val="o"/>
      <w:lvlJc w:val="left"/>
      <w:pPr>
        <w:ind w:left="2880" w:hanging="360"/>
      </w:pPr>
      <w:rPr>
        <w:rFonts w:ascii="Courier New" w:hAnsi="Courier New" w:cs="Courier New" w:hint="default"/>
      </w:rPr>
    </w:lvl>
    <w:lvl w:ilvl="2" w:tplc="63AC13A6">
      <w:start w:val="1"/>
      <w:numFmt w:val="bullet"/>
      <w:lvlText w:val=""/>
      <w:lvlJc w:val="left"/>
      <w:pPr>
        <w:ind w:left="3600" w:hanging="360"/>
      </w:pPr>
      <w:rPr>
        <w:rFonts w:ascii="Wingdings" w:hAnsi="Wingdings" w:hint="default"/>
      </w:rPr>
    </w:lvl>
    <w:lvl w:ilvl="3" w:tplc="29B4581E" w:tentative="1">
      <w:start w:val="1"/>
      <w:numFmt w:val="bullet"/>
      <w:lvlText w:val=""/>
      <w:lvlJc w:val="left"/>
      <w:pPr>
        <w:ind w:left="4320" w:hanging="360"/>
      </w:pPr>
      <w:rPr>
        <w:rFonts w:ascii="Symbol" w:hAnsi="Symbol" w:hint="default"/>
      </w:rPr>
    </w:lvl>
    <w:lvl w:ilvl="4" w:tplc="FF527318" w:tentative="1">
      <w:start w:val="1"/>
      <w:numFmt w:val="bullet"/>
      <w:lvlText w:val="o"/>
      <w:lvlJc w:val="left"/>
      <w:pPr>
        <w:ind w:left="5040" w:hanging="360"/>
      </w:pPr>
      <w:rPr>
        <w:rFonts w:ascii="Courier New" w:hAnsi="Courier New" w:cs="Courier New" w:hint="default"/>
      </w:rPr>
    </w:lvl>
    <w:lvl w:ilvl="5" w:tplc="EBCE02B2" w:tentative="1">
      <w:start w:val="1"/>
      <w:numFmt w:val="bullet"/>
      <w:lvlText w:val=""/>
      <w:lvlJc w:val="left"/>
      <w:pPr>
        <w:ind w:left="5760" w:hanging="360"/>
      </w:pPr>
      <w:rPr>
        <w:rFonts w:ascii="Wingdings" w:hAnsi="Wingdings" w:hint="default"/>
      </w:rPr>
    </w:lvl>
    <w:lvl w:ilvl="6" w:tplc="DDBC17DE" w:tentative="1">
      <w:start w:val="1"/>
      <w:numFmt w:val="bullet"/>
      <w:lvlText w:val=""/>
      <w:lvlJc w:val="left"/>
      <w:pPr>
        <w:ind w:left="6480" w:hanging="360"/>
      </w:pPr>
      <w:rPr>
        <w:rFonts w:ascii="Symbol" w:hAnsi="Symbol" w:hint="default"/>
      </w:rPr>
    </w:lvl>
    <w:lvl w:ilvl="7" w:tplc="EC6EE540" w:tentative="1">
      <w:start w:val="1"/>
      <w:numFmt w:val="bullet"/>
      <w:lvlText w:val="o"/>
      <w:lvlJc w:val="left"/>
      <w:pPr>
        <w:ind w:left="7200" w:hanging="360"/>
      </w:pPr>
      <w:rPr>
        <w:rFonts w:ascii="Courier New" w:hAnsi="Courier New" w:cs="Courier New" w:hint="default"/>
      </w:rPr>
    </w:lvl>
    <w:lvl w:ilvl="8" w:tplc="673CF2DA" w:tentative="1">
      <w:start w:val="1"/>
      <w:numFmt w:val="bullet"/>
      <w:lvlText w:val=""/>
      <w:lvlJc w:val="left"/>
      <w:pPr>
        <w:ind w:left="7920" w:hanging="360"/>
      </w:pPr>
      <w:rPr>
        <w:rFonts w:ascii="Wingdings" w:hAnsi="Wingdings" w:hint="default"/>
      </w:rPr>
    </w:lvl>
  </w:abstractNum>
  <w:abstractNum w:abstractNumId="48" w15:restartNumberingAfterBreak="0">
    <w:nsid w:val="67A85684"/>
    <w:multiLevelType w:val="hybridMultilevel"/>
    <w:tmpl w:val="C89A6E38"/>
    <w:lvl w:ilvl="0" w:tplc="5AC47F08">
      <w:start w:val="1"/>
      <w:numFmt w:val="lowerLetter"/>
      <w:lvlText w:val="%1)"/>
      <w:lvlJc w:val="left"/>
      <w:pPr>
        <w:ind w:left="1080" w:hanging="360"/>
      </w:pPr>
    </w:lvl>
    <w:lvl w:ilvl="1" w:tplc="F4342ACE">
      <w:start w:val="1"/>
      <w:numFmt w:val="lowerLetter"/>
      <w:lvlText w:val="%2."/>
      <w:lvlJc w:val="left"/>
      <w:pPr>
        <w:ind w:left="1800" w:hanging="360"/>
      </w:pPr>
    </w:lvl>
    <w:lvl w:ilvl="2" w:tplc="871E2DD2" w:tentative="1">
      <w:start w:val="1"/>
      <w:numFmt w:val="lowerRoman"/>
      <w:lvlText w:val="%3."/>
      <w:lvlJc w:val="right"/>
      <w:pPr>
        <w:ind w:left="2520" w:hanging="180"/>
      </w:pPr>
    </w:lvl>
    <w:lvl w:ilvl="3" w:tplc="15247E54" w:tentative="1">
      <w:start w:val="1"/>
      <w:numFmt w:val="decimal"/>
      <w:lvlText w:val="%4."/>
      <w:lvlJc w:val="left"/>
      <w:pPr>
        <w:ind w:left="3240" w:hanging="360"/>
      </w:pPr>
    </w:lvl>
    <w:lvl w:ilvl="4" w:tplc="FBF0EB74" w:tentative="1">
      <w:start w:val="1"/>
      <w:numFmt w:val="lowerLetter"/>
      <w:lvlText w:val="%5."/>
      <w:lvlJc w:val="left"/>
      <w:pPr>
        <w:ind w:left="3960" w:hanging="360"/>
      </w:pPr>
    </w:lvl>
    <w:lvl w:ilvl="5" w:tplc="43EABCB4" w:tentative="1">
      <w:start w:val="1"/>
      <w:numFmt w:val="lowerRoman"/>
      <w:lvlText w:val="%6."/>
      <w:lvlJc w:val="right"/>
      <w:pPr>
        <w:ind w:left="4680" w:hanging="180"/>
      </w:pPr>
    </w:lvl>
    <w:lvl w:ilvl="6" w:tplc="EF16A2F2" w:tentative="1">
      <w:start w:val="1"/>
      <w:numFmt w:val="decimal"/>
      <w:lvlText w:val="%7."/>
      <w:lvlJc w:val="left"/>
      <w:pPr>
        <w:ind w:left="5400" w:hanging="360"/>
      </w:pPr>
    </w:lvl>
    <w:lvl w:ilvl="7" w:tplc="86A25F34" w:tentative="1">
      <w:start w:val="1"/>
      <w:numFmt w:val="lowerLetter"/>
      <w:lvlText w:val="%8."/>
      <w:lvlJc w:val="left"/>
      <w:pPr>
        <w:ind w:left="6120" w:hanging="360"/>
      </w:pPr>
    </w:lvl>
    <w:lvl w:ilvl="8" w:tplc="CDEC75C8" w:tentative="1">
      <w:start w:val="1"/>
      <w:numFmt w:val="lowerRoman"/>
      <w:lvlText w:val="%9."/>
      <w:lvlJc w:val="right"/>
      <w:pPr>
        <w:ind w:left="6840" w:hanging="180"/>
      </w:pPr>
    </w:lvl>
  </w:abstractNum>
  <w:abstractNum w:abstractNumId="49" w15:restartNumberingAfterBreak="0">
    <w:nsid w:val="684F694C"/>
    <w:multiLevelType w:val="hybridMultilevel"/>
    <w:tmpl w:val="939AF01E"/>
    <w:lvl w:ilvl="0" w:tplc="447E2356">
      <w:start w:val="3"/>
      <w:numFmt w:val="lowerLetter"/>
      <w:lvlText w:val="%1)"/>
      <w:lvlJc w:val="left"/>
      <w:pPr>
        <w:ind w:left="720" w:hanging="360"/>
      </w:pPr>
      <w:rPr>
        <w:rFonts w:cs="Times New Roman" w:hint="default"/>
      </w:rPr>
    </w:lvl>
    <w:lvl w:ilvl="1" w:tplc="F3A6F128" w:tentative="1">
      <w:start w:val="1"/>
      <w:numFmt w:val="lowerLetter"/>
      <w:lvlText w:val="%2."/>
      <w:lvlJc w:val="left"/>
      <w:pPr>
        <w:ind w:left="1440" w:hanging="360"/>
      </w:pPr>
      <w:rPr>
        <w:rFonts w:cs="Times New Roman"/>
      </w:rPr>
    </w:lvl>
    <w:lvl w:ilvl="2" w:tplc="22C677CE" w:tentative="1">
      <w:start w:val="1"/>
      <w:numFmt w:val="lowerRoman"/>
      <w:lvlText w:val="%3."/>
      <w:lvlJc w:val="right"/>
      <w:pPr>
        <w:ind w:left="2160" w:hanging="180"/>
      </w:pPr>
      <w:rPr>
        <w:rFonts w:cs="Times New Roman"/>
      </w:rPr>
    </w:lvl>
    <w:lvl w:ilvl="3" w:tplc="88EAE7F2" w:tentative="1">
      <w:start w:val="1"/>
      <w:numFmt w:val="decimal"/>
      <w:lvlText w:val="%4."/>
      <w:lvlJc w:val="left"/>
      <w:pPr>
        <w:ind w:left="2880" w:hanging="360"/>
      </w:pPr>
      <w:rPr>
        <w:rFonts w:cs="Times New Roman"/>
      </w:rPr>
    </w:lvl>
    <w:lvl w:ilvl="4" w:tplc="C6DA45E6" w:tentative="1">
      <w:start w:val="1"/>
      <w:numFmt w:val="lowerLetter"/>
      <w:lvlText w:val="%5."/>
      <w:lvlJc w:val="left"/>
      <w:pPr>
        <w:ind w:left="3600" w:hanging="360"/>
      </w:pPr>
      <w:rPr>
        <w:rFonts w:cs="Times New Roman"/>
      </w:rPr>
    </w:lvl>
    <w:lvl w:ilvl="5" w:tplc="F2DA4654" w:tentative="1">
      <w:start w:val="1"/>
      <w:numFmt w:val="lowerRoman"/>
      <w:lvlText w:val="%6."/>
      <w:lvlJc w:val="right"/>
      <w:pPr>
        <w:ind w:left="4320" w:hanging="180"/>
      </w:pPr>
      <w:rPr>
        <w:rFonts w:cs="Times New Roman"/>
      </w:rPr>
    </w:lvl>
    <w:lvl w:ilvl="6" w:tplc="684CA3C8" w:tentative="1">
      <w:start w:val="1"/>
      <w:numFmt w:val="decimal"/>
      <w:lvlText w:val="%7."/>
      <w:lvlJc w:val="left"/>
      <w:pPr>
        <w:ind w:left="5040" w:hanging="360"/>
      </w:pPr>
      <w:rPr>
        <w:rFonts w:cs="Times New Roman"/>
      </w:rPr>
    </w:lvl>
    <w:lvl w:ilvl="7" w:tplc="B114F95A" w:tentative="1">
      <w:start w:val="1"/>
      <w:numFmt w:val="lowerLetter"/>
      <w:lvlText w:val="%8."/>
      <w:lvlJc w:val="left"/>
      <w:pPr>
        <w:ind w:left="5760" w:hanging="360"/>
      </w:pPr>
      <w:rPr>
        <w:rFonts w:cs="Times New Roman"/>
      </w:rPr>
    </w:lvl>
    <w:lvl w:ilvl="8" w:tplc="7D5CADE6" w:tentative="1">
      <w:start w:val="1"/>
      <w:numFmt w:val="lowerRoman"/>
      <w:lvlText w:val="%9."/>
      <w:lvlJc w:val="right"/>
      <w:pPr>
        <w:ind w:left="6480" w:hanging="180"/>
      </w:pPr>
      <w:rPr>
        <w:rFonts w:cs="Times New Roman"/>
      </w:rPr>
    </w:lvl>
  </w:abstractNum>
  <w:abstractNum w:abstractNumId="50" w15:restartNumberingAfterBreak="0">
    <w:nsid w:val="690E123E"/>
    <w:multiLevelType w:val="multilevel"/>
    <w:tmpl w:val="7F58E01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51" w15:restartNumberingAfterBreak="0">
    <w:nsid w:val="6E0C0707"/>
    <w:multiLevelType w:val="hybridMultilevel"/>
    <w:tmpl w:val="6D6408C8"/>
    <w:lvl w:ilvl="0" w:tplc="F4E6E104">
      <w:start w:val="1"/>
      <w:numFmt w:val="bullet"/>
      <w:lvlText w:val=""/>
      <w:lvlJc w:val="left"/>
      <w:pPr>
        <w:ind w:left="720" w:hanging="360"/>
      </w:pPr>
      <w:rPr>
        <w:rFonts w:ascii="Symbol" w:hAnsi="Symbol" w:hint="default"/>
      </w:rPr>
    </w:lvl>
    <w:lvl w:ilvl="1" w:tplc="F92CCBB4">
      <w:start w:val="1"/>
      <w:numFmt w:val="bullet"/>
      <w:lvlText w:val="o"/>
      <w:lvlJc w:val="left"/>
      <w:pPr>
        <w:ind w:left="1440" w:hanging="360"/>
      </w:pPr>
      <w:rPr>
        <w:rFonts w:ascii="Courier New" w:hAnsi="Courier New" w:cs="Courier New" w:hint="default"/>
      </w:rPr>
    </w:lvl>
    <w:lvl w:ilvl="2" w:tplc="63A29A26" w:tentative="1">
      <w:start w:val="1"/>
      <w:numFmt w:val="bullet"/>
      <w:lvlText w:val=""/>
      <w:lvlJc w:val="left"/>
      <w:pPr>
        <w:ind w:left="2160" w:hanging="360"/>
      </w:pPr>
      <w:rPr>
        <w:rFonts w:ascii="Wingdings" w:hAnsi="Wingdings" w:hint="default"/>
      </w:rPr>
    </w:lvl>
    <w:lvl w:ilvl="3" w:tplc="0E10BF38" w:tentative="1">
      <w:start w:val="1"/>
      <w:numFmt w:val="bullet"/>
      <w:lvlText w:val=""/>
      <w:lvlJc w:val="left"/>
      <w:pPr>
        <w:ind w:left="2880" w:hanging="360"/>
      </w:pPr>
      <w:rPr>
        <w:rFonts w:ascii="Symbol" w:hAnsi="Symbol" w:hint="default"/>
      </w:rPr>
    </w:lvl>
    <w:lvl w:ilvl="4" w:tplc="3C421C26" w:tentative="1">
      <w:start w:val="1"/>
      <w:numFmt w:val="bullet"/>
      <w:lvlText w:val="o"/>
      <w:lvlJc w:val="left"/>
      <w:pPr>
        <w:ind w:left="3600" w:hanging="360"/>
      </w:pPr>
      <w:rPr>
        <w:rFonts w:ascii="Courier New" w:hAnsi="Courier New" w:cs="Courier New" w:hint="default"/>
      </w:rPr>
    </w:lvl>
    <w:lvl w:ilvl="5" w:tplc="32240D9C" w:tentative="1">
      <w:start w:val="1"/>
      <w:numFmt w:val="bullet"/>
      <w:lvlText w:val=""/>
      <w:lvlJc w:val="left"/>
      <w:pPr>
        <w:ind w:left="4320" w:hanging="360"/>
      </w:pPr>
      <w:rPr>
        <w:rFonts w:ascii="Wingdings" w:hAnsi="Wingdings" w:hint="default"/>
      </w:rPr>
    </w:lvl>
    <w:lvl w:ilvl="6" w:tplc="59DE20EE" w:tentative="1">
      <w:start w:val="1"/>
      <w:numFmt w:val="bullet"/>
      <w:lvlText w:val=""/>
      <w:lvlJc w:val="left"/>
      <w:pPr>
        <w:ind w:left="5040" w:hanging="360"/>
      </w:pPr>
      <w:rPr>
        <w:rFonts w:ascii="Symbol" w:hAnsi="Symbol" w:hint="default"/>
      </w:rPr>
    </w:lvl>
    <w:lvl w:ilvl="7" w:tplc="97A076C0" w:tentative="1">
      <w:start w:val="1"/>
      <w:numFmt w:val="bullet"/>
      <w:lvlText w:val="o"/>
      <w:lvlJc w:val="left"/>
      <w:pPr>
        <w:ind w:left="5760" w:hanging="360"/>
      </w:pPr>
      <w:rPr>
        <w:rFonts w:ascii="Courier New" w:hAnsi="Courier New" w:cs="Courier New" w:hint="default"/>
      </w:rPr>
    </w:lvl>
    <w:lvl w:ilvl="8" w:tplc="3E080AAE" w:tentative="1">
      <w:start w:val="1"/>
      <w:numFmt w:val="bullet"/>
      <w:lvlText w:val=""/>
      <w:lvlJc w:val="left"/>
      <w:pPr>
        <w:ind w:left="6480" w:hanging="360"/>
      </w:pPr>
      <w:rPr>
        <w:rFonts w:ascii="Wingdings" w:hAnsi="Wingdings" w:hint="default"/>
      </w:rPr>
    </w:lvl>
  </w:abstractNum>
  <w:abstractNum w:abstractNumId="52" w15:restartNumberingAfterBreak="0">
    <w:nsid w:val="6E114D5E"/>
    <w:multiLevelType w:val="hybridMultilevel"/>
    <w:tmpl w:val="AE8A9578"/>
    <w:lvl w:ilvl="0" w:tplc="82BAB850">
      <w:start w:val="1"/>
      <w:numFmt w:val="bullet"/>
      <w:lvlText w:val=""/>
      <w:lvlJc w:val="left"/>
      <w:pPr>
        <w:ind w:left="720" w:hanging="360"/>
      </w:pPr>
      <w:rPr>
        <w:rFonts w:ascii="Symbol" w:hAnsi="Symbol" w:hint="default"/>
      </w:rPr>
    </w:lvl>
    <w:lvl w:ilvl="1" w:tplc="64822B70" w:tentative="1">
      <w:start w:val="1"/>
      <w:numFmt w:val="bullet"/>
      <w:lvlText w:val="o"/>
      <w:lvlJc w:val="left"/>
      <w:pPr>
        <w:ind w:left="1440" w:hanging="360"/>
      </w:pPr>
      <w:rPr>
        <w:rFonts w:ascii="Courier New" w:hAnsi="Courier New" w:cs="Courier New" w:hint="default"/>
      </w:rPr>
    </w:lvl>
    <w:lvl w:ilvl="2" w:tplc="B2BC74D8" w:tentative="1">
      <w:start w:val="1"/>
      <w:numFmt w:val="bullet"/>
      <w:lvlText w:val=""/>
      <w:lvlJc w:val="left"/>
      <w:pPr>
        <w:ind w:left="2160" w:hanging="360"/>
      </w:pPr>
      <w:rPr>
        <w:rFonts w:ascii="Wingdings" w:hAnsi="Wingdings" w:hint="default"/>
      </w:rPr>
    </w:lvl>
    <w:lvl w:ilvl="3" w:tplc="E81E5060" w:tentative="1">
      <w:start w:val="1"/>
      <w:numFmt w:val="bullet"/>
      <w:lvlText w:val=""/>
      <w:lvlJc w:val="left"/>
      <w:pPr>
        <w:ind w:left="2880" w:hanging="360"/>
      </w:pPr>
      <w:rPr>
        <w:rFonts w:ascii="Symbol" w:hAnsi="Symbol" w:hint="default"/>
      </w:rPr>
    </w:lvl>
    <w:lvl w:ilvl="4" w:tplc="E8A0EA1C" w:tentative="1">
      <w:start w:val="1"/>
      <w:numFmt w:val="bullet"/>
      <w:lvlText w:val="o"/>
      <w:lvlJc w:val="left"/>
      <w:pPr>
        <w:ind w:left="3600" w:hanging="360"/>
      </w:pPr>
      <w:rPr>
        <w:rFonts w:ascii="Courier New" w:hAnsi="Courier New" w:cs="Courier New" w:hint="default"/>
      </w:rPr>
    </w:lvl>
    <w:lvl w:ilvl="5" w:tplc="D326DF1A" w:tentative="1">
      <w:start w:val="1"/>
      <w:numFmt w:val="bullet"/>
      <w:lvlText w:val=""/>
      <w:lvlJc w:val="left"/>
      <w:pPr>
        <w:ind w:left="4320" w:hanging="360"/>
      </w:pPr>
      <w:rPr>
        <w:rFonts w:ascii="Wingdings" w:hAnsi="Wingdings" w:hint="default"/>
      </w:rPr>
    </w:lvl>
    <w:lvl w:ilvl="6" w:tplc="954CE8B4" w:tentative="1">
      <w:start w:val="1"/>
      <w:numFmt w:val="bullet"/>
      <w:lvlText w:val=""/>
      <w:lvlJc w:val="left"/>
      <w:pPr>
        <w:ind w:left="5040" w:hanging="360"/>
      </w:pPr>
      <w:rPr>
        <w:rFonts w:ascii="Symbol" w:hAnsi="Symbol" w:hint="default"/>
      </w:rPr>
    </w:lvl>
    <w:lvl w:ilvl="7" w:tplc="C9F43144" w:tentative="1">
      <w:start w:val="1"/>
      <w:numFmt w:val="bullet"/>
      <w:lvlText w:val="o"/>
      <w:lvlJc w:val="left"/>
      <w:pPr>
        <w:ind w:left="5760" w:hanging="360"/>
      </w:pPr>
      <w:rPr>
        <w:rFonts w:ascii="Courier New" w:hAnsi="Courier New" w:cs="Courier New" w:hint="default"/>
      </w:rPr>
    </w:lvl>
    <w:lvl w:ilvl="8" w:tplc="5FD62F96" w:tentative="1">
      <w:start w:val="1"/>
      <w:numFmt w:val="bullet"/>
      <w:lvlText w:val=""/>
      <w:lvlJc w:val="left"/>
      <w:pPr>
        <w:ind w:left="6480" w:hanging="360"/>
      </w:pPr>
      <w:rPr>
        <w:rFonts w:ascii="Wingdings" w:hAnsi="Wingdings" w:hint="default"/>
      </w:rPr>
    </w:lvl>
  </w:abstractNum>
  <w:abstractNum w:abstractNumId="53" w15:restartNumberingAfterBreak="0">
    <w:nsid w:val="6EC67C25"/>
    <w:multiLevelType w:val="hybridMultilevel"/>
    <w:tmpl w:val="D3F6FF54"/>
    <w:lvl w:ilvl="0" w:tplc="80D6FEC0">
      <w:start w:val="1"/>
      <w:numFmt w:val="bullet"/>
      <w:lvlText w:val=""/>
      <w:lvlJc w:val="left"/>
      <w:pPr>
        <w:ind w:left="720" w:hanging="360"/>
      </w:pPr>
      <w:rPr>
        <w:rFonts w:ascii="Symbol" w:hAnsi="Symbol" w:hint="default"/>
      </w:rPr>
    </w:lvl>
    <w:lvl w:ilvl="1" w:tplc="ACD62680" w:tentative="1">
      <w:start w:val="1"/>
      <w:numFmt w:val="bullet"/>
      <w:lvlText w:val="o"/>
      <w:lvlJc w:val="left"/>
      <w:pPr>
        <w:ind w:left="1440" w:hanging="360"/>
      </w:pPr>
      <w:rPr>
        <w:rFonts w:ascii="Courier New" w:hAnsi="Courier New" w:cs="Courier New" w:hint="default"/>
      </w:rPr>
    </w:lvl>
    <w:lvl w:ilvl="2" w:tplc="880EF636" w:tentative="1">
      <w:start w:val="1"/>
      <w:numFmt w:val="bullet"/>
      <w:lvlText w:val=""/>
      <w:lvlJc w:val="left"/>
      <w:pPr>
        <w:ind w:left="2160" w:hanging="360"/>
      </w:pPr>
      <w:rPr>
        <w:rFonts w:ascii="Wingdings" w:hAnsi="Wingdings" w:hint="default"/>
      </w:rPr>
    </w:lvl>
    <w:lvl w:ilvl="3" w:tplc="3C32A746" w:tentative="1">
      <w:start w:val="1"/>
      <w:numFmt w:val="bullet"/>
      <w:lvlText w:val=""/>
      <w:lvlJc w:val="left"/>
      <w:pPr>
        <w:ind w:left="2880" w:hanging="360"/>
      </w:pPr>
      <w:rPr>
        <w:rFonts w:ascii="Symbol" w:hAnsi="Symbol" w:hint="default"/>
      </w:rPr>
    </w:lvl>
    <w:lvl w:ilvl="4" w:tplc="C0A4D740" w:tentative="1">
      <w:start w:val="1"/>
      <w:numFmt w:val="bullet"/>
      <w:lvlText w:val="o"/>
      <w:lvlJc w:val="left"/>
      <w:pPr>
        <w:ind w:left="3600" w:hanging="360"/>
      </w:pPr>
      <w:rPr>
        <w:rFonts w:ascii="Courier New" w:hAnsi="Courier New" w:cs="Courier New" w:hint="default"/>
      </w:rPr>
    </w:lvl>
    <w:lvl w:ilvl="5" w:tplc="30BE5E8E" w:tentative="1">
      <w:start w:val="1"/>
      <w:numFmt w:val="bullet"/>
      <w:lvlText w:val=""/>
      <w:lvlJc w:val="left"/>
      <w:pPr>
        <w:ind w:left="4320" w:hanging="360"/>
      </w:pPr>
      <w:rPr>
        <w:rFonts w:ascii="Wingdings" w:hAnsi="Wingdings" w:hint="default"/>
      </w:rPr>
    </w:lvl>
    <w:lvl w:ilvl="6" w:tplc="EF80AE9C" w:tentative="1">
      <w:start w:val="1"/>
      <w:numFmt w:val="bullet"/>
      <w:lvlText w:val=""/>
      <w:lvlJc w:val="left"/>
      <w:pPr>
        <w:ind w:left="5040" w:hanging="360"/>
      </w:pPr>
      <w:rPr>
        <w:rFonts w:ascii="Symbol" w:hAnsi="Symbol" w:hint="default"/>
      </w:rPr>
    </w:lvl>
    <w:lvl w:ilvl="7" w:tplc="4002F750" w:tentative="1">
      <w:start w:val="1"/>
      <w:numFmt w:val="bullet"/>
      <w:lvlText w:val="o"/>
      <w:lvlJc w:val="left"/>
      <w:pPr>
        <w:ind w:left="5760" w:hanging="360"/>
      </w:pPr>
      <w:rPr>
        <w:rFonts w:ascii="Courier New" w:hAnsi="Courier New" w:cs="Courier New" w:hint="default"/>
      </w:rPr>
    </w:lvl>
    <w:lvl w:ilvl="8" w:tplc="4E2691AE" w:tentative="1">
      <w:start w:val="1"/>
      <w:numFmt w:val="bullet"/>
      <w:lvlText w:val=""/>
      <w:lvlJc w:val="left"/>
      <w:pPr>
        <w:ind w:left="6480" w:hanging="360"/>
      </w:pPr>
      <w:rPr>
        <w:rFonts w:ascii="Wingdings" w:hAnsi="Wingdings" w:hint="default"/>
      </w:rPr>
    </w:lvl>
  </w:abstractNum>
  <w:abstractNum w:abstractNumId="54" w15:restartNumberingAfterBreak="0">
    <w:nsid w:val="6F7405D8"/>
    <w:multiLevelType w:val="hybridMultilevel"/>
    <w:tmpl w:val="CDFA923C"/>
    <w:lvl w:ilvl="0" w:tplc="BB507B44">
      <w:start w:val="1"/>
      <w:numFmt w:val="bullet"/>
      <w:lvlText w:val=""/>
      <w:lvlJc w:val="left"/>
      <w:pPr>
        <w:ind w:left="1004" w:hanging="360"/>
      </w:pPr>
      <w:rPr>
        <w:rFonts w:ascii="Symbol" w:hAnsi="Symbol" w:hint="default"/>
      </w:rPr>
    </w:lvl>
    <w:lvl w:ilvl="1" w:tplc="66A2F00E" w:tentative="1">
      <w:start w:val="1"/>
      <w:numFmt w:val="bullet"/>
      <w:lvlText w:val="o"/>
      <w:lvlJc w:val="left"/>
      <w:pPr>
        <w:ind w:left="1724" w:hanging="360"/>
      </w:pPr>
      <w:rPr>
        <w:rFonts w:ascii="Courier New" w:hAnsi="Courier New" w:cs="Courier New" w:hint="default"/>
      </w:rPr>
    </w:lvl>
    <w:lvl w:ilvl="2" w:tplc="E422947E" w:tentative="1">
      <w:start w:val="1"/>
      <w:numFmt w:val="bullet"/>
      <w:lvlText w:val=""/>
      <w:lvlJc w:val="left"/>
      <w:pPr>
        <w:ind w:left="2444" w:hanging="360"/>
      </w:pPr>
      <w:rPr>
        <w:rFonts w:ascii="Wingdings" w:hAnsi="Wingdings" w:hint="default"/>
      </w:rPr>
    </w:lvl>
    <w:lvl w:ilvl="3" w:tplc="427041D8" w:tentative="1">
      <w:start w:val="1"/>
      <w:numFmt w:val="bullet"/>
      <w:lvlText w:val=""/>
      <w:lvlJc w:val="left"/>
      <w:pPr>
        <w:ind w:left="3164" w:hanging="360"/>
      </w:pPr>
      <w:rPr>
        <w:rFonts w:ascii="Symbol" w:hAnsi="Symbol" w:hint="default"/>
      </w:rPr>
    </w:lvl>
    <w:lvl w:ilvl="4" w:tplc="5FD27798" w:tentative="1">
      <w:start w:val="1"/>
      <w:numFmt w:val="bullet"/>
      <w:lvlText w:val="o"/>
      <w:lvlJc w:val="left"/>
      <w:pPr>
        <w:ind w:left="3884" w:hanging="360"/>
      </w:pPr>
      <w:rPr>
        <w:rFonts w:ascii="Courier New" w:hAnsi="Courier New" w:cs="Courier New" w:hint="default"/>
      </w:rPr>
    </w:lvl>
    <w:lvl w:ilvl="5" w:tplc="A30C9CA6" w:tentative="1">
      <w:start w:val="1"/>
      <w:numFmt w:val="bullet"/>
      <w:lvlText w:val=""/>
      <w:lvlJc w:val="left"/>
      <w:pPr>
        <w:ind w:left="4604" w:hanging="360"/>
      </w:pPr>
      <w:rPr>
        <w:rFonts w:ascii="Wingdings" w:hAnsi="Wingdings" w:hint="default"/>
      </w:rPr>
    </w:lvl>
    <w:lvl w:ilvl="6" w:tplc="3A0C2C3C" w:tentative="1">
      <w:start w:val="1"/>
      <w:numFmt w:val="bullet"/>
      <w:lvlText w:val=""/>
      <w:lvlJc w:val="left"/>
      <w:pPr>
        <w:ind w:left="5324" w:hanging="360"/>
      </w:pPr>
      <w:rPr>
        <w:rFonts w:ascii="Symbol" w:hAnsi="Symbol" w:hint="default"/>
      </w:rPr>
    </w:lvl>
    <w:lvl w:ilvl="7" w:tplc="77AEDE02" w:tentative="1">
      <w:start w:val="1"/>
      <w:numFmt w:val="bullet"/>
      <w:lvlText w:val="o"/>
      <w:lvlJc w:val="left"/>
      <w:pPr>
        <w:ind w:left="6044" w:hanging="360"/>
      </w:pPr>
      <w:rPr>
        <w:rFonts w:ascii="Courier New" w:hAnsi="Courier New" w:cs="Courier New" w:hint="default"/>
      </w:rPr>
    </w:lvl>
    <w:lvl w:ilvl="8" w:tplc="A76AFC38" w:tentative="1">
      <w:start w:val="1"/>
      <w:numFmt w:val="bullet"/>
      <w:lvlText w:val=""/>
      <w:lvlJc w:val="left"/>
      <w:pPr>
        <w:ind w:left="6764" w:hanging="360"/>
      </w:pPr>
      <w:rPr>
        <w:rFonts w:ascii="Wingdings" w:hAnsi="Wingdings" w:hint="default"/>
      </w:rPr>
    </w:lvl>
  </w:abstractNum>
  <w:abstractNum w:abstractNumId="55" w15:restartNumberingAfterBreak="0">
    <w:nsid w:val="6FE43D2E"/>
    <w:multiLevelType w:val="hybridMultilevel"/>
    <w:tmpl w:val="9E4416A0"/>
    <w:lvl w:ilvl="0" w:tplc="4E14AC7A">
      <w:start w:val="1"/>
      <w:numFmt w:val="bullet"/>
      <w:lvlText w:val=""/>
      <w:lvlJc w:val="left"/>
      <w:pPr>
        <w:ind w:left="2160" w:hanging="360"/>
      </w:pPr>
      <w:rPr>
        <w:rFonts w:ascii="Symbol" w:hAnsi="Symbol" w:hint="default"/>
      </w:rPr>
    </w:lvl>
    <w:lvl w:ilvl="1" w:tplc="62220FB4" w:tentative="1">
      <w:start w:val="1"/>
      <w:numFmt w:val="bullet"/>
      <w:lvlText w:val="o"/>
      <w:lvlJc w:val="left"/>
      <w:pPr>
        <w:ind w:left="2880" w:hanging="360"/>
      </w:pPr>
      <w:rPr>
        <w:rFonts w:ascii="Courier New" w:hAnsi="Courier New" w:cs="Courier New" w:hint="default"/>
      </w:rPr>
    </w:lvl>
    <w:lvl w:ilvl="2" w:tplc="DD549356" w:tentative="1">
      <w:start w:val="1"/>
      <w:numFmt w:val="bullet"/>
      <w:lvlText w:val=""/>
      <w:lvlJc w:val="left"/>
      <w:pPr>
        <w:ind w:left="3600" w:hanging="360"/>
      </w:pPr>
      <w:rPr>
        <w:rFonts w:ascii="Wingdings" w:hAnsi="Wingdings" w:hint="default"/>
      </w:rPr>
    </w:lvl>
    <w:lvl w:ilvl="3" w:tplc="B532D1E6" w:tentative="1">
      <w:start w:val="1"/>
      <w:numFmt w:val="bullet"/>
      <w:lvlText w:val=""/>
      <w:lvlJc w:val="left"/>
      <w:pPr>
        <w:ind w:left="4320" w:hanging="360"/>
      </w:pPr>
      <w:rPr>
        <w:rFonts w:ascii="Symbol" w:hAnsi="Symbol" w:hint="default"/>
      </w:rPr>
    </w:lvl>
    <w:lvl w:ilvl="4" w:tplc="F476DCAC" w:tentative="1">
      <w:start w:val="1"/>
      <w:numFmt w:val="bullet"/>
      <w:lvlText w:val="o"/>
      <w:lvlJc w:val="left"/>
      <w:pPr>
        <w:ind w:left="5040" w:hanging="360"/>
      </w:pPr>
      <w:rPr>
        <w:rFonts w:ascii="Courier New" w:hAnsi="Courier New" w:cs="Courier New" w:hint="default"/>
      </w:rPr>
    </w:lvl>
    <w:lvl w:ilvl="5" w:tplc="41DCFE18" w:tentative="1">
      <w:start w:val="1"/>
      <w:numFmt w:val="bullet"/>
      <w:lvlText w:val=""/>
      <w:lvlJc w:val="left"/>
      <w:pPr>
        <w:ind w:left="5760" w:hanging="360"/>
      </w:pPr>
      <w:rPr>
        <w:rFonts w:ascii="Wingdings" w:hAnsi="Wingdings" w:hint="default"/>
      </w:rPr>
    </w:lvl>
    <w:lvl w:ilvl="6" w:tplc="62BE9806" w:tentative="1">
      <w:start w:val="1"/>
      <w:numFmt w:val="bullet"/>
      <w:lvlText w:val=""/>
      <w:lvlJc w:val="left"/>
      <w:pPr>
        <w:ind w:left="6480" w:hanging="360"/>
      </w:pPr>
      <w:rPr>
        <w:rFonts w:ascii="Symbol" w:hAnsi="Symbol" w:hint="default"/>
      </w:rPr>
    </w:lvl>
    <w:lvl w:ilvl="7" w:tplc="BEA07ACC" w:tentative="1">
      <w:start w:val="1"/>
      <w:numFmt w:val="bullet"/>
      <w:lvlText w:val="o"/>
      <w:lvlJc w:val="left"/>
      <w:pPr>
        <w:ind w:left="7200" w:hanging="360"/>
      </w:pPr>
      <w:rPr>
        <w:rFonts w:ascii="Courier New" w:hAnsi="Courier New" w:cs="Courier New" w:hint="default"/>
      </w:rPr>
    </w:lvl>
    <w:lvl w:ilvl="8" w:tplc="62DC219A" w:tentative="1">
      <w:start w:val="1"/>
      <w:numFmt w:val="bullet"/>
      <w:lvlText w:val=""/>
      <w:lvlJc w:val="left"/>
      <w:pPr>
        <w:ind w:left="7920" w:hanging="360"/>
      </w:pPr>
      <w:rPr>
        <w:rFonts w:ascii="Wingdings" w:hAnsi="Wingdings" w:hint="default"/>
      </w:rPr>
    </w:lvl>
  </w:abstractNum>
  <w:abstractNum w:abstractNumId="56" w15:restartNumberingAfterBreak="0">
    <w:nsid w:val="78F0634D"/>
    <w:multiLevelType w:val="hybridMultilevel"/>
    <w:tmpl w:val="AED4A25C"/>
    <w:lvl w:ilvl="0" w:tplc="82D25454">
      <w:start w:val="1"/>
      <w:numFmt w:val="bullet"/>
      <w:lvlText w:val="o"/>
      <w:lvlJc w:val="left"/>
      <w:pPr>
        <w:ind w:left="2160" w:hanging="360"/>
      </w:pPr>
      <w:rPr>
        <w:rFonts w:ascii="Courier New" w:hAnsi="Courier New" w:cs="Courier New" w:hint="default"/>
      </w:rPr>
    </w:lvl>
    <w:lvl w:ilvl="1" w:tplc="ADB80EAA" w:tentative="1">
      <w:start w:val="1"/>
      <w:numFmt w:val="bullet"/>
      <w:lvlText w:val="o"/>
      <w:lvlJc w:val="left"/>
      <w:pPr>
        <w:ind w:left="2880" w:hanging="360"/>
      </w:pPr>
      <w:rPr>
        <w:rFonts w:ascii="Courier New" w:hAnsi="Courier New" w:cs="Courier New" w:hint="default"/>
      </w:rPr>
    </w:lvl>
    <w:lvl w:ilvl="2" w:tplc="E12A8EBC" w:tentative="1">
      <w:start w:val="1"/>
      <w:numFmt w:val="bullet"/>
      <w:lvlText w:val=""/>
      <w:lvlJc w:val="left"/>
      <w:pPr>
        <w:ind w:left="3600" w:hanging="360"/>
      </w:pPr>
      <w:rPr>
        <w:rFonts w:ascii="Wingdings" w:hAnsi="Wingdings" w:hint="default"/>
      </w:rPr>
    </w:lvl>
    <w:lvl w:ilvl="3" w:tplc="4AF4CC80" w:tentative="1">
      <w:start w:val="1"/>
      <w:numFmt w:val="bullet"/>
      <w:lvlText w:val=""/>
      <w:lvlJc w:val="left"/>
      <w:pPr>
        <w:ind w:left="4320" w:hanging="360"/>
      </w:pPr>
      <w:rPr>
        <w:rFonts w:ascii="Symbol" w:hAnsi="Symbol" w:hint="default"/>
      </w:rPr>
    </w:lvl>
    <w:lvl w:ilvl="4" w:tplc="F10E2EDA" w:tentative="1">
      <w:start w:val="1"/>
      <w:numFmt w:val="bullet"/>
      <w:lvlText w:val="o"/>
      <w:lvlJc w:val="left"/>
      <w:pPr>
        <w:ind w:left="5040" w:hanging="360"/>
      </w:pPr>
      <w:rPr>
        <w:rFonts w:ascii="Courier New" w:hAnsi="Courier New" w:cs="Courier New" w:hint="default"/>
      </w:rPr>
    </w:lvl>
    <w:lvl w:ilvl="5" w:tplc="D2E06910" w:tentative="1">
      <w:start w:val="1"/>
      <w:numFmt w:val="bullet"/>
      <w:lvlText w:val=""/>
      <w:lvlJc w:val="left"/>
      <w:pPr>
        <w:ind w:left="5760" w:hanging="360"/>
      </w:pPr>
      <w:rPr>
        <w:rFonts w:ascii="Wingdings" w:hAnsi="Wingdings" w:hint="default"/>
      </w:rPr>
    </w:lvl>
    <w:lvl w:ilvl="6" w:tplc="F6C8F794" w:tentative="1">
      <w:start w:val="1"/>
      <w:numFmt w:val="bullet"/>
      <w:lvlText w:val=""/>
      <w:lvlJc w:val="left"/>
      <w:pPr>
        <w:ind w:left="6480" w:hanging="360"/>
      </w:pPr>
      <w:rPr>
        <w:rFonts w:ascii="Symbol" w:hAnsi="Symbol" w:hint="default"/>
      </w:rPr>
    </w:lvl>
    <w:lvl w:ilvl="7" w:tplc="A2FAD240" w:tentative="1">
      <w:start w:val="1"/>
      <w:numFmt w:val="bullet"/>
      <w:lvlText w:val="o"/>
      <w:lvlJc w:val="left"/>
      <w:pPr>
        <w:ind w:left="7200" w:hanging="360"/>
      </w:pPr>
      <w:rPr>
        <w:rFonts w:ascii="Courier New" w:hAnsi="Courier New" w:cs="Courier New" w:hint="default"/>
      </w:rPr>
    </w:lvl>
    <w:lvl w:ilvl="8" w:tplc="7DFA5006" w:tentative="1">
      <w:start w:val="1"/>
      <w:numFmt w:val="bullet"/>
      <w:lvlText w:val=""/>
      <w:lvlJc w:val="left"/>
      <w:pPr>
        <w:ind w:left="7920" w:hanging="360"/>
      </w:pPr>
      <w:rPr>
        <w:rFonts w:ascii="Wingdings" w:hAnsi="Wingdings" w:hint="default"/>
      </w:rPr>
    </w:lvl>
  </w:abstractNum>
  <w:abstractNum w:abstractNumId="57" w15:restartNumberingAfterBreak="0">
    <w:nsid w:val="7EA30EFE"/>
    <w:multiLevelType w:val="hybridMultilevel"/>
    <w:tmpl w:val="A80C8966"/>
    <w:lvl w:ilvl="0" w:tplc="5E0EA702">
      <w:start w:val="1"/>
      <w:numFmt w:val="bullet"/>
      <w:lvlText w:val=""/>
      <w:lvlJc w:val="left"/>
      <w:pPr>
        <w:ind w:left="360" w:hanging="360"/>
      </w:pPr>
      <w:rPr>
        <w:rFonts w:ascii="Symbol" w:hAnsi="Symbol" w:hint="default"/>
      </w:rPr>
    </w:lvl>
    <w:lvl w:ilvl="1" w:tplc="7954FA8E" w:tentative="1">
      <w:start w:val="1"/>
      <w:numFmt w:val="lowerLetter"/>
      <w:lvlText w:val="%2."/>
      <w:lvlJc w:val="left"/>
      <w:pPr>
        <w:ind w:left="1080" w:hanging="360"/>
      </w:pPr>
      <w:rPr>
        <w:rFonts w:cs="Times New Roman"/>
      </w:rPr>
    </w:lvl>
    <w:lvl w:ilvl="2" w:tplc="BE043B5C" w:tentative="1">
      <w:start w:val="1"/>
      <w:numFmt w:val="lowerRoman"/>
      <w:lvlText w:val="%3."/>
      <w:lvlJc w:val="right"/>
      <w:pPr>
        <w:ind w:left="1800" w:hanging="180"/>
      </w:pPr>
      <w:rPr>
        <w:rFonts w:cs="Times New Roman"/>
      </w:rPr>
    </w:lvl>
    <w:lvl w:ilvl="3" w:tplc="A3987F0A" w:tentative="1">
      <w:start w:val="1"/>
      <w:numFmt w:val="decimal"/>
      <w:lvlText w:val="%4."/>
      <w:lvlJc w:val="left"/>
      <w:pPr>
        <w:ind w:left="2520" w:hanging="360"/>
      </w:pPr>
      <w:rPr>
        <w:rFonts w:cs="Times New Roman"/>
      </w:rPr>
    </w:lvl>
    <w:lvl w:ilvl="4" w:tplc="1B8AD50C" w:tentative="1">
      <w:start w:val="1"/>
      <w:numFmt w:val="lowerLetter"/>
      <w:lvlText w:val="%5."/>
      <w:lvlJc w:val="left"/>
      <w:pPr>
        <w:ind w:left="3240" w:hanging="360"/>
      </w:pPr>
      <w:rPr>
        <w:rFonts w:cs="Times New Roman"/>
      </w:rPr>
    </w:lvl>
    <w:lvl w:ilvl="5" w:tplc="C2AE0586" w:tentative="1">
      <w:start w:val="1"/>
      <w:numFmt w:val="lowerRoman"/>
      <w:lvlText w:val="%6."/>
      <w:lvlJc w:val="right"/>
      <w:pPr>
        <w:ind w:left="3960" w:hanging="180"/>
      </w:pPr>
      <w:rPr>
        <w:rFonts w:cs="Times New Roman"/>
      </w:rPr>
    </w:lvl>
    <w:lvl w:ilvl="6" w:tplc="5A7EFB1A" w:tentative="1">
      <w:start w:val="1"/>
      <w:numFmt w:val="decimal"/>
      <w:lvlText w:val="%7."/>
      <w:lvlJc w:val="left"/>
      <w:pPr>
        <w:ind w:left="4680" w:hanging="360"/>
      </w:pPr>
      <w:rPr>
        <w:rFonts w:cs="Times New Roman"/>
      </w:rPr>
    </w:lvl>
    <w:lvl w:ilvl="7" w:tplc="D5DCE148" w:tentative="1">
      <w:start w:val="1"/>
      <w:numFmt w:val="lowerLetter"/>
      <w:lvlText w:val="%8."/>
      <w:lvlJc w:val="left"/>
      <w:pPr>
        <w:ind w:left="5400" w:hanging="360"/>
      </w:pPr>
      <w:rPr>
        <w:rFonts w:cs="Times New Roman"/>
      </w:rPr>
    </w:lvl>
    <w:lvl w:ilvl="8" w:tplc="0EE6EBB0" w:tentative="1">
      <w:start w:val="1"/>
      <w:numFmt w:val="lowerRoman"/>
      <w:lvlText w:val="%9."/>
      <w:lvlJc w:val="right"/>
      <w:pPr>
        <w:ind w:left="6120" w:hanging="180"/>
      </w:pPr>
      <w:rPr>
        <w:rFonts w:cs="Times New Roman"/>
      </w:rPr>
    </w:lvl>
  </w:abstractNum>
  <w:num w:numId="1" w16cid:durableId="46300545">
    <w:abstractNumId w:val="18"/>
  </w:num>
  <w:num w:numId="2" w16cid:durableId="318388625">
    <w:abstractNumId w:val="50"/>
  </w:num>
  <w:num w:numId="3" w16cid:durableId="1917203895">
    <w:abstractNumId w:val="55"/>
  </w:num>
  <w:num w:numId="4" w16cid:durableId="197276229">
    <w:abstractNumId w:val="47"/>
  </w:num>
  <w:num w:numId="5" w16cid:durableId="1608662382">
    <w:abstractNumId w:val="1"/>
  </w:num>
  <w:num w:numId="6" w16cid:durableId="2100787776">
    <w:abstractNumId w:val="53"/>
  </w:num>
  <w:num w:numId="7" w16cid:durableId="1634209318">
    <w:abstractNumId w:val="24"/>
  </w:num>
  <w:num w:numId="8" w16cid:durableId="1282421121">
    <w:abstractNumId w:val="41"/>
  </w:num>
  <w:num w:numId="9" w16cid:durableId="1317416461">
    <w:abstractNumId w:val="28"/>
  </w:num>
  <w:num w:numId="10" w16cid:durableId="1570577879">
    <w:abstractNumId w:val="23"/>
  </w:num>
  <w:num w:numId="11" w16cid:durableId="1401438888">
    <w:abstractNumId w:val="3"/>
  </w:num>
  <w:num w:numId="12" w16cid:durableId="1755325148">
    <w:abstractNumId w:val="8"/>
  </w:num>
  <w:num w:numId="13" w16cid:durableId="366682992">
    <w:abstractNumId w:val="21"/>
  </w:num>
  <w:num w:numId="14" w16cid:durableId="1658414533">
    <w:abstractNumId w:val="46"/>
  </w:num>
  <w:num w:numId="15" w16cid:durableId="574903440">
    <w:abstractNumId w:val="17"/>
  </w:num>
  <w:num w:numId="16" w16cid:durableId="2109689782">
    <w:abstractNumId w:val="52"/>
  </w:num>
  <w:num w:numId="17" w16cid:durableId="1320766851">
    <w:abstractNumId w:val="35"/>
  </w:num>
  <w:num w:numId="18" w16cid:durableId="434711352">
    <w:abstractNumId w:val="33"/>
  </w:num>
  <w:num w:numId="19" w16cid:durableId="1295676233">
    <w:abstractNumId w:val="14"/>
  </w:num>
  <w:num w:numId="20" w16cid:durableId="2147161416">
    <w:abstractNumId w:val="13"/>
  </w:num>
  <w:num w:numId="21" w16cid:durableId="1963610152">
    <w:abstractNumId w:val="27"/>
  </w:num>
  <w:num w:numId="22" w16cid:durableId="1779176001">
    <w:abstractNumId w:val="34"/>
  </w:num>
  <w:num w:numId="23" w16cid:durableId="1650013622">
    <w:abstractNumId w:val="32"/>
  </w:num>
  <w:num w:numId="24" w16cid:durableId="847868206">
    <w:abstractNumId w:val="36"/>
  </w:num>
  <w:num w:numId="25" w16cid:durableId="257835823">
    <w:abstractNumId w:val="40"/>
  </w:num>
  <w:num w:numId="26" w16cid:durableId="99185076">
    <w:abstractNumId w:val="11"/>
  </w:num>
  <w:num w:numId="27" w16cid:durableId="1846743755">
    <w:abstractNumId w:val="51"/>
  </w:num>
  <w:num w:numId="28" w16cid:durableId="2058190719">
    <w:abstractNumId w:val="43"/>
  </w:num>
  <w:num w:numId="29" w16cid:durableId="403451330">
    <w:abstractNumId w:val="12"/>
  </w:num>
  <w:num w:numId="30" w16cid:durableId="975842712">
    <w:abstractNumId w:val="26"/>
  </w:num>
  <w:num w:numId="31" w16cid:durableId="634913976">
    <w:abstractNumId w:val="5"/>
  </w:num>
  <w:num w:numId="32" w16cid:durableId="1116675481">
    <w:abstractNumId w:val="7"/>
  </w:num>
  <w:num w:numId="33" w16cid:durableId="1533297201">
    <w:abstractNumId w:val="29"/>
  </w:num>
  <w:num w:numId="34" w16cid:durableId="1262448477">
    <w:abstractNumId w:val="15"/>
  </w:num>
  <w:num w:numId="35" w16cid:durableId="72363532">
    <w:abstractNumId w:val="6"/>
  </w:num>
  <w:num w:numId="36" w16cid:durableId="1420785795">
    <w:abstractNumId w:val="22"/>
  </w:num>
  <w:num w:numId="37" w16cid:durableId="240481861">
    <w:abstractNumId w:val="2"/>
  </w:num>
  <w:num w:numId="38" w16cid:durableId="2076662675">
    <w:abstractNumId w:val="37"/>
  </w:num>
  <w:num w:numId="39" w16cid:durableId="1540822673">
    <w:abstractNumId w:val="45"/>
  </w:num>
  <w:num w:numId="40" w16cid:durableId="1716192982">
    <w:abstractNumId w:val="39"/>
  </w:num>
  <w:num w:numId="41" w16cid:durableId="54864546">
    <w:abstractNumId w:val="0"/>
  </w:num>
  <w:num w:numId="42" w16cid:durableId="447167410">
    <w:abstractNumId w:val="57"/>
  </w:num>
  <w:num w:numId="43" w16cid:durableId="1701543223">
    <w:abstractNumId w:val="16"/>
  </w:num>
  <w:num w:numId="44" w16cid:durableId="1137802477">
    <w:abstractNumId w:val="54"/>
  </w:num>
  <w:num w:numId="45" w16cid:durableId="270625127">
    <w:abstractNumId w:val="10"/>
  </w:num>
  <w:num w:numId="46" w16cid:durableId="1920291714">
    <w:abstractNumId w:val="38"/>
  </w:num>
  <w:num w:numId="47" w16cid:durableId="1669557733">
    <w:abstractNumId w:val="25"/>
  </w:num>
  <w:num w:numId="48" w16cid:durableId="1109198171">
    <w:abstractNumId w:val="48"/>
  </w:num>
  <w:num w:numId="49" w16cid:durableId="32929140">
    <w:abstractNumId w:val="31"/>
  </w:num>
  <w:num w:numId="50" w16cid:durableId="1234314839">
    <w:abstractNumId w:val="49"/>
  </w:num>
  <w:num w:numId="51" w16cid:durableId="1301498508">
    <w:abstractNumId w:val="9"/>
  </w:num>
  <w:num w:numId="52" w16cid:durableId="748499436">
    <w:abstractNumId w:val="19"/>
  </w:num>
  <w:num w:numId="53" w16cid:durableId="1551460063">
    <w:abstractNumId w:val="44"/>
  </w:num>
  <w:num w:numId="54" w16cid:durableId="979305347">
    <w:abstractNumId w:val="30"/>
  </w:num>
  <w:num w:numId="55" w16cid:durableId="1473593004">
    <w:abstractNumId w:val="20"/>
  </w:num>
  <w:num w:numId="56" w16cid:durableId="15354941">
    <w:abstractNumId w:val="4"/>
  </w:num>
  <w:num w:numId="57" w16cid:durableId="1319769358">
    <w:abstractNumId w:val="56"/>
  </w:num>
  <w:num w:numId="58" w16cid:durableId="192351405">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9C"/>
    <w:rsid w:val="00000D38"/>
    <w:rsid w:val="000010F6"/>
    <w:rsid w:val="00003194"/>
    <w:rsid w:val="000032F7"/>
    <w:rsid w:val="00006D5E"/>
    <w:rsid w:val="00010647"/>
    <w:rsid w:val="000116D1"/>
    <w:rsid w:val="00011E7E"/>
    <w:rsid w:val="000128BA"/>
    <w:rsid w:val="00013611"/>
    <w:rsid w:val="000137E5"/>
    <w:rsid w:val="00014648"/>
    <w:rsid w:val="0001465E"/>
    <w:rsid w:val="00014B21"/>
    <w:rsid w:val="00016814"/>
    <w:rsid w:val="0002060F"/>
    <w:rsid w:val="000209A4"/>
    <w:rsid w:val="000211F9"/>
    <w:rsid w:val="000212D7"/>
    <w:rsid w:val="00021C8B"/>
    <w:rsid w:val="000229A5"/>
    <w:rsid w:val="0002330F"/>
    <w:rsid w:val="0002442F"/>
    <w:rsid w:val="00025303"/>
    <w:rsid w:val="00025875"/>
    <w:rsid w:val="00026618"/>
    <w:rsid w:val="0003053C"/>
    <w:rsid w:val="00030828"/>
    <w:rsid w:val="00032A9E"/>
    <w:rsid w:val="00033179"/>
    <w:rsid w:val="00033E9F"/>
    <w:rsid w:val="0003413B"/>
    <w:rsid w:val="00034B73"/>
    <w:rsid w:val="0003544F"/>
    <w:rsid w:val="000367BD"/>
    <w:rsid w:val="000373FD"/>
    <w:rsid w:val="00037B35"/>
    <w:rsid w:val="00037DE9"/>
    <w:rsid w:val="00042784"/>
    <w:rsid w:val="000437FA"/>
    <w:rsid w:val="00043AF3"/>
    <w:rsid w:val="00043E5E"/>
    <w:rsid w:val="00044924"/>
    <w:rsid w:val="00044FC5"/>
    <w:rsid w:val="000450B7"/>
    <w:rsid w:val="00046674"/>
    <w:rsid w:val="00046F0E"/>
    <w:rsid w:val="00047665"/>
    <w:rsid w:val="00050157"/>
    <w:rsid w:val="0005060C"/>
    <w:rsid w:val="00051993"/>
    <w:rsid w:val="00054FE9"/>
    <w:rsid w:val="000564E8"/>
    <w:rsid w:val="00056E65"/>
    <w:rsid w:val="0005D62B"/>
    <w:rsid w:val="000603E9"/>
    <w:rsid w:val="00060D16"/>
    <w:rsid w:val="000618F8"/>
    <w:rsid w:val="0006627F"/>
    <w:rsid w:val="00070C66"/>
    <w:rsid w:val="000715BD"/>
    <w:rsid w:val="00071A1A"/>
    <w:rsid w:val="00072110"/>
    <w:rsid w:val="00072F2D"/>
    <w:rsid w:val="00074F99"/>
    <w:rsid w:val="00075473"/>
    <w:rsid w:val="00075931"/>
    <w:rsid w:val="000764D1"/>
    <w:rsid w:val="0007675A"/>
    <w:rsid w:val="000776E3"/>
    <w:rsid w:val="00080FC7"/>
    <w:rsid w:val="00081FA8"/>
    <w:rsid w:val="0008467B"/>
    <w:rsid w:val="00085FA8"/>
    <w:rsid w:val="00085FE4"/>
    <w:rsid w:val="000864F3"/>
    <w:rsid w:val="0009149B"/>
    <w:rsid w:val="00091AE8"/>
    <w:rsid w:val="000923CC"/>
    <w:rsid w:val="00092963"/>
    <w:rsid w:val="0009317F"/>
    <w:rsid w:val="0009395B"/>
    <w:rsid w:val="00095450"/>
    <w:rsid w:val="00095F70"/>
    <w:rsid w:val="00096869"/>
    <w:rsid w:val="000974B4"/>
    <w:rsid w:val="000974FE"/>
    <w:rsid w:val="000A0A1A"/>
    <w:rsid w:val="000A0A1E"/>
    <w:rsid w:val="000A3474"/>
    <w:rsid w:val="000A3C04"/>
    <w:rsid w:val="000A4784"/>
    <w:rsid w:val="000A47D9"/>
    <w:rsid w:val="000A519D"/>
    <w:rsid w:val="000A57C3"/>
    <w:rsid w:val="000A5B26"/>
    <w:rsid w:val="000A5D0A"/>
    <w:rsid w:val="000A65E3"/>
    <w:rsid w:val="000A66EB"/>
    <w:rsid w:val="000A678A"/>
    <w:rsid w:val="000A6F62"/>
    <w:rsid w:val="000B228C"/>
    <w:rsid w:val="000B266D"/>
    <w:rsid w:val="000B3867"/>
    <w:rsid w:val="000B3BC0"/>
    <w:rsid w:val="000B3CCA"/>
    <w:rsid w:val="000B4206"/>
    <w:rsid w:val="000B48DF"/>
    <w:rsid w:val="000B6269"/>
    <w:rsid w:val="000B6CC2"/>
    <w:rsid w:val="000C0753"/>
    <w:rsid w:val="000C0D42"/>
    <w:rsid w:val="000C20BE"/>
    <w:rsid w:val="000C3EB5"/>
    <w:rsid w:val="000C4BD4"/>
    <w:rsid w:val="000C62CC"/>
    <w:rsid w:val="000C6654"/>
    <w:rsid w:val="000C6955"/>
    <w:rsid w:val="000C7DD4"/>
    <w:rsid w:val="000D0124"/>
    <w:rsid w:val="000D01CE"/>
    <w:rsid w:val="000D08BE"/>
    <w:rsid w:val="000D1EBE"/>
    <w:rsid w:val="000D200F"/>
    <w:rsid w:val="000D24BE"/>
    <w:rsid w:val="000D39E2"/>
    <w:rsid w:val="000D42FF"/>
    <w:rsid w:val="000D6411"/>
    <w:rsid w:val="000D7C1B"/>
    <w:rsid w:val="000E0052"/>
    <w:rsid w:val="000E0431"/>
    <w:rsid w:val="000E0DD3"/>
    <w:rsid w:val="000E15DA"/>
    <w:rsid w:val="000E3628"/>
    <w:rsid w:val="000E50B3"/>
    <w:rsid w:val="000E5656"/>
    <w:rsid w:val="000E642C"/>
    <w:rsid w:val="000E6A5F"/>
    <w:rsid w:val="000E7328"/>
    <w:rsid w:val="000F0135"/>
    <w:rsid w:val="000F0E0E"/>
    <w:rsid w:val="000F19DB"/>
    <w:rsid w:val="000F1AE4"/>
    <w:rsid w:val="000F2341"/>
    <w:rsid w:val="000F2E7E"/>
    <w:rsid w:val="000F4451"/>
    <w:rsid w:val="001015C2"/>
    <w:rsid w:val="001024C5"/>
    <w:rsid w:val="00102EAA"/>
    <w:rsid w:val="0010304D"/>
    <w:rsid w:val="001059B3"/>
    <w:rsid w:val="00105B23"/>
    <w:rsid w:val="0010602B"/>
    <w:rsid w:val="00106CF2"/>
    <w:rsid w:val="001072CC"/>
    <w:rsid w:val="0010772E"/>
    <w:rsid w:val="001108C7"/>
    <w:rsid w:val="0011103C"/>
    <w:rsid w:val="0011414A"/>
    <w:rsid w:val="00115D9D"/>
    <w:rsid w:val="00116A06"/>
    <w:rsid w:val="00116EA4"/>
    <w:rsid w:val="00117069"/>
    <w:rsid w:val="0011781B"/>
    <w:rsid w:val="0012381C"/>
    <w:rsid w:val="001245B3"/>
    <w:rsid w:val="00124B57"/>
    <w:rsid w:val="001250CB"/>
    <w:rsid w:val="001270EB"/>
    <w:rsid w:val="00127756"/>
    <w:rsid w:val="0013292D"/>
    <w:rsid w:val="00132A59"/>
    <w:rsid w:val="00135BBE"/>
    <w:rsid w:val="00136BBD"/>
    <w:rsid w:val="00137ADE"/>
    <w:rsid w:val="00140841"/>
    <w:rsid w:val="00141A13"/>
    <w:rsid w:val="00142798"/>
    <w:rsid w:val="001427AA"/>
    <w:rsid w:val="00142979"/>
    <w:rsid w:val="00144AF7"/>
    <w:rsid w:val="00145B8A"/>
    <w:rsid w:val="00146FD5"/>
    <w:rsid w:val="00151267"/>
    <w:rsid w:val="00152EE4"/>
    <w:rsid w:val="001532E3"/>
    <w:rsid w:val="0015342F"/>
    <w:rsid w:val="001550EE"/>
    <w:rsid w:val="0015598D"/>
    <w:rsid w:val="00156BBC"/>
    <w:rsid w:val="0015700A"/>
    <w:rsid w:val="0015759F"/>
    <w:rsid w:val="00160A55"/>
    <w:rsid w:val="00163058"/>
    <w:rsid w:val="0016389D"/>
    <w:rsid w:val="0016441F"/>
    <w:rsid w:val="00164E7A"/>
    <w:rsid w:val="00167405"/>
    <w:rsid w:val="00167E9F"/>
    <w:rsid w:val="00170176"/>
    <w:rsid w:val="00170B2B"/>
    <w:rsid w:val="001736EF"/>
    <w:rsid w:val="00173958"/>
    <w:rsid w:val="00173FA2"/>
    <w:rsid w:val="00173FB2"/>
    <w:rsid w:val="00174236"/>
    <w:rsid w:val="00174479"/>
    <w:rsid w:val="00174BCC"/>
    <w:rsid w:val="00175543"/>
    <w:rsid w:val="00175705"/>
    <w:rsid w:val="00176F95"/>
    <w:rsid w:val="00177EB8"/>
    <w:rsid w:val="001803A5"/>
    <w:rsid w:val="0018070E"/>
    <w:rsid w:val="00180CF9"/>
    <w:rsid w:val="00180F82"/>
    <w:rsid w:val="0018272C"/>
    <w:rsid w:val="00182FD1"/>
    <w:rsid w:val="00185E43"/>
    <w:rsid w:val="001863C8"/>
    <w:rsid w:val="00186C73"/>
    <w:rsid w:val="00186E34"/>
    <w:rsid w:val="00191BE6"/>
    <w:rsid w:val="00192898"/>
    <w:rsid w:val="00193724"/>
    <w:rsid w:val="00193BFB"/>
    <w:rsid w:val="00195998"/>
    <w:rsid w:val="00195F2C"/>
    <w:rsid w:val="00196161"/>
    <w:rsid w:val="001A0102"/>
    <w:rsid w:val="001A1715"/>
    <w:rsid w:val="001A1EC2"/>
    <w:rsid w:val="001A2031"/>
    <w:rsid w:val="001A22E0"/>
    <w:rsid w:val="001A2BC1"/>
    <w:rsid w:val="001A57EA"/>
    <w:rsid w:val="001A5E3A"/>
    <w:rsid w:val="001A68D1"/>
    <w:rsid w:val="001A7E47"/>
    <w:rsid w:val="001B0C50"/>
    <w:rsid w:val="001B26F5"/>
    <w:rsid w:val="001B2CCC"/>
    <w:rsid w:val="001B345E"/>
    <w:rsid w:val="001B5ECC"/>
    <w:rsid w:val="001C0739"/>
    <w:rsid w:val="001C0879"/>
    <w:rsid w:val="001C0A0F"/>
    <w:rsid w:val="001C19AA"/>
    <w:rsid w:val="001C209F"/>
    <w:rsid w:val="001C446E"/>
    <w:rsid w:val="001C4B25"/>
    <w:rsid w:val="001C53DC"/>
    <w:rsid w:val="001C5AB7"/>
    <w:rsid w:val="001C5DFA"/>
    <w:rsid w:val="001C60EA"/>
    <w:rsid w:val="001C6127"/>
    <w:rsid w:val="001C7509"/>
    <w:rsid w:val="001C785E"/>
    <w:rsid w:val="001D230B"/>
    <w:rsid w:val="001D3681"/>
    <w:rsid w:val="001D4CED"/>
    <w:rsid w:val="001D748F"/>
    <w:rsid w:val="001D7886"/>
    <w:rsid w:val="001D7A93"/>
    <w:rsid w:val="001D7FF1"/>
    <w:rsid w:val="001E0F90"/>
    <w:rsid w:val="001E115D"/>
    <w:rsid w:val="001E1C59"/>
    <w:rsid w:val="001E37C2"/>
    <w:rsid w:val="001E3853"/>
    <w:rsid w:val="001E3EAD"/>
    <w:rsid w:val="001E50EB"/>
    <w:rsid w:val="001E6276"/>
    <w:rsid w:val="001E65D7"/>
    <w:rsid w:val="001E78DE"/>
    <w:rsid w:val="001E78FE"/>
    <w:rsid w:val="001F0E4D"/>
    <w:rsid w:val="001F201A"/>
    <w:rsid w:val="001F286D"/>
    <w:rsid w:val="001F3252"/>
    <w:rsid w:val="001F3738"/>
    <w:rsid w:val="001F42A5"/>
    <w:rsid w:val="001F67DD"/>
    <w:rsid w:val="001F7486"/>
    <w:rsid w:val="0020071D"/>
    <w:rsid w:val="00203D04"/>
    <w:rsid w:val="00205950"/>
    <w:rsid w:val="00206771"/>
    <w:rsid w:val="00206835"/>
    <w:rsid w:val="0021035B"/>
    <w:rsid w:val="00210938"/>
    <w:rsid w:val="002117AD"/>
    <w:rsid w:val="00213143"/>
    <w:rsid w:val="002135EF"/>
    <w:rsid w:val="0021407B"/>
    <w:rsid w:val="0021489B"/>
    <w:rsid w:val="002160D6"/>
    <w:rsid w:val="00217CBE"/>
    <w:rsid w:val="002202B9"/>
    <w:rsid w:val="0022039E"/>
    <w:rsid w:val="0022081B"/>
    <w:rsid w:val="00223EC0"/>
    <w:rsid w:val="00226DF6"/>
    <w:rsid w:val="00227D7B"/>
    <w:rsid w:val="00230A05"/>
    <w:rsid w:val="00231964"/>
    <w:rsid w:val="00232CE2"/>
    <w:rsid w:val="0023548F"/>
    <w:rsid w:val="002356D6"/>
    <w:rsid w:val="002371CF"/>
    <w:rsid w:val="002406C2"/>
    <w:rsid w:val="00241812"/>
    <w:rsid w:val="00241F99"/>
    <w:rsid w:val="002445F1"/>
    <w:rsid w:val="0024728D"/>
    <w:rsid w:val="00247D7E"/>
    <w:rsid w:val="00250DBB"/>
    <w:rsid w:val="00250F9C"/>
    <w:rsid w:val="002530D2"/>
    <w:rsid w:val="0025412B"/>
    <w:rsid w:val="002546D2"/>
    <w:rsid w:val="0025571B"/>
    <w:rsid w:val="00256A1B"/>
    <w:rsid w:val="00257F45"/>
    <w:rsid w:val="00257F59"/>
    <w:rsid w:val="002634BF"/>
    <w:rsid w:val="0026350F"/>
    <w:rsid w:val="002645AE"/>
    <w:rsid w:val="00264A93"/>
    <w:rsid w:val="00265357"/>
    <w:rsid w:val="002656F8"/>
    <w:rsid w:val="0026618B"/>
    <w:rsid w:val="002676E4"/>
    <w:rsid w:val="002707EC"/>
    <w:rsid w:val="00270F48"/>
    <w:rsid w:val="002720CD"/>
    <w:rsid w:val="00272672"/>
    <w:rsid w:val="002726E5"/>
    <w:rsid w:val="00272AC6"/>
    <w:rsid w:val="00273DC7"/>
    <w:rsid w:val="00274089"/>
    <w:rsid w:val="00274DA2"/>
    <w:rsid w:val="002751C3"/>
    <w:rsid w:val="002769D5"/>
    <w:rsid w:val="00277388"/>
    <w:rsid w:val="00277A14"/>
    <w:rsid w:val="00277D3C"/>
    <w:rsid w:val="00280BA3"/>
    <w:rsid w:val="00280D9B"/>
    <w:rsid w:val="002824BE"/>
    <w:rsid w:val="00285A03"/>
    <w:rsid w:val="00286C3A"/>
    <w:rsid w:val="00290A8A"/>
    <w:rsid w:val="00291FAA"/>
    <w:rsid w:val="00292727"/>
    <w:rsid w:val="00292F0C"/>
    <w:rsid w:val="0029375D"/>
    <w:rsid w:val="00293C1F"/>
    <w:rsid w:val="00294475"/>
    <w:rsid w:val="0029530F"/>
    <w:rsid w:val="002969A9"/>
    <w:rsid w:val="002A0333"/>
    <w:rsid w:val="002A08E1"/>
    <w:rsid w:val="002A1234"/>
    <w:rsid w:val="002A203E"/>
    <w:rsid w:val="002A2369"/>
    <w:rsid w:val="002A27C3"/>
    <w:rsid w:val="002A6CDA"/>
    <w:rsid w:val="002B0246"/>
    <w:rsid w:val="002B080B"/>
    <w:rsid w:val="002B21D4"/>
    <w:rsid w:val="002B2333"/>
    <w:rsid w:val="002B2CC3"/>
    <w:rsid w:val="002B4332"/>
    <w:rsid w:val="002B45C6"/>
    <w:rsid w:val="002B469B"/>
    <w:rsid w:val="002B631B"/>
    <w:rsid w:val="002B71DB"/>
    <w:rsid w:val="002B79C0"/>
    <w:rsid w:val="002B7CC7"/>
    <w:rsid w:val="002C0AA8"/>
    <w:rsid w:val="002C0C3F"/>
    <w:rsid w:val="002C1C4A"/>
    <w:rsid w:val="002C3364"/>
    <w:rsid w:val="002C3767"/>
    <w:rsid w:val="002C3EBB"/>
    <w:rsid w:val="002C4417"/>
    <w:rsid w:val="002C559A"/>
    <w:rsid w:val="002C5B24"/>
    <w:rsid w:val="002C5BD1"/>
    <w:rsid w:val="002C5C81"/>
    <w:rsid w:val="002D2B32"/>
    <w:rsid w:val="002D2C3F"/>
    <w:rsid w:val="002D4F16"/>
    <w:rsid w:val="002D6A72"/>
    <w:rsid w:val="002D6C12"/>
    <w:rsid w:val="002D7010"/>
    <w:rsid w:val="002D7F31"/>
    <w:rsid w:val="002D7F4A"/>
    <w:rsid w:val="002E095B"/>
    <w:rsid w:val="002E1697"/>
    <w:rsid w:val="002E2682"/>
    <w:rsid w:val="002E2718"/>
    <w:rsid w:val="002E27CC"/>
    <w:rsid w:val="002E4B9F"/>
    <w:rsid w:val="002E5F5C"/>
    <w:rsid w:val="002E5F9C"/>
    <w:rsid w:val="002E6DE3"/>
    <w:rsid w:val="002F0048"/>
    <w:rsid w:val="002F0B9E"/>
    <w:rsid w:val="002F1D57"/>
    <w:rsid w:val="002F1DAC"/>
    <w:rsid w:val="002F23C1"/>
    <w:rsid w:val="002F2737"/>
    <w:rsid w:val="002F36C0"/>
    <w:rsid w:val="002F4517"/>
    <w:rsid w:val="002F4FAE"/>
    <w:rsid w:val="002F534E"/>
    <w:rsid w:val="002F596C"/>
    <w:rsid w:val="002F5D56"/>
    <w:rsid w:val="002F7FC6"/>
    <w:rsid w:val="00300069"/>
    <w:rsid w:val="003003D8"/>
    <w:rsid w:val="0030068A"/>
    <w:rsid w:val="003008C5"/>
    <w:rsid w:val="00301610"/>
    <w:rsid w:val="003038BD"/>
    <w:rsid w:val="00304BB2"/>
    <w:rsid w:val="00304DB2"/>
    <w:rsid w:val="003056DD"/>
    <w:rsid w:val="00307331"/>
    <w:rsid w:val="00307E1A"/>
    <w:rsid w:val="0031076B"/>
    <w:rsid w:val="00313B58"/>
    <w:rsid w:val="00314801"/>
    <w:rsid w:val="00316A4A"/>
    <w:rsid w:val="003203C7"/>
    <w:rsid w:val="00320643"/>
    <w:rsid w:val="00320CBA"/>
    <w:rsid w:val="00320D9F"/>
    <w:rsid w:val="003221EC"/>
    <w:rsid w:val="00322268"/>
    <w:rsid w:val="0032247F"/>
    <w:rsid w:val="0032340A"/>
    <w:rsid w:val="003237B4"/>
    <w:rsid w:val="0032444C"/>
    <w:rsid w:val="003246D0"/>
    <w:rsid w:val="00327686"/>
    <w:rsid w:val="0032770F"/>
    <w:rsid w:val="00327FEA"/>
    <w:rsid w:val="003305BC"/>
    <w:rsid w:val="00331E3F"/>
    <w:rsid w:val="003320A9"/>
    <w:rsid w:val="00332C1F"/>
    <w:rsid w:val="00332FF0"/>
    <w:rsid w:val="003334D9"/>
    <w:rsid w:val="00333E2C"/>
    <w:rsid w:val="003358A0"/>
    <w:rsid w:val="00335F33"/>
    <w:rsid w:val="003408EB"/>
    <w:rsid w:val="0034097C"/>
    <w:rsid w:val="00340988"/>
    <w:rsid w:val="00340DB1"/>
    <w:rsid w:val="0034200A"/>
    <w:rsid w:val="003424BB"/>
    <w:rsid w:val="003428D1"/>
    <w:rsid w:val="00343993"/>
    <w:rsid w:val="00345013"/>
    <w:rsid w:val="00346873"/>
    <w:rsid w:val="00350086"/>
    <w:rsid w:val="00350CF6"/>
    <w:rsid w:val="003521F1"/>
    <w:rsid w:val="00352305"/>
    <w:rsid w:val="0035250D"/>
    <w:rsid w:val="003529D3"/>
    <w:rsid w:val="003533E3"/>
    <w:rsid w:val="003543F8"/>
    <w:rsid w:val="0035634F"/>
    <w:rsid w:val="003567FF"/>
    <w:rsid w:val="00356D05"/>
    <w:rsid w:val="00357A68"/>
    <w:rsid w:val="00360490"/>
    <w:rsid w:val="00362B83"/>
    <w:rsid w:val="00363920"/>
    <w:rsid w:val="00363C39"/>
    <w:rsid w:val="00363D17"/>
    <w:rsid w:val="003667C6"/>
    <w:rsid w:val="00366F5E"/>
    <w:rsid w:val="00367BCA"/>
    <w:rsid w:val="00367CD6"/>
    <w:rsid w:val="0037399E"/>
    <w:rsid w:val="003739A4"/>
    <w:rsid w:val="00373F77"/>
    <w:rsid w:val="003740A9"/>
    <w:rsid w:val="003750EB"/>
    <w:rsid w:val="00375A63"/>
    <w:rsid w:val="0037744D"/>
    <w:rsid w:val="00381368"/>
    <w:rsid w:val="0038171A"/>
    <w:rsid w:val="00381FDC"/>
    <w:rsid w:val="00382A2C"/>
    <w:rsid w:val="00384C86"/>
    <w:rsid w:val="00391E1B"/>
    <w:rsid w:val="00392607"/>
    <w:rsid w:val="0039341D"/>
    <w:rsid w:val="00394603"/>
    <w:rsid w:val="003950D4"/>
    <w:rsid w:val="0039572B"/>
    <w:rsid w:val="003959DB"/>
    <w:rsid w:val="0039653E"/>
    <w:rsid w:val="003977A3"/>
    <w:rsid w:val="003A11E0"/>
    <w:rsid w:val="003A3778"/>
    <w:rsid w:val="003A377E"/>
    <w:rsid w:val="003A4F2A"/>
    <w:rsid w:val="003A541A"/>
    <w:rsid w:val="003A6B85"/>
    <w:rsid w:val="003A78A0"/>
    <w:rsid w:val="003A7F1E"/>
    <w:rsid w:val="003B0097"/>
    <w:rsid w:val="003B0D69"/>
    <w:rsid w:val="003B31F7"/>
    <w:rsid w:val="003B4948"/>
    <w:rsid w:val="003B4B12"/>
    <w:rsid w:val="003B522F"/>
    <w:rsid w:val="003B5268"/>
    <w:rsid w:val="003B5BA9"/>
    <w:rsid w:val="003B5BFB"/>
    <w:rsid w:val="003B62C1"/>
    <w:rsid w:val="003B6AB3"/>
    <w:rsid w:val="003C0BB1"/>
    <w:rsid w:val="003C31B3"/>
    <w:rsid w:val="003C37C2"/>
    <w:rsid w:val="003C3A49"/>
    <w:rsid w:val="003C5FC9"/>
    <w:rsid w:val="003C68A4"/>
    <w:rsid w:val="003C7DF2"/>
    <w:rsid w:val="003D3A94"/>
    <w:rsid w:val="003D514F"/>
    <w:rsid w:val="003D6488"/>
    <w:rsid w:val="003E0AEE"/>
    <w:rsid w:val="003E0F1D"/>
    <w:rsid w:val="003E105F"/>
    <w:rsid w:val="003E16AD"/>
    <w:rsid w:val="003E1F22"/>
    <w:rsid w:val="003E30C6"/>
    <w:rsid w:val="003E557F"/>
    <w:rsid w:val="003E5B10"/>
    <w:rsid w:val="003F08D8"/>
    <w:rsid w:val="003F6A55"/>
    <w:rsid w:val="003F6FBB"/>
    <w:rsid w:val="003F72E1"/>
    <w:rsid w:val="003F7309"/>
    <w:rsid w:val="00400D0A"/>
    <w:rsid w:val="00401B5E"/>
    <w:rsid w:val="004025C9"/>
    <w:rsid w:val="004026D3"/>
    <w:rsid w:val="004031BF"/>
    <w:rsid w:val="00403351"/>
    <w:rsid w:val="0040362C"/>
    <w:rsid w:val="004036EF"/>
    <w:rsid w:val="00403A0C"/>
    <w:rsid w:val="00404131"/>
    <w:rsid w:val="00405E36"/>
    <w:rsid w:val="00405E58"/>
    <w:rsid w:val="00406DC0"/>
    <w:rsid w:val="004077DB"/>
    <w:rsid w:val="00407981"/>
    <w:rsid w:val="00410A02"/>
    <w:rsid w:val="00410BB8"/>
    <w:rsid w:val="00411CDC"/>
    <w:rsid w:val="00412C58"/>
    <w:rsid w:val="004154E0"/>
    <w:rsid w:val="00415E23"/>
    <w:rsid w:val="00416D07"/>
    <w:rsid w:val="004171E4"/>
    <w:rsid w:val="004173C2"/>
    <w:rsid w:val="00417A68"/>
    <w:rsid w:val="0042043F"/>
    <w:rsid w:val="00425F07"/>
    <w:rsid w:val="00426175"/>
    <w:rsid w:val="0042630D"/>
    <w:rsid w:val="00426757"/>
    <w:rsid w:val="00426DF7"/>
    <w:rsid w:val="00427B56"/>
    <w:rsid w:val="00427D98"/>
    <w:rsid w:val="00430E51"/>
    <w:rsid w:val="004325CF"/>
    <w:rsid w:val="00432B4C"/>
    <w:rsid w:val="00432D19"/>
    <w:rsid w:val="00434015"/>
    <w:rsid w:val="00434A36"/>
    <w:rsid w:val="0043A3BC"/>
    <w:rsid w:val="00441DF9"/>
    <w:rsid w:val="0044225D"/>
    <w:rsid w:val="00442B23"/>
    <w:rsid w:val="00443325"/>
    <w:rsid w:val="0044620B"/>
    <w:rsid w:val="00447987"/>
    <w:rsid w:val="00447DA2"/>
    <w:rsid w:val="0045163A"/>
    <w:rsid w:val="004519E0"/>
    <w:rsid w:val="0045420D"/>
    <w:rsid w:val="004551C8"/>
    <w:rsid w:val="0045698D"/>
    <w:rsid w:val="00457062"/>
    <w:rsid w:val="004575F3"/>
    <w:rsid w:val="00460F05"/>
    <w:rsid w:val="004610D4"/>
    <w:rsid w:val="004617CC"/>
    <w:rsid w:val="00462FCC"/>
    <w:rsid w:val="00463789"/>
    <w:rsid w:val="004646EC"/>
    <w:rsid w:val="00464B25"/>
    <w:rsid w:val="00465B61"/>
    <w:rsid w:val="004663BC"/>
    <w:rsid w:val="00467834"/>
    <w:rsid w:val="00470894"/>
    <w:rsid w:val="00471501"/>
    <w:rsid w:val="0047175F"/>
    <w:rsid w:val="0047251A"/>
    <w:rsid w:val="00472C0F"/>
    <w:rsid w:val="00473359"/>
    <w:rsid w:val="00473AEE"/>
    <w:rsid w:val="00474368"/>
    <w:rsid w:val="0047440B"/>
    <w:rsid w:val="00477059"/>
    <w:rsid w:val="00481084"/>
    <w:rsid w:val="00481346"/>
    <w:rsid w:val="004820A8"/>
    <w:rsid w:val="00483523"/>
    <w:rsid w:val="004851E5"/>
    <w:rsid w:val="00485D8B"/>
    <w:rsid w:val="0048787C"/>
    <w:rsid w:val="00490226"/>
    <w:rsid w:val="004947FC"/>
    <w:rsid w:val="004948D0"/>
    <w:rsid w:val="004948F6"/>
    <w:rsid w:val="00496A8E"/>
    <w:rsid w:val="00497C4E"/>
    <w:rsid w:val="004A0259"/>
    <w:rsid w:val="004A1D3A"/>
    <w:rsid w:val="004A70BD"/>
    <w:rsid w:val="004A7405"/>
    <w:rsid w:val="004A7A82"/>
    <w:rsid w:val="004B1098"/>
    <w:rsid w:val="004B34C1"/>
    <w:rsid w:val="004B436A"/>
    <w:rsid w:val="004B5271"/>
    <w:rsid w:val="004B5AB0"/>
    <w:rsid w:val="004B65DD"/>
    <w:rsid w:val="004B6616"/>
    <w:rsid w:val="004B6881"/>
    <w:rsid w:val="004B7B0E"/>
    <w:rsid w:val="004C139E"/>
    <w:rsid w:val="004C16F6"/>
    <w:rsid w:val="004C2430"/>
    <w:rsid w:val="004C4832"/>
    <w:rsid w:val="004C53C0"/>
    <w:rsid w:val="004C562C"/>
    <w:rsid w:val="004C67B3"/>
    <w:rsid w:val="004C6B57"/>
    <w:rsid w:val="004C6D28"/>
    <w:rsid w:val="004C7DEE"/>
    <w:rsid w:val="004D16EE"/>
    <w:rsid w:val="004D2BE2"/>
    <w:rsid w:val="004D411A"/>
    <w:rsid w:val="004D465B"/>
    <w:rsid w:val="004D4F1B"/>
    <w:rsid w:val="004D5DA0"/>
    <w:rsid w:val="004D61E5"/>
    <w:rsid w:val="004D630D"/>
    <w:rsid w:val="004D64FE"/>
    <w:rsid w:val="004E0AF4"/>
    <w:rsid w:val="004E1FF7"/>
    <w:rsid w:val="004E2244"/>
    <w:rsid w:val="004E3118"/>
    <w:rsid w:val="004E3BE0"/>
    <w:rsid w:val="004E68C7"/>
    <w:rsid w:val="004E6D1E"/>
    <w:rsid w:val="004E7895"/>
    <w:rsid w:val="004F0953"/>
    <w:rsid w:val="004F2D21"/>
    <w:rsid w:val="004F3448"/>
    <w:rsid w:val="004F3BC9"/>
    <w:rsid w:val="004F4682"/>
    <w:rsid w:val="004F5506"/>
    <w:rsid w:val="004F7B7C"/>
    <w:rsid w:val="00500629"/>
    <w:rsid w:val="00500978"/>
    <w:rsid w:val="00502A22"/>
    <w:rsid w:val="00502C62"/>
    <w:rsid w:val="00502F4C"/>
    <w:rsid w:val="00503038"/>
    <w:rsid w:val="00505D3E"/>
    <w:rsid w:val="00507CC6"/>
    <w:rsid w:val="0051268C"/>
    <w:rsid w:val="00512E87"/>
    <w:rsid w:val="00514D6D"/>
    <w:rsid w:val="00514E31"/>
    <w:rsid w:val="00515BA9"/>
    <w:rsid w:val="0051680B"/>
    <w:rsid w:val="00516CDE"/>
    <w:rsid w:val="00523165"/>
    <w:rsid w:val="00524487"/>
    <w:rsid w:val="00524E3A"/>
    <w:rsid w:val="00525525"/>
    <w:rsid w:val="00532696"/>
    <w:rsid w:val="00533076"/>
    <w:rsid w:val="0053416F"/>
    <w:rsid w:val="00535DBC"/>
    <w:rsid w:val="00536212"/>
    <w:rsid w:val="00537DEC"/>
    <w:rsid w:val="00540134"/>
    <w:rsid w:val="00540304"/>
    <w:rsid w:val="0054128C"/>
    <w:rsid w:val="00541AD6"/>
    <w:rsid w:val="00541FCC"/>
    <w:rsid w:val="005431EA"/>
    <w:rsid w:val="0054365A"/>
    <w:rsid w:val="00543C90"/>
    <w:rsid w:val="00543FAF"/>
    <w:rsid w:val="005448B2"/>
    <w:rsid w:val="00544F1F"/>
    <w:rsid w:val="005464EC"/>
    <w:rsid w:val="00546707"/>
    <w:rsid w:val="005467C7"/>
    <w:rsid w:val="00547938"/>
    <w:rsid w:val="0055029C"/>
    <w:rsid w:val="005503EF"/>
    <w:rsid w:val="005512F8"/>
    <w:rsid w:val="00552737"/>
    <w:rsid w:val="0055380E"/>
    <w:rsid w:val="00553CE5"/>
    <w:rsid w:val="005608F1"/>
    <w:rsid w:val="00560BCF"/>
    <w:rsid w:val="00563CCE"/>
    <w:rsid w:val="00563CDF"/>
    <w:rsid w:val="00564672"/>
    <w:rsid w:val="00565580"/>
    <w:rsid w:val="00565805"/>
    <w:rsid w:val="00565F62"/>
    <w:rsid w:val="0056766D"/>
    <w:rsid w:val="0057041C"/>
    <w:rsid w:val="00570499"/>
    <w:rsid w:val="00570A9C"/>
    <w:rsid w:val="00570E37"/>
    <w:rsid w:val="00571679"/>
    <w:rsid w:val="00571BE3"/>
    <w:rsid w:val="00573327"/>
    <w:rsid w:val="005737F0"/>
    <w:rsid w:val="00574EB3"/>
    <w:rsid w:val="00576240"/>
    <w:rsid w:val="00580671"/>
    <w:rsid w:val="0058085F"/>
    <w:rsid w:val="005809DC"/>
    <w:rsid w:val="00581B04"/>
    <w:rsid w:val="00582DD8"/>
    <w:rsid w:val="005831AA"/>
    <w:rsid w:val="005838A0"/>
    <w:rsid w:val="00586E92"/>
    <w:rsid w:val="00587F32"/>
    <w:rsid w:val="00592F89"/>
    <w:rsid w:val="00594681"/>
    <w:rsid w:val="00595DB3"/>
    <w:rsid w:val="005978E5"/>
    <w:rsid w:val="005A00FE"/>
    <w:rsid w:val="005A1C64"/>
    <w:rsid w:val="005A268A"/>
    <w:rsid w:val="005A3490"/>
    <w:rsid w:val="005A367F"/>
    <w:rsid w:val="005A3805"/>
    <w:rsid w:val="005A3861"/>
    <w:rsid w:val="005A3943"/>
    <w:rsid w:val="005A474F"/>
    <w:rsid w:val="005A4BBD"/>
    <w:rsid w:val="005A4BD5"/>
    <w:rsid w:val="005A5449"/>
    <w:rsid w:val="005A5785"/>
    <w:rsid w:val="005A58E2"/>
    <w:rsid w:val="005A67B1"/>
    <w:rsid w:val="005A6A82"/>
    <w:rsid w:val="005A7245"/>
    <w:rsid w:val="005B0994"/>
    <w:rsid w:val="005B28AD"/>
    <w:rsid w:val="005B7231"/>
    <w:rsid w:val="005B78D2"/>
    <w:rsid w:val="005B79BD"/>
    <w:rsid w:val="005B7D38"/>
    <w:rsid w:val="005BC462"/>
    <w:rsid w:val="005C0DD2"/>
    <w:rsid w:val="005C1F89"/>
    <w:rsid w:val="005C1FBE"/>
    <w:rsid w:val="005C323B"/>
    <w:rsid w:val="005C3650"/>
    <w:rsid w:val="005C45D1"/>
    <w:rsid w:val="005C45E4"/>
    <w:rsid w:val="005C493F"/>
    <w:rsid w:val="005C50B0"/>
    <w:rsid w:val="005C59A8"/>
    <w:rsid w:val="005C6223"/>
    <w:rsid w:val="005C6737"/>
    <w:rsid w:val="005C7928"/>
    <w:rsid w:val="005C79AF"/>
    <w:rsid w:val="005D0BB7"/>
    <w:rsid w:val="005D0DC2"/>
    <w:rsid w:val="005D1A69"/>
    <w:rsid w:val="005D1EA8"/>
    <w:rsid w:val="005D243C"/>
    <w:rsid w:val="005D33FC"/>
    <w:rsid w:val="005D3C75"/>
    <w:rsid w:val="005D463B"/>
    <w:rsid w:val="005D48C6"/>
    <w:rsid w:val="005D7A6E"/>
    <w:rsid w:val="005E1D43"/>
    <w:rsid w:val="005E1F46"/>
    <w:rsid w:val="005E20F3"/>
    <w:rsid w:val="005E415C"/>
    <w:rsid w:val="005E4FCC"/>
    <w:rsid w:val="005E5D33"/>
    <w:rsid w:val="005E61A5"/>
    <w:rsid w:val="005E6819"/>
    <w:rsid w:val="005E6AC5"/>
    <w:rsid w:val="005E74B6"/>
    <w:rsid w:val="005E7D26"/>
    <w:rsid w:val="005F1638"/>
    <w:rsid w:val="005F2B25"/>
    <w:rsid w:val="005F455C"/>
    <w:rsid w:val="005F53E9"/>
    <w:rsid w:val="005F57EB"/>
    <w:rsid w:val="005F691E"/>
    <w:rsid w:val="005F7841"/>
    <w:rsid w:val="0060407E"/>
    <w:rsid w:val="00604806"/>
    <w:rsid w:val="00604943"/>
    <w:rsid w:val="006056DD"/>
    <w:rsid w:val="0060585B"/>
    <w:rsid w:val="006059B6"/>
    <w:rsid w:val="00605E61"/>
    <w:rsid w:val="00606210"/>
    <w:rsid w:val="0060656D"/>
    <w:rsid w:val="00606767"/>
    <w:rsid w:val="00606E21"/>
    <w:rsid w:val="00607344"/>
    <w:rsid w:val="006073CE"/>
    <w:rsid w:val="006079AC"/>
    <w:rsid w:val="00607F14"/>
    <w:rsid w:val="00610B7F"/>
    <w:rsid w:val="00613187"/>
    <w:rsid w:val="0061332E"/>
    <w:rsid w:val="006155DD"/>
    <w:rsid w:val="006159A8"/>
    <w:rsid w:val="00617F95"/>
    <w:rsid w:val="006207C4"/>
    <w:rsid w:val="0062406A"/>
    <w:rsid w:val="0062698C"/>
    <w:rsid w:val="00626D0A"/>
    <w:rsid w:val="00626E1C"/>
    <w:rsid w:val="00627708"/>
    <w:rsid w:val="00631871"/>
    <w:rsid w:val="00631D44"/>
    <w:rsid w:val="0063312D"/>
    <w:rsid w:val="00634405"/>
    <w:rsid w:val="006351A1"/>
    <w:rsid w:val="006364B3"/>
    <w:rsid w:val="00637042"/>
    <w:rsid w:val="0063726D"/>
    <w:rsid w:val="006412B8"/>
    <w:rsid w:val="00642886"/>
    <w:rsid w:val="00642BD9"/>
    <w:rsid w:val="006432FE"/>
    <w:rsid w:val="00643ABA"/>
    <w:rsid w:val="00643CA5"/>
    <w:rsid w:val="00644CB9"/>
    <w:rsid w:val="0064677F"/>
    <w:rsid w:val="00647807"/>
    <w:rsid w:val="00650FD0"/>
    <w:rsid w:val="006510E3"/>
    <w:rsid w:val="006518BB"/>
    <w:rsid w:val="00653A24"/>
    <w:rsid w:val="0065691C"/>
    <w:rsid w:val="00656B53"/>
    <w:rsid w:val="00657309"/>
    <w:rsid w:val="006602CE"/>
    <w:rsid w:val="00660532"/>
    <w:rsid w:val="00661094"/>
    <w:rsid w:val="00664A52"/>
    <w:rsid w:val="00665042"/>
    <w:rsid w:val="006655F4"/>
    <w:rsid w:val="00672D95"/>
    <w:rsid w:val="00672E7C"/>
    <w:rsid w:val="00673036"/>
    <w:rsid w:val="006737FB"/>
    <w:rsid w:val="00674A9E"/>
    <w:rsid w:val="00674F43"/>
    <w:rsid w:val="00677D1A"/>
    <w:rsid w:val="00677DA9"/>
    <w:rsid w:val="00682B7D"/>
    <w:rsid w:val="00682D00"/>
    <w:rsid w:val="006839C7"/>
    <w:rsid w:val="00684119"/>
    <w:rsid w:val="00684AF6"/>
    <w:rsid w:val="00684B5B"/>
    <w:rsid w:val="00685937"/>
    <w:rsid w:val="00685C30"/>
    <w:rsid w:val="00690BC7"/>
    <w:rsid w:val="00690DC7"/>
    <w:rsid w:val="0069197A"/>
    <w:rsid w:val="00691CA4"/>
    <w:rsid w:val="00693674"/>
    <w:rsid w:val="00693EF7"/>
    <w:rsid w:val="00694599"/>
    <w:rsid w:val="006979C3"/>
    <w:rsid w:val="006A027B"/>
    <w:rsid w:val="006A1030"/>
    <w:rsid w:val="006A179D"/>
    <w:rsid w:val="006A290A"/>
    <w:rsid w:val="006A2F37"/>
    <w:rsid w:val="006A46F9"/>
    <w:rsid w:val="006A4C9B"/>
    <w:rsid w:val="006A69B5"/>
    <w:rsid w:val="006A6CB8"/>
    <w:rsid w:val="006A6DE4"/>
    <w:rsid w:val="006A7473"/>
    <w:rsid w:val="006B186D"/>
    <w:rsid w:val="006B2398"/>
    <w:rsid w:val="006B2BED"/>
    <w:rsid w:val="006B353F"/>
    <w:rsid w:val="006B5EFD"/>
    <w:rsid w:val="006C02CB"/>
    <w:rsid w:val="006C0B57"/>
    <w:rsid w:val="006C13AB"/>
    <w:rsid w:val="006C1A07"/>
    <w:rsid w:val="006C2BE8"/>
    <w:rsid w:val="006C2C9C"/>
    <w:rsid w:val="006C52D2"/>
    <w:rsid w:val="006C53B4"/>
    <w:rsid w:val="006C5506"/>
    <w:rsid w:val="006D02D4"/>
    <w:rsid w:val="006D163F"/>
    <w:rsid w:val="006D1CD3"/>
    <w:rsid w:val="006D2DF2"/>
    <w:rsid w:val="006D39B6"/>
    <w:rsid w:val="006D6268"/>
    <w:rsid w:val="006E0851"/>
    <w:rsid w:val="006E2328"/>
    <w:rsid w:val="006E28BC"/>
    <w:rsid w:val="006E3845"/>
    <w:rsid w:val="006E4EC8"/>
    <w:rsid w:val="006E5051"/>
    <w:rsid w:val="006E5B08"/>
    <w:rsid w:val="006E7C8B"/>
    <w:rsid w:val="006F0D95"/>
    <w:rsid w:val="006F15D1"/>
    <w:rsid w:val="006F2ACC"/>
    <w:rsid w:val="006F4DDC"/>
    <w:rsid w:val="006F5829"/>
    <w:rsid w:val="006F654F"/>
    <w:rsid w:val="006F732D"/>
    <w:rsid w:val="006F7A1D"/>
    <w:rsid w:val="0070023B"/>
    <w:rsid w:val="0070025B"/>
    <w:rsid w:val="00700A32"/>
    <w:rsid w:val="007023BA"/>
    <w:rsid w:val="007040FA"/>
    <w:rsid w:val="00704313"/>
    <w:rsid w:val="00705626"/>
    <w:rsid w:val="007059C1"/>
    <w:rsid w:val="007079ED"/>
    <w:rsid w:val="00710DFD"/>
    <w:rsid w:val="00710E10"/>
    <w:rsid w:val="00711006"/>
    <w:rsid w:val="0071160D"/>
    <w:rsid w:val="00713035"/>
    <w:rsid w:val="00713227"/>
    <w:rsid w:val="00714A59"/>
    <w:rsid w:val="00714B62"/>
    <w:rsid w:val="00714D36"/>
    <w:rsid w:val="0071733F"/>
    <w:rsid w:val="0072139C"/>
    <w:rsid w:val="00721DD9"/>
    <w:rsid w:val="00722B91"/>
    <w:rsid w:val="00722C47"/>
    <w:rsid w:val="007247F4"/>
    <w:rsid w:val="00724CCB"/>
    <w:rsid w:val="0072506F"/>
    <w:rsid w:val="0072541F"/>
    <w:rsid w:val="007256F7"/>
    <w:rsid w:val="00730BFC"/>
    <w:rsid w:val="00730C03"/>
    <w:rsid w:val="00731107"/>
    <w:rsid w:val="0073162E"/>
    <w:rsid w:val="00731829"/>
    <w:rsid w:val="007323BA"/>
    <w:rsid w:val="00732C73"/>
    <w:rsid w:val="0073390C"/>
    <w:rsid w:val="00733C77"/>
    <w:rsid w:val="00734BA8"/>
    <w:rsid w:val="00734E71"/>
    <w:rsid w:val="007356CA"/>
    <w:rsid w:val="00736A34"/>
    <w:rsid w:val="00740295"/>
    <w:rsid w:val="0074041C"/>
    <w:rsid w:val="00740C44"/>
    <w:rsid w:val="00740EED"/>
    <w:rsid w:val="00741730"/>
    <w:rsid w:val="00741C0D"/>
    <w:rsid w:val="00742D1F"/>
    <w:rsid w:val="007460A5"/>
    <w:rsid w:val="0074681E"/>
    <w:rsid w:val="007468ED"/>
    <w:rsid w:val="00746A14"/>
    <w:rsid w:val="00746ACA"/>
    <w:rsid w:val="007472C4"/>
    <w:rsid w:val="00747EB9"/>
    <w:rsid w:val="00750293"/>
    <w:rsid w:val="00750E71"/>
    <w:rsid w:val="00751E31"/>
    <w:rsid w:val="00753772"/>
    <w:rsid w:val="00753FB3"/>
    <w:rsid w:val="00754341"/>
    <w:rsid w:val="0075491A"/>
    <w:rsid w:val="0075523E"/>
    <w:rsid w:val="007577CE"/>
    <w:rsid w:val="00757831"/>
    <w:rsid w:val="00760CBA"/>
    <w:rsid w:val="00761035"/>
    <w:rsid w:val="00761252"/>
    <w:rsid w:val="0076187A"/>
    <w:rsid w:val="00762A5D"/>
    <w:rsid w:val="00762ACD"/>
    <w:rsid w:val="00763488"/>
    <w:rsid w:val="0076409B"/>
    <w:rsid w:val="00764365"/>
    <w:rsid w:val="00765E46"/>
    <w:rsid w:val="00766130"/>
    <w:rsid w:val="007668BA"/>
    <w:rsid w:val="007675FA"/>
    <w:rsid w:val="00767A98"/>
    <w:rsid w:val="00770DFB"/>
    <w:rsid w:val="007728F3"/>
    <w:rsid w:val="00772982"/>
    <w:rsid w:val="00772D1D"/>
    <w:rsid w:val="007740BF"/>
    <w:rsid w:val="0077420C"/>
    <w:rsid w:val="0077560A"/>
    <w:rsid w:val="007779ED"/>
    <w:rsid w:val="00781453"/>
    <w:rsid w:val="00781855"/>
    <w:rsid w:val="00781944"/>
    <w:rsid w:val="00781F0F"/>
    <w:rsid w:val="00781FB0"/>
    <w:rsid w:val="007832F6"/>
    <w:rsid w:val="007906CB"/>
    <w:rsid w:val="00791B13"/>
    <w:rsid w:val="00792B0C"/>
    <w:rsid w:val="00792EE9"/>
    <w:rsid w:val="0079367A"/>
    <w:rsid w:val="007938C6"/>
    <w:rsid w:val="00794738"/>
    <w:rsid w:val="00795243"/>
    <w:rsid w:val="007958D2"/>
    <w:rsid w:val="007A0433"/>
    <w:rsid w:val="007A0E98"/>
    <w:rsid w:val="007A168C"/>
    <w:rsid w:val="007A1E6C"/>
    <w:rsid w:val="007A22C9"/>
    <w:rsid w:val="007A2793"/>
    <w:rsid w:val="007A2A0D"/>
    <w:rsid w:val="007A3349"/>
    <w:rsid w:val="007A619E"/>
    <w:rsid w:val="007B1798"/>
    <w:rsid w:val="007B3F5E"/>
    <w:rsid w:val="007B4E74"/>
    <w:rsid w:val="007B62EF"/>
    <w:rsid w:val="007C0233"/>
    <w:rsid w:val="007C1184"/>
    <w:rsid w:val="007C11CA"/>
    <w:rsid w:val="007C1B42"/>
    <w:rsid w:val="007C2EE8"/>
    <w:rsid w:val="007C3DCE"/>
    <w:rsid w:val="007C47BD"/>
    <w:rsid w:val="007C628D"/>
    <w:rsid w:val="007C75CF"/>
    <w:rsid w:val="007C7E0A"/>
    <w:rsid w:val="007D2BED"/>
    <w:rsid w:val="007D32B9"/>
    <w:rsid w:val="007D6510"/>
    <w:rsid w:val="007D6DB0"/>
    <w:rsid w:val="007D6F98"/>
    <w:rsid w:val="007D70C3"/>
    <w:rsid w:val="007D71E0"/>
    <w:rsid w:val="007D7BA7"/>
    <w:rsid w:val="007D7C56"/>
    <w:rsid w:val="007E0F71"/>
    <w:rsid w:val="007E255F"/>
    <w:rsid w:val="007E3A5A"/>
    <w:rsid w:val="007E4211"/>
    <w:rsid w:val="007E467A"/>
    <w:rsid w:val="007E5E1A"/>
    <w:rsid w:val="007F03E1"/>
    <w:rsid w:val="007F1F00"/>
    <w:rsid w:val="007F2749"/>
    <w:rsid w:val="007F3D10"/>
    <w:rsid w:val="007F4427"/>
    <w:rsid w:val="007F5643"/>
    <w:rsid w:val="0080238D"/>
    <w:rsid w:val="00802B34"/>
    <w:rsid w:val="0080428E"/>
    <w:rsid w:val="00805BD9"/>
    <w:rsid w:val="008061F9"/>
    <w:rsid w:val="008074CC"/>
    <w:rsid w:val="00810A54"/>
    <w:rsid w:val="00811D80"/>
    <w:rsid w:val="0081232A"/>
    <w:rsid w:val="00812CC5"/>
    <w:rsid w:val="0081500E"/>
    <w:rsid w:val="0081590B"/>
    <w:rsid w:val="008159E5"/>
    <w:rsid w:val="00815E62"/>
    <w:rsid w:val="00815EA3"/>
    <w:rsid w:val="008178AA"/>
    <w:rsid w:val="00820B97"/>
    <w:rsid w:val="008227E2"/>
    <w:rsid w:val="00823419"/>
    <w:rsid w:val="00825FA9"/>
    <w:rsid w:val="0083085C"/>
    <w:rsid w:val="00830CC5"/>
    <w:rsid w:val="00831688"/>
    <w:rsid w:val="00832384"/>
    <w:rsid w:val="00832CA4"/>
    <w:rsid w:val="00833972"/>
    <w:rsid w:val="00835045"/>
    <w:rsid w:val="00835B81"/>
    <w:rsid w:val="00835BB4"/>
    <w:rsid w:val="00837523"/>
    <w:rsid w:val="00837C10"/>
    <w:rsid w:val="00840513"/>
    <w:rsid w:val="008426CD"/>
    <w:rsid w:val="00843844"/>
    <w:rsid w:val="0084428E"/>
    <w:rsid w:val="0084474D"/>
    <w:rsid w:val="00844BB1"/>
    <w:rsid w:val="00845ECB"/>
    <w:rsid w:val="0084791D"/>
    <w:rsid w:val="008500E2"/>
    <w:rsid w:val="00850794"/>
    <w:rsid w:val="00850AE5"/>
    <w:rsid w:val="00850D68"/>
    <w:rsid w:val="00852132"/>
    <w:rsid w:val="00852374"/>
    <w:rsid w:val="00852C04"/>
    <w:rsid w:val="00853082"/>
    <w:rsid w:val="0085424D"/>
    <w:rsid w:val="008546FA"/>
    <w:rsid w:val="00854784"/>
    <w:rsid w:val="00855715"/>
    <w:rsid w:val="008559F7"/>
    <w:rsid w:val="00855A44"/>
    <w:rsid w:val="0086019E"/>
    <w:rsid w:val="0086090B"/>
    <w:rsid w:val="00861C2E"/>
    <w:rsid w:val="00862298"/>
    <w:rsid w:val="008624B8"/>
    <w:rsid w:val="0086255C"/>
    <w:rsid w:val="008638ED"/>
    <w:rsid w:val="00863D57"/>
    <w:rsid w:val="00864600"/>
    <w:rsid w:val="00864EDF"/>
    <w:rsid w:val="00866F49"/>
    <w:rsid w:val="008675AE"/>
    <w:rsid w:val="008704E5"/>
    <w:rsid w:val="00871967"/>
    <w:rsid w:val="0087255C"/>
    <w:rsid w:val="0087427C"/>
    <w:rsid w:val="0087453A"/>
    <w:rsid w:val="00874A3B"/>
    <w:rsid w:val="00875CE8"/>
    <w:rsid w:val="00876965"/>
    <w:rsid w:val="00880833"/>
    <w:rsid w:val="00882B26"/>
    <w:rsid w:val="00882CD1"/>
    <w:rsid w:val="008835CF"/>
    <w:rsid w:val="00883707"/>
    <w:rsid w:val="00883C0D"/>
    <w:rsid w:val="0088402B"/>
    <w:rsid w:val="00884237"/>
    <w:rsid w:val="00884272"/>
    <w:rsid w:val="00884F34"/>
    <w:rsid w:val="00886513"/>
    <w:rsid w:val="008872E2"/>
    <w:rsid w:val="008910BC"/>
    <w:rsid w:val="008912D1"/>
    <w:rsid w:val="0089215C"/>
    <w:rsid w:val="0089386F"/>
    <w:rsid w:val="008938FF"/>
    <w:rsid w:val="00895067"/>
    <w:rsid w:val="00896B7F"/>
    <w:rsid w:val="00896CEC"/>
    <w:rsid w:val="00896F7C"/>
    <w:rsid w:val="00897065"/>
    <w:rsid w:val="00897657"/>
    <w:rsid w:val="008A02D4"/>
    <w:rsid w:val="008A03E8"/>
    <w:rsid w:val="008A0641"/>
    <w:rsid w:val="008A21A1"/>
    <w:rsid w:val="008A2C92"/>
    <w:rsid w:val="008A3423"/>
    <w:rsid w:val="008A3899"/>
    <w:rsid w:val="008A38AD"/>
    <w:rsid w:val="008A3A07"/>
    <w:rsid w:val="008A50EC"/>
    <w:rsid w:val="008A55FD"/>
    <w:rsid w:val="008A570A"/>
    <w:rsid w:val="008A604E"/>
    <w:rsid w:val="008A78A3"/>
    <w:rsid w:val="008B0021"/>
    <w:rsid w:val="008B09C7"/>
    <w:rsid w:val="008B0C04"/>
    <w:rsid w:val="008B0CEE"/>
    <w:rsid w:val="008B3A07"/>
    <w:rsid w:val="008B5AEF"/>
    <w:rsid w:val="008B63FE"/>
    <w:rsid w:val="008B74D9"/>
    <w:rsid w:val="008B7964"/>
    <w:rsid w:val="008C3BE0"/>
    <w:rsid w:val="008C4254"/>
    <w:rsid w:val="008C45E5"/>
    <w:rsid w:val="008C5CFA"/>
    <w:rsid w:val="008C7E8F"/>
    <w:rsid w:val="008D04C5"/>
    <w:rsid w:val="008D0E09"/>
    <w:rsid w:val="008D15C1"/>
    <w:rsid w:val="008D2F65"/>
    <w:rsid w:val="008D3DC6"/>
    <w:rsid w:val="008D6E07"/>
    <w:rsid w:val="008D7F1A"/>
    <w:rsid w:val="008E042D"/>
    <w:rsid w:val="008E39A8"/>
    <w:rsid w:val="008E430A"/>
    <w:rsid w:val="008E516B"/>
    <w:rsid w:val="008E679A"/>
    <w:rsid w:val="008E6EB1"/>
    <w:rsid w:val="008F054E"/>
    <w:rsid w:val="008F06B2"/>
    <w:rsid w:val="008F1166"/>
    <w:rsid w:val="008F27D4"/>
    <w:rsid w:val="008F2912"/>
    <w:rsid w:val="008F3366"/>
    <w:rsid w:val="008F3B53"/>
    <w:rsid w:val="008F47A9"/>
    <w:rsid w:val="008F4BD8"/>
    <w:rsid w:val="008F73E8"/>
    <w:rsid w:val="00900413"/>
    <w:rsid w:val="00901072"/>
    <w:rsid w:val="00901E32"/>
    <w:rsid w:val="0090219B"/>
    <w:rsid w:val="009023A9"/>
    <w:rsid w:val="00904A06"/>
    <w:rsid w:val="00905A3B"/>
    <w:rsid w:val="00905FB5"/>
    <w:rsid w:val="00906448"/>
    <w:rsid w:val="00907328"/>
    <w:rsid w:val="0090754B"/>
    <w:rsid w:val="009078BB"/>
    <w:rsid w:val="00910CB8"/>
    <w:rsid w:val="009115A2"/>
    <w:rsid w:val="0091184F"/>
    <w:rsid w:val="009118AA"/>
    <w:rsid w:val="009119CA"/>
    <w:rsid w:val="00915264"/>
    <w:rsid w:val="00917E78"/>
    <w:rsid w:val="00923B6A"/>
    <w:rsid w:val="0092432F"/>
    <w:rsid w:val="0092496C"/>
    <w:rsid w:val="00924E6A"/>
    <w:rsid w:val="009252A8"/>
    <w:rsid w:val="00925FBD"/>
    <w:rsid w:val="00927478"/>
    <w:rsid w:val="009276BE"/>
    <w:rsid w:val="00927CEC"/>
    <w:rsid w:val="00930FF6"/>
    <w:rsid w:val="00931191"/>
    <w:rsid w:val="009311EA"/>
    <w:rsid w:val="00931402"/>
    <w:rsid w:val="0093170C"/>
    <w:rsid w:val="00931E3D"/>
    <w:rsid w:val="00932A43"/>
    <w:rsid w:val="009340C6"/>
    <w:rsid w:val="0093445F"/>
    <w:rsid w:val="00935795"/>
    <w:rsid w:val="009363EC"/>
    <w:rsid w:val="00936B00"/>
    <w:rsid w:val="0093701B"/>
    <w:rsid w:val="00937267"/>
    <w:rsid w:val="00940A7B"/>
    <w:rsid w:val="00941E38"/>
    <w:rsid w:val="00942BB7"/>
    <w:rsid w:val="009439B4"/>
    <w:rsid w:val="009454F0"/>
    <w:rsid w:val="009457CE"/>
    <w:rsid w:val="00946635"/>
    <w:rsid w:val="00960506"/>
    <w:rsid w:val="0096076B"/>
    <w:rsid w:val="00960787"/>
    <w:rsid w:val="00963F2A"/>
    <w:rsid w:val="0096539D"/>
    <w:rsid w:val="009668E2"/>
    <w:rsid w:val="00966962"/>
    <w:rsid w:val="009702EC"/>
    <w:rsid w:val="00971837"/>
    <w:rsid w:val="009725C7"/>
    <w:rsid w:val="00974D48"/>
    <w:rsid w:val="00976BF8"/>
    <w:rsid w:val="009774C6"/>
    <w:rsid w:val="009775BA"/>
    <w:rsid w:val="00980D76"/>
    <w:rsid w:val="00982536"/>
    <w:rsid w:val="009843D7"/>
    <w:rsid w:val="00984447"/>
    <w:rsid w:val="00985293"/>
    <w:rsid w:val="00985DF1"/>
    <w:rsid w:val="00986230"/>
    <w:rsid w:val="009874DC"/>
    <w:rsid w:val="00990A8A"/>
    <w:rsid w:val="00991834"/>
    <w:rsid w:val="00993484"/>
    <w:rsid w:val="00995497"/>
    <w:rsid w:val="00997CE8"/>
    <w:rsid w:val="009A230F"/>
    <w:rsid w:val="009A2324"/>
    <w:rsid w:val="009A244E"/>
    <w:rsid w:val="009A3669"/>
    <w:rsid w:val="009A518F"/>
    <w:rsid w:val="009A6D5A"/>
    <w:rsid w:val="009B04A4"/>
    <w:rsid w:val="009B0718"/>
    <w:rsid w:val="009B091A"/>
    <w:rsid w:val="009B1E2F"/>
    <w:rsid w:val="009B30EC"/>
    <w:rsid w:val="009B4304"/>
    <w:rsid w:val="009B4568"/>
    <w:rsid w:val="009B54CB"/>
    <w:rsid w:val="009B5DE4"/>
    <w:rsid w:val="009B6751"/>
    <w:rsid w:val="009B6DDA"/>
    <w:rsid w:val="009B79E7"/>
    <w:rsid w:val="009C0AA9"/>
    <w:rsid w:val="009C223B"/>
    <w:rsid w:val="009C32D2"/>
    <w:rsid w:val="009C53AD"/>
    <w:rsid w:val="009C5C89"/>
    <w:rsid w:val="009C6B73"/>
    <w:rsid w:val="009C77E3"/>
    <w:rsid w:val="009C7AFB"/>
    <w:rsid w:val="009C7EA4"/>
    <w:rsid w:val="009D1941"/>
    <w:rsid w:val="009D44F1"/>
    <w:rsid w:val="009D500C"/>
    <w:rsid w:val="009D5718"/>
    <w:rsid w:val="009D6CDE"/>
    <w:rsid w:val="009D7FB0"/>
    <w:rsid w:val="009E04EF"/>
    <w:rsid w:val="009E0DEB"/>
    <w:rsid w:val="009E0E61"/>
    <w:rsid w:val="009E40C6"/>
    <w:rsid w:val="009E4FA3"/>
    <w:rsid w:val="009E6618"/>
    <w:rsid w:val="009E6D59"/>
    <w:rsid w:val="009E6EB4"/>
    <w:rsid w:val="009F055F"/>
    <w:rsid w:val="009F171C"/>
    <w:rsid w:val="009F2388"/>
    <w:rsid w:val="009F24E1"/>
    <w:rsid w:val="009F251E"/>
    <w:rsid w:val="009F4174"/>
    <w:rsid w:val="009F7F52"/>
    <w:rsid w:val="00A003BF"/>
    <w:rsid w:val="00A00C73"/>
    <w:rsid w:val="00A0239D"/>
    <w:rsid w:val="00A03120"/>
    <w:rsid w:val="00A03125"/>
    <w:rsid w:val="00A04FA1"/>
    <w:rsid w:val="00A05E78"/>
    <w:rsid w:val="00A0725A"/>
    <w:rsid w:val="00A11290"/>
    <w:rsid w:val="00A113AE"/>
    <w:rsid w:val="00A1347B"/>
    <w:rsid w:val="00A134C2"/>
    <w:rsid w:val="00A147AE"/>
    <w:rsid w:val="00A161B2"/>
    <w:rsid w:val="00A21558"/>
    <w:rsid w:val="00A226A8"/>
    <w:rsid w:val="00A22DE9"/>
    <w:rsid w:val="00A22F42"/>
    <w:rsid w:val="00A237C8"/>
    <w:rsid w:val="00A24ED4"/>
    <w:rsid w:val="00A256BA"/>
    <w:rsid w:val="00A25864"/>
    <w:rsid w:val="00A25A15"/>
    <w:rsid w:val="00A31D4E"/>
    <w:rsid w:val="00A34F16"/>
    <w:rsid w:val="00A3519C"/>
    <w:rsid w:val="00A40C24"/>
    <w:rsid w:val="00A41ABF"/>
    <w:rsid w:val="00A42601"/>
    <w:rsid w:val="00A4390B"/>
    <w:rsid w:val="00A45116"/>
    <w:rsid w:val="00A469C6"/>
    <w:rsid w:val="00A46C38"/>
    <w:rsid w:val="00A50D32"/>
    <w:rsid w:val="00A52D7E"/>
    <w:rsid w:val="00A5394F"/>
    <w:rsid w:val="00A53C02"/>
    <w:rsid w:val="00A53E33"/>
    <w:rsid w:val="00A54DB9"/>
    <w:rsid w:val="00A56711"/>
    <w:rsid w:val="00A604A1"/>
    <w:rsid w:val="00A614A0"/>
    <w:rsid w:val="00A621B5"/>
    <w:rsid w:val="00A64552"/>
    <w:rsid w:val="00A64B81"/>
    <w:rsid w:val="00A65418"/>
    <w:rsid w:val="00A65ACF"/>
    <w:rsid w:val="00A65F85"/>
    <w:rsid w:val="00A66A9C"/>
    <w:rsid w:val="00A705D3"/>
    <w:rsid w:val="00A7168E"/>
    <w:rsid w:val="00A72319"/>
    <w:rsid w:val="00A7379D"/>
    <w:rsid w:val="00A74C6E"/>
    <w:rsid w:val="00A7544C"/>
    <w:rsid w:val="00A76109"/>
    <w:rsid w:val="00A77083"/>
    <w:rsid w:val="00A771BA"/>
    <w:rsid w:val="00A777A9"/>
    <w:rsid w:val="00A77914"/>
    <w:rsid w:val="00A80065"/>
    <w:rsid w:val="00A80202"/>
    <w:rsid w:val="00A80A61"/>
    <w:rsid w:val="00A824B8"/>
    <w:rsid w:val="00A8315B"/>
    <w:rsid w:val="00A85A57"/>
    <w:rsid w:val="00A86271"/>
    <w:rsid w:val="00A8718B"/>
    <w:rsid w:val="00A87BA2"/>
    <w:rsid w:val="00A87D98"/>
    <w:rsid w:val="00A90F31"/>
    <w:rsid w:val="00A91131"/>
    <w:rsid w:val="00A919B1"/>
    <w:rsid w:val="00A927ED"/>
    <w:rsid w:val="00A93363"/>
    <w:rsid w:val="00A93585"/>
    <w:rsid w:val="00A94088"/>
    <w:rsid w:val="00A95329"/>
    <w:rsid w:val="00A953A4"/>
    <w:rsid w:val="00A959A2"/>
    <w:rsid w:val="00A95BE9"/>
    <w:rsid w:val="00A96052"/>
    <w:rsid w:val="00A96792"/>
    <w:rsid w:val="00AA0B58"/>
    <w:rsid w:val="00AA188F"/>
    <w:rsid w:val="00AA196A"/>
    <w:rsid w:val="00AA2B8E"/>
    <w:rsid w:val="00AA42FA"/>
    <w:rsid w:val="00AA4DC3"/>
    <w:rsid w:val="00AA5110"/>
    <w:rsid w:val="00AA55D6"/>
    <w:rsid w:val="00AA6020"/>
    <w:rsid w:val="00AA6162"/>
    <w:rsid w:val="00AA7BFA"/>
    <w:rsid w:val="00AB07B6"/>
    <w:rsid w:val="00AB0B09"/>
    <w:rsid w:val="00AB0EF5"/>
    <w:rsid w:val="00AB31B9"/>
    <w:rsid w:val="00AB33E7"/>
    <w:rsid w:val="00AB36C6"/>
    <w:rsid w:val="00AB423D"/>
    <w:rsid w:val="00AB4840"/>
    <w:rsid w:val="00AB4B71"/>
    <w:rsid w:val="00AC0262"/>
    <w:rsid w:val="00AC11F1"/>
    <w:rsid w:val="00AC4674"/>
    <w:rsid w:val="00AC547B"/>
    <w:rsid w:val="00AC566A"/>
    <w:rsid w:val="00AC6199"/>
    <w:rsid w:val="00AC6C0C"/>
    <w:rsid w:val="00AD35E9"/>
    <w:rsid w:val="00AD3DF7"/>
    <w:rsid w:val="00AE0278"/>
    <w:rsid w:val="00AE0FA0"/>
    <w:rsid w:val="00AE25E0"/>
    <w:rsid w:val="00AE2CD1"/>
    <w:rsid w:val="00AE2EC7"/>
    <w:rsid w:val="00AE2EFD"/>
    <w:rsid w:val="00AE3C52"/>
    <w:rsid w:val="00AE40B2"/>
    <w:rsid w:val="00AF0750"/>
    <w:rsid w:val="00AF0B89"/>
    <w:rsid w:val="00AF1780"/>
    <w:rsid w:val="00AF20A5"/>
    <w:rsid w:val="00AF2CBE"/>
    <w:rsid w:val="00AF4254"/>
    <w:rsid w:val="00AF4623"/>
    <w:rsid w:val="00AF5F5D"/>
    <w:rsid w:val="00AF6164"/>
    <w:rsid w:val="00AF6C65"/>
    <w:rsid w:val="00AF7770"/>
    <w:rsid w:val="00B01544"/>
    <w:rsid w:val="00B0374A"/>
    <w:rsid w:val="00B03942"/>
    <w:rsid w:val="00B04649"/>
    <w:rsid w:val="00B04BC4"/>
    <w:rsid w:val="00B04E8E"/>
    <w:rsid w:val="00B05818"/>
    <w:rsid w:val="00B05862"/>
    <w:rsid w:val="00B073D5"/>
    <w:rsid w:val="00B07A7D"/>
    <w:rsid w:val="00B10748"/>
    <w:rsid w:val="00B10797"/>
    <w:rsid w:val="00B10CDB"/>
    <w:rsid w:val="00B10FF1"/>
    <w:rsid w:val="00B110AE"/>
    <w:rsid w:val="00B11215"/>
    <w:rsid w:val="00B120F2"/>
    <w:rsid w:val="00B12F65"/>
    <w:rsid w:val="00B13D1D"/>
    <w:rsid w:val="00B13DC7"/>
    <w:rsid w:val="00B158A4"/>
    <w:rsid w:val="00B20A48"/>
    <w:rsid w:val="00B20C9F"/>
    <w:rsid w:val="00B2369A"/>
    <w:rsid w:val="00B23ECE"/>
    <w:rsid w:val="00B2477B"/>
    <w:rsid w:val="00B24EDA"/>
    <w:rsid w:val="00B2535A"/>
    <w:rsid w:val="00B25D35"/>
    <w:rsid w:val="00B264C0"/>
    <w:rsid w:val="00B26BB3"/>
    <w:rsid w:val="00B26CF4"/>
    <w:rsid w:val="00B277B6"/>
    <w:rsid w:val="00B31778"/>
    <w:rsid w:val="00B31E52"/>
    <w:rsid w:val="00B32AE6"/>
    <w:rsid w:val="00B33F0D"/>
    <w:rsid w:val="00B34AB4"/>
    <w:rsid w:val="00B363D6"/>
    <w:rsid w:val="00B369AD"/>
    <w:rsid w:val="00B37321"/>
    <w:rsid w:val="00B41A4C"/>
    <w:rsid w:val="00B41DDB"/>
    <w:rsid w:val="00B42598"/>
    <w:rsid w:val="00B42739"/>
    <w:rsid w:val="00B428DE"/>
    <w:rsid w:val="00B43376"/>
    <w:rsid w:val="00B437A1"/>
    <w:rsid w:val="00B439D5"/>
    <w:rsid w:val="00B43F2E"/>
    <w:rsid w:val="00B46956"/>
    <w:rsid w:val="00B4729A"/>
    <w:rsid w:val="00B5030E"/>
    <w:rsid w:val="00B513B6"/>
    <w:rsid w:val="00B51BB2"/>
    <w:rsid w:val="00B52AE3"/>
    <w:rsid w:val="00B55046"/>
    <w:rsid w:val="00B550C5"/>
    <w:rsid w:val="00B55678"/>
    <w:rsid w:val="00B5598B"/>
    <w:rsid w:val="00B55A28"/>
    <w:rsid w:val="00B569A9"/>
    <w:rsid w:val="00B57257"/>
    <w:rsid w:val="00B572E9"/>
    <w:rsid w:val="00B57469"/>
    <w:rsid w:val="00B574FB"/>
    <w:rsid w:val="00B57D8D"/>
    <w:rsid w:val="00B6086D"/>
    <w:rsid w:val="00B61AEE"/>
    <w:rsid w:val="00B62BF2"/>
    <w:rsid w:val="00B62DDC"/>
    <w:rsid w:val="00B63094"/>
    <w:rsid w:val="00B63671"/>
    <w:rsid w:val="00B64343"/>
    <w:rsid w:val="00B6455B"/>
    <w:rsid w:val="00B65D91"/>
    <w:rsid w:val="00B6629B"/>
    <w:rsid w:val="00B67F83"/>
    <w:rsid w:val="00B72B05"/>
    <w:rsid w:val="00B732C4"/>
    <w:rsid w:val="00B74037"/>
    <w:rsid w:val="00B752B3"/>
    <w:rsid w:val="00B75740"/>
    <w:rsid w:val="00B75D18"/>
    <w:rsid w:val="00B75D8C"/>
    <w:rsid w:val="00B77E06"/>
    <w:rsid w:val="00B80573"/>
    <w:rsid w:val="00B8069E"/>
    <w:rsid w:val="00B818D4"/>
    <w:rsid w:val="00B82859"/>
    <w:rsid w:val="00B82A5E"/>
    <w:rsid w:val="00B82FC9"/>
    <w:rsid w:val="00B83289"/>
    <w:rsid w:val="00B84439"/>
    <w:rsid w:val="00B84A48"/>
    <w:rsid w:val="00B92327"/>
    <w:rsid w:val="00B92641"/>
    <w:rsid w:val="00B958AD"/>
    <w:rsid w:val="00B96593"/>
    <w:rsid w:val="00B96C81"/>
    <w:rsid w:val="00B97332"/>
    <w:rsid w:val="00BA0622"/>
    <w:rsid w:val="00BA15D5"/>
    <w:rsid w:val="00BA287C"/>
    <w:rsid w:val="00BA3A52"/>
    <w:rsid w:val="00BA578A"/>
    <w:rsid w:val="00BA7533"/>
    <w:rsid w:val="00BA796E"/>
    <w:rsid w:val="00BB17F7"/>
    <w:rsid w:val="00BB36C8"/>
    <w:rsid w:val="00BB3A12"/>
    <w:rsid w:val="00BB7BD5"/>
    <w:rsid w:val="00BC052C"/>
    <w:rsid w:val="00BC0737"/>
    <w:rsid w:val="00BC0D03"/>
    <w:rsid w:val="00BC11E2"/>
    <w:rsid w:val="00BC20A3"/>
    <w:rsid w:val="00BC3819"/>
    <w:rsid w:val="00BC4685"/>
    <w:rsid w:val="00BC4C84"/>
    <w:rsid w:val="00BC5FA9"/>
    <w:rsid w:val="00BD029B"/>
    <w:rsid w:val="00BD02C2"/>
    <w:rsid w:val="00BD17C2"/>
    <w:rsid w:val="00BD212F"/>
    <w:rsid w:val="00BD218E"/>
    <w:rsid w:val="00BD28D2"/>
    <w:rsid w:val="00BD2C85"/>
    <w:rsid w:val="00BD33D7"/>
    <w:rsid w:val="00BD4155"/>
    <w:rsid w:val="00BD4948"/>
    <w:rsid w:val="00BD494B"/>
    <w:rsid w:val="00BD535C"/>
    <w:rsid w:val="00BD591B"/>
    <w:rsid w:val="00BD5C83"/>
    <w:rsid w:val="00BD67AA"/>
    <w:rsid w:val="00BE0E8B"/>
    <w:rsid w:val="00BE139F"/>
    <w:rsid w:val="00BE1B4C"/>
    <w:rsid w:val="00BE205E"/>
    <w:rsid w:val="00BE296C"/>
    <w:rsid w:val="00BE375F"/>
    <w:rsid w:val="00BE38A7"/>
    <w:rsid w:val="00BE3C9D"/>
    <w:rsid w:val="00BE77AD"/>
    <w:rsid w:val="00BF006B"/>
    <w:rsid w:val="00BF061E"/>
    <w:rsid w:val="00BF10EB"/>
    <w:rsid w:val="00BF1B92"/>
    <w:rsid w:val="00BF2CDA"/>
    <w:rsid w:val="00BF4851"/>
    <w:rsid w:val="00BF4BC1"/>
    <w:rsid w:val="00BF4BF7"/>
    <w:rsid w:val="00BF4C28"/>
    <w:rsid w:val="00BF4DA1"/>
    <w:rsid w:val="00BF575A"/>
    <w:rsid w:val="00BF64AF"/>
    <w:rsid w:val="00BF7D7E"/>
    <w:rsid w:val="00C00005"/>
    <w:rsid w:val="00C013BB"/>
    <w:rsid w:val="00C0207E"/>
    <w:rsid w:val="00C03144"/>
    <w:rsid w:val="00C039FA"/>
    <w:rsid w:val="00C0531A"/>
    <w:rsid w:val="00C06212"/>
    <w:rsid w:val="00C0735A"/>
    <w:rsid w:val="00C07D66"/>
    <w:rsid w:val="00C10173"/>
    <w:rsid w:val="00C102CB"/>
    <w:rsid w:val="00C11434"/>
    <w:rsid w:val="00C11753"/>
    <w:rsid w:val="00C1248D"/>
    <w:rsid w:val="00C13DA2"/>
    <w:rsid w:val="00C15037"/>
    <w:rsid w:val="00C157D1"/>
    <w:rsid w:val="00C16009"/>
    <w:rsid w:val="00C17E22"/>
    <w:rsid w:val="00C22838"/>
    <w:rsid w:val="00C230FF"/>
    <w:rsid w:val="00C245AB"/>
    <w:rsid w:val="00C24A06"/>
    <w:rsid w:val="00C24AAB"/>
    <w:rsid w:val="00C25D38"/>
    <w:rsid w:val="00C25FEC"/>
    <w:rsid w:val="00C2617C"/>
    <w:rsid w:val="00C27DBC"/>
    <w:rsid w:val="00C30C5F"/>
    <w:rsid w:val="00C30E18"/>
    <w:rsid w:val="00C31EE8"/>
    <w:rsid w:val="00C32689"/>
    <w:rsid w:val="00C32872"/>
    <w:rsid w:val="00C328B0"/>
    <w:rsid w:val="00C33056"/>
    <w:rsid w:val="00C34754"/>
    <w:rsid w:val="00C35785"/>
    <w:rsid w:val="00C35BDB"/>
    <w:rsid w:val="00C35BDF"/>
    <w:rsid w:val="00C36A82"/>
    <w:rsid w:val="00C36FF5"/>
    <w:rsid w:val="00C36FFC"/>
    <w:rsid w:val="00C36FFD"/>
    <w:rsid w:val="00C40133"/>
    <w:rsid w:val="00C41681"/>
    <w:rsid w:val="00C41A44"/>
    <w:rsid w:val="00C44286"/>
    <w:rsid w:val="00C45FD3"/>
    <w:rsid w:val="00C50115"/>
    <w:rsid w:val="00C52768"/>
    <w:rsid w:val="00C52870"/>
    <w:rsid w:val="00C53556"/>
    <w:rsid w:val="00C54908"/>
    <w:rsid w:val="00C56BB0"/>
    <w:rsid w:val="00C56ED7"/>
    <w:rsid w:val="00C60211"/>
    <w:rsid w:val="00C625E1"/>
    <w:rsid w:val="00C63654"/>
    <w:rsid w:val="00C64F03"/>
    <w:rsid w:val="00C666A0"/>
    <w:rsid w:val="00C66960"/>
    <w:rsid w:val="00C6731B"/>
    <w:rsid w:val="00C700E2"/>
    <w:rsid w:val="00C71559"/>
    <w:rsid w:val="00C719B0"/>
    <w:rsid w:val="00C71E2F"/>
    <w:rsid w:val="00C74210"/>
    <w:rsid w:val="00C743CB"/>
    <w:rsid w:val="00C7454C"/>
    <w:rsid w:val="00C74F82"/>
    <w:rsid w:val="00C75C0E"/>
    <w:rsid w:val="00C771B0"/>
    <w:rsid w:val="00C777EE"/>
    <w:rsid w:val="00C77F65"/>
    <w:rsid w:val="00C80117"/>
    <w:rsid w:val="00C801DE"/>
    <w:rsid w:val="00C80255"/>
    <w:rsid w:val="00C8110B"/>
    <w:rsid w:val="00C811FB"/>
    <w:rsid w:val="00C83E9F"/>
    <w:rsid w:val="00C8442E"/>
    <w:rsid w:val="00C84761"/>
    <w:rsid w:val="00C856CE"/>
    <w:rsid w:val="00C85CD3"/>
    <w:rsid w:val="00C872D7"/>
    <w:rsid w:val="00C87C6B"/>
    <w:rsid w:val="00C87F31"/>
    <w:rsid w:val="00C90A17"/>
    <w:rsid w:val="00C92256"/>
    <w:rsid w:val="00C923CF"/>
    <w:rsid w:val="00C92CD8"/>
    <w:rsid w:val="00C9431E"/>
    <w:rsid w:val="00C947D9"/>
    <w:rsid w:val="00C9492E"/>
    <w:rsid w:val="00CA0507"/>
    <w:rsid w:val="00CA1602"/>
    <w:rsid w:val="00CA3A8B"/>
    <w:rsid w:val="00CA58BA"/>
    <w:rsid w:val="00CA6CC4"/>
    <w:rsid w:val="00CA7EA4"/>
    <w:rsid w:val="00CB0359"/>
    <w:rsid w:val="00CB12BC"/>
    <w:rsid w:val="00CB2890"/>
    <w:rsid w:val="00CB4263"/>
    <w:rsid w:val="00CB4BF3"/>
    <w:rsid w:val="00CB4DDB"/>
    <w:rsid w:val="00CB6D6B"/>
    <w:rsid w:val="00CB75DD"/>
    <w:rsid w:val="00CC0003"/>
    <w:rsid w:val="00CC09D6"/>
    <w:rsid w:val="00CC0F22"/>
    <w:rsid w:val="00CC4E03"/>
    <w:rsid w:val="00CC52E3"/>
    <w:rsid w:val="00CC55E6"/>
    <w:rsid w:val="00CC753E"/>
    <w:rsid w:val="00CD06A6"/>
    <w:rsid w:val="00CD11C7"/>
    <w:rsid w:val="00CD18FC"/>
    <w:rsid w:val="00CD226B"/>
    <w:rsid w:val="00CD2476"/>
    <w:rsid w:val="00CD2ADC"/>
    <w:rsid w:val="00CD3F3A"/>
    <w:rsid w:val="00CD446E"/>
    <w:rsid w:val="00CD5094"/>
    <w:rsid w:val="00CD54BE"/>
    <w:rsid w:val="00CD5983"/>
    <w:rsid w:val="00CD5E04"/>
    <w:rsid w:val="00CD6E70"/>
    <w:rsid w:val="00CE00F0"/>
    <w:rsid w:val="00CE2155"/>
    <w:rsid w:val="00CE2D5C"/>
    <w:rsid w:val="00CE3918"/>
    <w:rsid w:val="00CE39EB"/>
    <w:rsid w:val="00CE3B2F"/>
    <w:rsid w:val="00CE4672"/>
    <w:rsid w:val="00CE48BE"/>
    <w:rsid w:val="00CE64DE"/>
    <w:rsid w:val="00CE7961"/>
    <w:rsid w:val="00CF0F34"/>
    <w:rsid w:val="00CF172B"/>
    <w:rsid w:val="00CF2F89"/>
    <w:rsid w:val="00CF3C04"/>
    <w:rsid w:val="00CF3C0E"/>
    <w:rsid w:val="00CF5762"/>
    <w:rsid w:val="00CF6463"/>
    <w:rsid w:val="00CF75EA"/>
    <w:rsid w:val="00D005AD"/>
    <w:rsid w:val="00D01094"/>
    <w:rsid w:val="00D02495"/>
    <w:rsid w:val="00D02D1D"/>
    <w:rsid w:val="00D042C7"/>
    <w:rsid w:val="00D04CC0"/>
    <w:rsid w:val="00D05BEE"/>
    <w:rsid w:val="00D06267"/>
    <w:rsid w:val="00D07B1A"/>
    <w:rsid w:val="00D10AFC"/>
    <w:rsid w:val="00D140D2"/>
    <w:rsid w:val="00D147E5"/>
    <w:rsid w:val="00D14D8D"/>
    <w:rsid w:val="00D14DDF"/>
    <w:rsid w:val="00D203F5"/>
    <w:rsid w:val="00D20D35"/>
    <w:rsid w:val="00D20FEF"/>
    <w:rsid w:val="00D2123E"/>
    <w:rsid w:val="00D237D6"/>
    <w:rsid w:val="00D23A44"/>
    <w:rsid w:val="00D24E8E"/>
    <w:rsid w:val="00D24F7F"/>
    <w:rsid w:val="00D2541B"/>
    <w:rsid w:val="00D269FD"/>
    <w:rsid w:val="00D27618"/>
    <w:rsid w:val="00D30059"/>
    <w:rsid w:val="00D300FD"/>
    <w:rsid w:val="00D30968"/>
    <w:rsid w:val="00D31A39"/>
    <w:rsid w:val="00D31FAE"/>
    <w:rsid w:val="00D3253F"/>
    <w:rsid w:val="00D32B63"/>
    <w:rsid w:val="00D33726"/>
    <w:rsid w:val="00D3441F"/>
    <w:rsid w:val="00D34543"/>
    <w:rsid w:val="00D34DA8"/>
    <w:rsid w:val="00D3516E"/>
    <w:rsid w:val="00D35199"/>
    <w:rsid w:val="00D368A3"/>
    <w:rsid w:val="00D375FE"/>
    <w:rsid w:val="00D403DF"/>
    <w:rsid w:val="00D40C39"/>
    <w:rsid w:val="00D413C2"/>
    <w:rsid w:val="00D42682"/>
    <w:rsid w:val="00D42801"/>
    <w:rsid w:val="00D43385"/>
    <w:rsid w:val="00D4496D"/>
    <w:rsid w:val="00D44C3B"/>
    <w:rsid w:val="00D44F04"/>
    <w:rsid w:val="00D45C2E"/>
    <w:rsid w:val="00D463E8"/>
    <w:rsid w:val="00D467FF"/>
    <w:rsid w:val="00D47C69"/>
    <w:rsid w:val="00D47C6D"/>
    <w:rsid w:val="00D47DED"/>
    <w:rsid w:val="00D5169C"/>
    <w:rsid w:val="00D52E44"/>
    <w:rsid w:val="00D52FEF"/>
    <w:rsid w:val="00D53054"/>
    <w:rsid w:val="00D577F2"/>
    <w:rsid w:val="00D57D0A"/>
    <w:rsid w:val="00D618D1"/>
    <w:rsid w:val="00D61C23"/>
    <w:rsid w:val="00D62BD1"/>
    <w:rsid w:val="00D6374D"/>
    <w:rsid w:val="00D647E7"/>
    <w:rsid w:val="00D6679E"/>
    <w:rsid w:val="00D6691D"/>
    <w:rsid w:val="00D67BF3"/>
    <w:rsid w:val="00D701FD"/>
    <w:rsid w:val="00D70CDF"/>
    <w:rsid w:val="00D71045"/>
    <w:rsid w:val="00D7158C"/>
    <w:rsid w:val="00D72BD6"/>
    <w:rsid w:val="00D72E32"/>
    <w:rsid w:val="00D733B1"/>
    <w:rsid w:val="00D74528"/>
    <w:rsid w:val="00D7621E"/>
    <w:rsid w:val="00D77818"/>
    <w:rsid w:val="00D8012A"/>
    <w:rsid w:val="00D80773"/>
    <w:rsid w:val="00D80D49"/>
    <w:rsid w:val="00D81C89"/>
    <w:rsid w:val="00D82BCD"/>
    <w:rsid w:val="00D83BFC"/>
    <w:rsid w:val="00D83E1C"/>
    <w:rsid w:val="00D83FD4"/>
    <w:rsid w:val="00D8429E"/>
    <w:rsid w:val="00D846E9"/>
    <w:rsid w:val="00D84CA0"/>
    <w:rsid w:val="00D850A7"/>
    <w:rsid w:val="00D85E53"/>
    <w:rsid w:val="00D9092B"/>
    <w:rsid w:val="00D91495"/>
    <w:rsid w:val="00D915BC"/>
    <w:rsid w:val="00D9224C"/>
    <w:rsid w:val="00D950C5"/>
    <w:rsid w:val="00DA16B4"/>
    <w:rsid w:val="00DA172A"/>
    <w:rsid w:val="00DA3D5F"/>
    <w:rsid w:val="00DA3F6B"/>
    <w:rsid w:val="00DA5064"/>
    <w:rsid w:val="00DA5A6B"/>
    <w:rsid w:val="00DA5B8C"/>
    <w:rsid w:val="00DA5F23"/>
    <w:rsid w:val="00DA7B76"/>
    <w:rsid w:val="00DB3F58"/>
    <w:rsid w:val="00DB48F8"/>
    <w:rsid w:val="00DB7007"/>
    <w:rsid w:val="00DB7141"/>
    <w:rsid w:val="00DB7F82"/>
    <w:rsid w:val="00DC0292"/>
    <w:rsid w:val="00DC10E5"/>
    <w:rsid w:val="00DC2752"/>
    <w:rsid w:val="00DC2BBB"/>
    <w:rsid w:val="00DC2D2B"/>
    <w:rsid w:val="00DC5720"/>
    <w:rsid w:val="00DC67E8"/>
    <w:rsid w:val="00DC7555"/>
    <w:rsid w:val="00DD0F86"/>
    <w:rsid w:val="00DD1A83"/>
    <w:rsid w:val="00DD26AC"/>
    <w:rsid w:val="00DD3B37"/>
    <w:rsid w:val="00DD3E55"/>
    <w:rsid w:val="00DD4044"/>
    <w:rsid w:val="00DD4315"/>
    <w:rsid w:val="00DD448E"/>
    <w:rsid w:val="00DD4BB3"/>
    <w:rsid w:val="00DD62AC"/>
    <w:rsid w:val="00DD6921"/>
    <w:rsid w:val="00DD79AD"/>
    <w:rsid w:val="00DE0177"/>
    <w:rsid w:val="00DE02A6"/>
    <w:rsid w:val="00DE1BFB"/>
    <w:rsid w:val="00DE2439"/>
    <w:rsid w:val="00DE321D"/>
    <w:rsid w:val="00DE3326"/>
    <w:rsid w:val="00DE3C7F"/>
    <w:rsid w:val="00DE4CE7"/>
    <w:rsid w:val="00DE7C72"/>
    <w:rsid w:val="00DF0AC8"/>
    <w:rsid w:val="00DF0DE2"/>
    <w:rsid w:val="00DF0F5D"/>
    <w:rsid w:val="00DF1D1E"/>
    <w:rsid w:val="00DF1D77"/>
    <w:rsid w:val="00DF386B"/>
    <w:rsid w:val="00DF3C54"/>
    <w:rsid w:val="00DF5232"/>
    <w:rsid w:val="00DF5410"/>
    <w:rsid w:val="00DF614E"/>
    <w:rsid w:val="00DF6D2C"/>
    <w:rsid w:val="00DF6E37"/>
    <w:rsid w:val="00DF79F4"/>
    <w:rsid w:val="00E0044A"/>
    <w:rsid w:val="00E02D03"/>
    <w:rsid w:val="00E02FB2"/>
    <w:rsid w:val="00E042B9"/>
    <w:rsid w:val="00E04349"/>
    <w:rsid w:val="00E0495B"/>
    <w:rsid w:val="00E06224"/>
    <w:rsid w:val="00E07CD9"/>
    <w:rsid w:val="00E07D9E"/>
    <w:rsid w:val="00E10C54"/>
    <w:rsid w:val="00E10F7B"/>
    <w:rsid w:val="00E12452"/>
    <w:rsid w:val="00E13049"/>
    <w:rsid w:val="00E13849"/>
    <w:rsid w:val="00E14075"/>
    <w:rsid w:val="00E14D5B"/>
    <w:rsid w:val="00E1507F"/>
    <w:rsid w:val="00E15B95"/>
    <w:rsid w:val="00E1692D"/>
    <w:rsid w:val="00E1758A"/>
    <w:rsid w:val="00E17B19"/>
    <w:rsid w:val="00E203BA"/>
    <w:rsid w:val="00E222F1"/>
    <w:rsid w:val="00E22BAA"/>
    <w:rsid w:val="00E24DAB"/>
    <w:rsid w:val="00E26570"/>
    <w:rsid w:val="00E26645"/>
    <w:rsid w:val="00E343B7"/>
    <w:rsid w:val="00E359E5"/>
    <w:rsid w:val="00E35CEA"/>
    <w:rsid w:val="00E36400"/>
    <w:rsid w:val="00E368F3"/>
    <w:rsid w:val="00E37105"/>
    <w:rsid w:val="00E407A6"/>
    <w:rsid w:val="00E4187A"/>
    <w:rsid w:val="00E418AE"/>
    <w:rsid w:val="00E44DFC"/>
    <w:rsid w:val="00E56852"/>
    <w:rsid w:val="00E5762E"/>
    <w:rsid w:val="00E57CD2"/>
    <w:rsid w:val="00E61820"/>
    <w:rsid w:val="00E61C9C"/>
    <w:rsid w:val="00E61F49"/>
    <w:rsid w:val="00E63DC7"/>
    <w:rsid w:val="00E644E9"/>
    <w:rsid w:val="00E6680D"/>
    <w:rsid w:val="00E67C88"/>
    <w:rsid w:val="00E714B3"/>
    <w:rsid w:val="00E733F4"/>
    <w:rsid w:val="00E75FB3"/>
    <w:rsid w:val="00E80E40"/>
    <w:rsid w:val="00E8291D"/>
    <w:rsid w:val="00E82B16"/>
    <w:rsid w:val="00E82B2F"/>
    <w:rsid w:val="00E830FC"/>
    <w:rsid w:val="00E86342"/>
    <w:rsid w:val="00E874FB"/>
    <w:rsid w:val="00E8777E"/>
    <w:rsid w:val="00E87FBA"/>
    <w:rsid w:val="00E91EB0"/>
    <w:rsid w:val="00E92D07"/>
    <w:rsid w:val="00E95641"/>
    <w:rsid w:val="00E95667"/>
    <w:rsid w:val="00E95FAA"/>
    <w:rsid w:val="00E965A1"/>
    <w:rsid w:val="00E97A20"/>
    <w:rsid w:val="00EA0910"/>
    <w:rsid w:val="00EA1150"/>
    <w:rsid w:val="00EA13EF"/>
    <w:rsid w:val="00EA2B96"/>
    <w:rsid w:val="00EA3D1E"/>
    <w:rsid w:val="00EA4EAD"/>
    <w:rsid w:val="00EA4FA2"/>
    <w:rsid w:val="00EA5730"/>
    <w:rsid w:val="00EA60AC"/>
    <w:rsid w:val="00EA7934"/>
    <w:rsid w:val="00EA7A58"/>
    <w:rsid w:val="00EA7A77"/>
    <w:rsid w:val="00EB015D"/>
    <w:rsid w:val="00EB19E5"/>
    <w:rsid w:val="00EB259A"/>
    <w:rsid w:val="00EB34BA"/>
    <w:rsid w:val="00EB5FA4"/>
    <w:rsid w:val="00EC0DC4"/>
    <w:rsid w:val="00EC258A"/>
    <w:rsid w:val="00EC3943"/>
    <w:rsid w:val="00EC4CD5"/>
    <w:rsid w:val="00EC4F43"/>
    <w:rsid w:val="00EC6B6E"/>
    <w:rsid w:val="00ED0C7A"/>
    <w:rsid w:val="00ED248A"/>
    <w:rsid w:val="00ED5FC4"/>
    <w:rsid w:val="00ED696C"/>
    <w:rsid w:val="00ED6D93"/>
    <w:rsid w:val="00ED7555"/>
    <w:rsid w:val="00ED76E0"/>
    <w:rsid w:val="00ED7953"/>
    <w:rsid w:val="00EE06B4"/>
    <w:rsid w:val="00EE0890"/>
    <w:rsid w:val="00EE1A21"/>
    <w:rsid w:val="00EE2034"/>
    <w:rsid w:val="00EE379B"/>
    <w:rsid w:val="00EE45E0"/>
    <w:rsid w:val="00EE55E4"/>
    <w:rsid w:val="00EE5E0C"/>
    <w:rsid w:val="00EE7310"/>
    <w:rsid w:val="00EE7F4D"/>
    <w:rsid w:val="00EF0402"/>
    <w:rsid w:val="00EF0BDD"/>
    <w:rsid w:val="00EF13EE"/>
    <w:rsid w:val="00EF231D"/>
    <w:rsid w:val="00EF24CD"/>
    <w:rsid w:val="00EF3AB6"/>
    <w:rsid w:val="00EF4E1C"/>
    <w:rsid w:val="00EF67B9"/>
    <w:rsid w:val="00EF7E38"/>
    <w:rsid w:val="00F004E9"/>
    <w:rsid w:val="00F00FD1"/>
    <w:rsid w:val="00F013D1"/>
    <w:rsid w:val="00F01E81"/>
    <w:rsid w:val="00F050E1"/>
    <w:rsid w:val="00F05929"/>
    <w:rsid w:val="00F05B50"/>
    <w:rsid w:val="00F0616D"/>
    <w:rsid w:val="00F07211"/>
    <w:rsid w:val="00F074BE"/>
    <w:rsid w:val="00F111E6"/>
    <w:rsid w:val="00F11706"/>
    <w:rsid w:val="00F11B26"/>
    <w:rsid w:val="00F12510"/>
    <w:rsid w:val="00F13B9F"/>
    <w:rsid w:val="00F144A4"/>
    <w:rsid w:val="00F15BEA"/>
    <w:rsid w:val="00F16A40"/>
    <w:rsid w:val="00F16BCB"/>
    <w:rsid w:val="00F16E3F"/>
    <w:rsid w:val="00F17C4A"/>
    <w:rsid w:val="00F209CA"/>
    <w:rsid w:val="00F21463"/>
    <w:rsid w:val="00F22336"/>
    <w:rsid w:val="00F25CF5"/>
    <w:rsid w:val="00F278D9"/>
    <w:rsid w:val="00F32B4F"/>
    <w:rsid w:val="00F346AD"/>
    <w:rsid w:val="00F35A0B"/>
    <w:rsid w:val="00F35F6A"/>
    <w:rsid w:val="00F375DA"/>
    <w:rsid w:val="00F37BEA"/>
    <w:rsid w:val="00F37E46"/>
    <w:rsid w:val="00F40873"/>
    <w:rsid w:val="00F426C4"/>
    <w:rsid w:val="00F43912"/>
    <w:rsid w:val="00F44769"/>
    <w:rsid w:val="00F44C27"/>
    <w:rsid w:val="00F470EA"/>
    <w:rsid w:val="00F472B9"/>
    <w:rsid w:val="00F47367"/>
    <w:rsid w:val="00F47A01"/>
    <w:rsid w:val="00F5015E"/>
    <w:rsid w:val="00F512E3"/>
    <w:rsid w:val="00F525BD"/>
    <w:rsid w:val="00F53924"/>
    <w:rsid w:val="00F543F7"/>
    <w:rsid w:val="00F55E54"/>
    <w:rsid w:val="00F560A1"/>
    <w:rsid w:val="00F61082"/>
    <w:rsid w:val="00F6396B"/>
    <w:rsid w:val="00F639FE"/>
    <w:rsid w:val="00F63AC2"/>
    <w:rsid w:val="00F661A9"/>
    <w:rsid w:val="00F667B8"/>
    <w:rsid w:val="00F6713F"/>
    <w:rsid w:val="00F677F5"/>
    <w:rsid w:val="00F67B65"/>
    <w:rsid w:val="00F719A3"/>
    <w:rsid w:val="00F729FA"/>
    <w:rsid w:val="00F72BCB"/>
    <w:rsid w:val="00F73907"/>
    <w:rsid w:val="00F747E3"/>
    <w:rsid w:val="00F75574"/>
    <w:rsid w:val="00F75C9E"/>
    <w:rsid w:val="00F76066"/>
    <w:rsid w:val="00F77F13"/>
    <w:rsid w:val="00F810FC"/>
    <w:rsid w:val="00F832D6"/>
    <w:rsid w:val="00F8337F"/>
    <w:rsid w:val="00F86259"/>
    <w:rsid w:val="00F863CD"/>
    <w:rsid w:val="00F86B98"/>
    <w:rsid w:val="00F86D9B"/>
    <w:rsid w:val="00F87227"/>
    <w:rsid w:val="00F87D77"/>
    <w:rsid w:val="00F909B9"/>
    <w:rsid w:val="00F923D8"/>
    <w:rsid w:val="00F93122"/>
    <w:rsid w:val="00F93972"/>
    <w:rsid w:val="00F96B7B"/>
    <w:rsid w:val="00F976E1"/>
    <w:rsid w:val="00FA112B"/>
    <w:rsid w:val="00FA1770"/>
    <w:rsid w:val="00FA1DC0"/>
    <w:rsid w:val="00FA5528"/>
    <w:rsid w:val="00FA58EF"/>
    <w:rsid w:val="00FA5BEA"/>
    <w:rsid w:val="00FA6341"/>
    <w:rsid w:val="00FA7C73"/>
    <w:rsid w:val="00FB04ED"/>
    <w:rsid w:val="00FB0F02"/>
    <w:rsid w:val="00FB2984"/>
    <w:rsid w:val="00FB3755"/>
    <w:rsid w:val="00FB3BD7"/>
    <w:rsid w:val="00FB4952"/>
    <w:rsid w:val="00FB5941"/>
    <w:rsid w:val="00FB6D6C"/>
    <w:rsid w:val="00FB6E99"/>
    <w:rsid w:val="00FB74E9"/>
    <w:rsid w:val="00FB79E4"/>
    <w:rsid w:val="00FB7E01"/>
    <w:rsid w:val="00FC4258"/>
    <w:rsid w:val="00FC4D4A"/>
    <w:rsid w:val="00FC70C0"/>
    <w:rsid w:val="00FD0965"/>
    <w:rsid w:val="00FD23C9"/>
    <w:rsid w:val="00FD24A6"/>
    <w:rsid w:val="00FD2EAC"/>
    <w:rsid w:val="00FD40B9"/>
    <w:rsid w:val="00FD4C47"/>
    <w:rsid w:val="00FD502F"/>
    <w:rsid w:val="00FD5F8F"/>
    <w:rsid w:val="00FD7E51"/>
    <w:rsid w:val="00FE0192"/>
    <w:rsid w:val="00FE23FA"/>
    <w:rsid w:val="00FE2852"/>
    <w:rsid w:val="00FE2CEF"/>
    <w:rsid w:val="00FE3AE1"/>
    <w:rsid w:val="00FE46D4"/>
    <w:rsid w:val="00FE70BC"/>
    <w:rsid w:val="00FF1733"/>
    <w:rsid w:val="00FF2E73"/>
    <w:rsid w:val="00FF3400"/>
    <w:rsid w:val="00FF44B6"/>
    <w:rsid w:val="00FF7437"/>
    <w:rsid w:val="01587004"/>
    <w:rsid w:val="020CED66"/>
    <w:rsid w:val="02AC18A2"/>
    <w:rsid w:val="02E0D0EC"/>
    <w:rsid w:val="0365030E"/>
    <w:rsid w:val="03AB1DFF"/>
    <w:rsid w:val="03CB337B"/>
    <w:rsid w:val="04A6769C"/>
    <w:rsid w:val="04A86609"/>
    <w:rsid w:val="051769DB"/>
    <w:rsid w:val="0529C4FB"/>
    <w:rsid w:val="05524D48"/>
    <w:rsid w:val="0557909F"/>
    <w:rsid w:val="05CA8CFB"/>
    <w:rsid w:val="06207F77"/>
    <w:rsid w:val="062F98BF"/>
    <w:rsid w:val="064246FD"/>
    <w:rsid w:val="06872ED3"/>
    <w:rsid w:val="071FBC89"/>
    <w:rsid w:val="072607A6"/>
    <w:rsid w:val="07AEDBB3"/>
    <w:rsid w:val="07DE175E"/>
    <w:rsid w:val="07E75497"/>
    <w:rsid w:val="081F665A"/>
    <w:rsid w:val="08BB8044"/>
    <w:rsid w:val="09360EAD"/>
    <w:rsid w:val="094C7FD2"/>
    <w:rsid w:val="096D0C96"/>
    <w:rsid w:val="0A5DA868"/>
    <w:rsid w:val="0A92BF87"/>
    <w:rsid w:val="0B8CEAB1"/>
    <w:rsid w:val="0BCA7B8B"/>
    <w:rsid w:val="0C5BE89B"/>
    <w:rsid w:val="0C9D33F4"/>
    <w:rsid w:val="0CE00E62"/>
    <w:rsid w:val="0D48F524"/>
    <w:rsid w:val="0D4C9FEB"/>
    <w:rsid w:val="0D849A84"/>
    <w:rsid w:val="0DE027C0"/>
    <w:rsid w:val="0E07326B"/>
    <w:rsid w:val="0F5229A1"/>
    <w:rsid w:val="109F8BF4"/>
    <w:rsid w:val="10F9DDEE"/>
    <w:rsid w:val="1108ECE1"/>
    <w:rsid w:val="11FE1E50"/>
    <w:rsid w:val="1296B87A"/>
    <w:rsid w:val="12A81E88"/>
    <w:rsid w:val="12FA4735"/>
    <w:rsid w:val="13247D24"/>
    <w:rsid w:val="13831389"/>
    <w:rsid w:val="140C7834"/>
    <w:rsid w:val="144F757F"/>
    <w:rsid w:val="14D24300"/>
    <w:rsid w:val="1507D936"/>
    <w:rsid w:val="161C4C6A"/>
    <w:rsid w:val="1637FF9C"/>
    <w:rsid w:val="16406047"/>
    <w:rsid w:val="16605752"/>
    <w:rsid w:val="167A3D09"/>
    <w:rsid w:val="16FFB781"/>
    <w:rsid w:val="175FEC4F"/>
    <w:rsid w:val="178BD171"/>
    <w:rsid w:val="179C5FA5"/>
    <w:rsid w:val="191C726E"/>
    <w:rsid w:val="1A7BB9B8"/>
    <w:rsid w:val="1B17F6E1"/>
    <w:rsid w:val="1C009D9D"/>
    <w:rsid w:val="1C0FD908"/>
    <w:rsid w:val="1C5F4294"/>
    <w:rsid w:val="1CD6DDD1"/>
    <w:rsid w:val="1D0B4D0C"/>
    <w:rsid w:val="1D128E49"/>
    <w:rsid w:val="1D499E29"/>
    <w:rsid w:val="1D50DBFE"/>
    <w:rsid w:val="1D6C8427"/>
    <w:rsid w:val="1D74E4FB"/>
    <w:rsid w:val="1D790975"/>
    <w:rsid w:val="1DAA336C"/>
    <w:rsid w:val="1DB7074D"/>
    <w:rsid w:val="1DFFA538"/>
    <w:rsid w:val="1EEF4BCC"/>
    <w:rsid w:val="1F24EEE5"/>
    <w:rsid w:val="1F312176"/>
    <w:rsid w:val="1F3EA174"/>
    <w:rsid w:val="1FE39F83"/>
    <w:rsid w:val="2029C571"/>
    <w:rsid w:val="2070A982"/>
    <w:rsid w:val="2085C0E7"/>
    <w:rsid w:val="20A09561"/>
    <w:rsid w:val="20E0F88E"/>
    <w:rsid w:val="20FB1E49"/>
    <w:rsid w:val="2148B005"/>
    <w:rsid w:val="2165DDB2"/>
    <w:rsid w:val="219D67A4"/>
    <w:rsid w:val="21AB7097"/>
    <w:rsid w:val="21C595D2"/>
    <w:rsid w:val="225C8FA7"/>
    <w:rsid w:val="227DA48F"/>
    <w:rsid w:val="23067443"/>
    <w:rsid w:val="230E5CFF"/>
    <w:rsid w:val="2350482D"/>
    <w:rsid w:val="23707F41"/>
    <w:rsid w:val="23D189A4"/>
    <w:rsid w:val="23E6A3A2"/>
    <w:rsid w:val="23EA12C7"/>
    <w:rsid w:val="23F86008"/>
    <w:rsid w:val="24129075"/>
    <w:rsid w:val="241974F0"/>
    <w:rsid w:val="257FB2B9"/>
    <w:rsid w:val="258BCF15"/>
    <w:rsid w:val="2692EEA5"/>
    <w:rsid w:val="2710E55E"/>
    <w:rsid w:val="27CDDCAD"/>
    <w:rsid w:val="27F9A3D0"/>
    <w:rsid w:val="28089980"/>
    <w:rsid w:val="2822081C"/>
    <w:rsid w:val="28324263"/>
    <w:rsid w:val="289FCF97"/>
    <w:rsid w:val="296F86D4"/>
    <w:rsid w:val="29D0A7B7"/>
    <w:rsid w:val="29EB95C4"/>
    <w:rsid w:val="2A3F5B54"/>
    <w:rsid w:val="2A46AD70"/>
    <w:rsid w:val="2A646D43"/>
    <w:rsid w:val="2A9ACC36"/>
    <w:rsid w:val="2B404CEE"/>
    <w:rsid w:val="2B418F9A"/>
    <w:rsid w:val="2B93CA49"/>
    <w:rsid w:val="2BB99198"/>
    <w:rsid w:val="2C3F84D5"/>
    <w:rsid w:val="2C7F4F03"/>
    <w:rsid w:val="2D61BA4D"/>
    <w:rsid w:val="2DC05736"/>
    <w:rsid w:val="2E9E4BCB"/>
    <w:rsid w:val="2F7EB370"/>
    <w:rsid w:val="303FE93B"/>
    <w:rsid w:val="304D7AF7"/>
    <w:rsid w:val="31D4F0B1"/>
    <w:rsid w:val="3294360F"/>
    <w:rsid w:val="32BAC755"/>
    <w:rsid w:val="3339147E"/>
    <w:rsid w:val="335DD56E"/>
    <w:rsid w:val="33B09D47"/>
    <w:rsid w:val="33D0C1D4"/>
    <w:rsid w:val="33DBB3C1"/>
    <w:rsid w:val="342CA458"/>
    <w:rsid w:val="34874C85"/>
    <w:rsid w:val="34BE6926"/>
    <w:rsid w:val="34D4E4DF"/>
    <w:rsid w:val="351B1B01"/>
    <w:rsid w:val="351B2192"/>
    <w:rsid w:val="358180A4"/>
    <w:rsid w:val="35850FD0"/>
    <w:rsid w:val="3590184B"/>
    <w:rsid w:val="35B241B9"/>
    <w:rsid w:val="36031F6A"/>
    <w:rsid w:val="369A1F41"/>
    <w:rsid w:val="36AF2ABF"/>
    <w:rsid w:val="36CA61C8"/>
    <w:rsid w:val="37E10A60"/>
    <w:rsid w:val="380D79B6"/>
    <w:rsid w:val="383B601F"/>
    <w:rsid w:val="3849ED0C"/>
    <w:rsid w:val="385AFC6F"/>
    <w:rsid w:val="38C4DA47"/>
    <w:rsid w:val="398CB4D2"/>
    <w:rsid w:val="39EFE1D9"/>
    <w:rsid w:val="3A405789"/>
    <w:rsid w:val="3A85B2DC"/>
    <w:rsid w:val="3A923AF7"/>
    <w:rsid w:val="3AA6C7C4"/>
    <w:rsid w:val="3AFD7F43"/>
    <w:rsid w:val="3B329F9F"/>
    <w:rsid w:val="3B92A7C5"/>
    <w:rsid w:val="3B9755A2"/>
    <w:rsid w:val="3BA87105"/>
    <w:rsid w:val="3BEE0E05"/>
    <w:rsid w:val="3C21833D"/>
    <w:rsid w:val="3D540BB8"/>
    <w:rsid w:val="3DA41886"/>
    <w:rsid w:val="3DE8D53C"/>
    <w:rsid w:val="3DF906D9"/>
    <w:rsid w:val="3E1E6F08"/>
    <w:rsid w:val="3EC1DFB0"/>
    <w:rsid w:val="3F00DE50"/>
    <w:rsid w:val="3F0EBF28"/>
    <w:rsid w:val="3F94D73A"/>
    <w:rsid w:val="405A4E23"/>
    <w:rsid w:val="4062E894"/>
    <w:rsid w:val="41160948"/>
    <w:rsid w:val="4209E83F"/>
    <w:rsid w:val="4263B453"/>
    <w:rsid w:val="42D46582"/>
    <w:rsid w:val="431544B7"/>
    <w:rsid w:val="43347A8F"/>
    <w:rsid w:val="43368C3B"/>
    <w:rsid w:val="436E21DE"/>
    <w:rsid w:val="438326DF"/>
    <w:rsid w:val="43B470DC"/>
    <w:rsid w:val="43BC5606"/>
    <w:rsid w:val="43DD53C8"/>
    <w:rsid w:val="43EA4F96"/>
    <w:rsid w:val="4406EDA9"/>
    <w:rsid w:val="44D29B47"/>
    <w:rsid w:val="460C0644"/>
    <w:rsid w:val="46502B78"/>
    <w:rsid w:val="46AF2862"/>
    <w:rsid w:val="4714F48A"/>
    <w:rsid w:val="47A7D6A5"/>
    <w:rsid w:val="4843DFCE"/>
    <w:rsid w:val="48E073E1"/>
    <w:rsid w:val="48F85611"/>
    <w:rsid w:val="4943A706"/>
    <w:rsid w:val="4971277E"/>
    <w:rsid w:val="498D90F2"/>
    <w:rsid w:val="4A144905"/>
    <w:rsid w:val="4AD82F4F"/>
    <w:rsid w:val="4B24CAAE"/>
    <w:rsid w:val="4B26E261"/>
    <w:rsid w:val="4B40B5C1"/>
    <w:rsid w:val="4B80DD65"/>
    <w:rsid w:val="4B8167FB"/>
    <w:rsid w:val="4BAE3DCF"/>
    <w:rsid w:val="4BEDDA55"/>
    <w:rsid w:val="4C1BC0BE"/>
    <w:rsid w:val="4C9C400D"/>
    <w:rsid w:val="4CB20AF2"/>
    <w:rsid w:val="4CC3F2E4"/>
    <w:rsid w:val="4D856949"/>
    <w:rsid w:val="4D8EF3D4"/>
    <w:rsid w:val="4DE230A9"/>
    <w:rsid w:val="4F7788E3"/>
    <w:rsid w:val="4F9E3B1C"/>
    <w:rsid w:val="50337C89"/>
    <w:rsid w:val="51847925"/>
    <w:rsid w:val="51CF4CEA"/>
    <w:rsid w:val="52766A84"/>
    <w:rsid w:val="5288EF4B"/>
    <w:rsid w:val="53226CEB"/>
    <w:rsid w:val="542AAE6C"/>
    <w:rsid w:val="542E73B3"/>
    <w:rsid w:val="544E27D5"/>
    <w:rsid w:val="54F4B246"/>
    <w:rsid w:val="5506EDAC"/>
    <w:rsid w:val="554BAD77"/>
    <w:rsid w:val="56B22C8A"/>
    <w:rsid w:val="56DA38CB"/>
    <w:rsid w:val="56F9A8F6"/>
    <w:rsid w:val="57DE8EDD"/>
    <w:rsid w:val="5833E6D2"/>
    <w:rsid w:val="58481A23"/>
    <w:rsid w:val="592DAA02"/>
    <w:rsid w:val="59310025"/>
    <w:rsid w:val="5959CAD0"/>
    <w:rsid w:val="5983239A"/>
    <w:rsid w:val="59B12308"/>
    <w:rsid w:val="59E3EA84"/>
    <w:rsid w:val="5A84A3FD"/>
    <w:rsid w:val="5B014B04"/>
    <w:rsid w:val="5B54ACCD"/>
    <w:rsid w:val="5B69078E"/>
    <w:rsid w:val="5B7BACFC"/>
    <w:rsid w:val="5B8F69F4"/>
    <w:rsid w:val="5C2F02B6"/>
    <w:rsid w:val="5C9A494E"/>
    <w:rsid w:val="5D257993"/>
    <w:rsid w:val="5D6AF3D6"/>
    <w:rsid w:val="5D6FE42F"/>
    <w:rsid w:val="5E02DFEF"/>
    <w:rsid w:val="5E51A5ED"/>
    <w:rsid w:val="5E7E6FA0"/>
    <w:rsid w:val="5F4DDA70"/>
    <w:rsid w:val="612A54FB"/>
    <w:rsid w:val="6144B1B4"/>
    <w:rsid w:val="616ADEC6"/>
    <w:rsid w:val="617DD492"/>
    <w:rsid w:val="61BC4E24"/>
    <w:rsid w:val="61BF2401"/>
    <w:rsid w:val="62B7C1EC"/>
    <w:rsid w:val="62C579D3"/>
    <w:rsid w:val="635F6322"/>
    <w:rsid w:val="63A93651"/>
    <w:rsid w:val="63B79FA2"/>
    <w:rsid w:val="63C53B3F"/>
    <w:rsid w:val="64A26443"/>
    <w:rsid w:val="64A8FA9D"/>
    <w:rsid w:val="64E435F2"/>
    <w:rsid w:val="65EFBAEF"/>
    <w:rsid w:val="6644BD98"/>
    <w:rsid w:val="66A4E4C9"/>
    <w:rsid w:val="66E33710"/>
    <w:rsid w:val="675CE2EB"/>
    <w:rsid w:val="67990842"/>
    <w:rsid w:val="68A3EEDB"/>
    <w:rsid w:val="68B47351"/>
    <w:rsid w:val="68C604E9"/>
    <w:rsid w:val="68E3D5CA"/>
    <w:rsid w:val="693B40FF"/>
    <w:rsid w:val="69996CAD"/>
    <w:rsid w:val="6A4CB43F"/>
    <w:rsid w:val="6A5B2B27"/>
    <w:rsid w:val="6AA5D797"/>
    <w:rsid w:val="6BD3409C"/>
    <w:rsid w:val="6C4EA7D4"/>
    <w:rsid w:val="6CC94E25"/>
    <w:rsid w:val="6DA1C16E"/>
    <w:rsid w:val="6E3A38AF"/>
    <w:rsid w:val="6E414AD9"/>
    <w:rsid w:val="6E41E251"/>
    <w:rsid w:val="6E93977C"/>
    <w:rsid w:val="6F04D1F6"/>
    <w:rsid w:val="6F1055E8"/>
    <w:rsid w:val="6F95D8BC"/>
    <w:rsid w:val="6FFF03C1"/>
    <w:rsid w:val="7045F9B7"/>
    <w:rsid w:val="70A0A257"/>
    <w:rsid w:val="70FD92B3"/>
    <w:rsid w:val="715DFD54"/>
    <w:rsid w:val="71A5A021"/>
    <w:rsid w:val="71D5DBF7"/>
    <w:rsid w:val="71F01407"/>
    <w:rsid w:val="726F68C9"/>
    <w:rsid w:val="730F5E6F"/>
    <w:rsid w:val="7333D672"/>
    <w:rsid w:val="73569E67"/>
    <w:rsid w:val="747B8B2A"/>
    <w:rsid w:val="74ADB6E7"/>
    <w:rsid w:val="74D01F2F"/>
    <w:rsid w:val="74DC011A"/>
    <w:rsid w:val="74DED266"/>
    <w:rsid w:val="758D3BD7"/>
    <w:rsid w:val="769E17A3"/>
    <w:rsid w:val="76A09E2B"/>
    <w:rsid w:val="76EB60BA"/>
    <w:rsid w:val="770952C9"/>
    <w:rsid w:val="77120EEA"/>
    <w:rsid w:val="7722434D"/>
    <w:rsid w:val="77C7F393"/>
    <w:rsid w:val="77E11AF5"/>
    <w:rsid w:val="78A91F49"/>
    <w:rsid w:val="790FC6CD"/>
    <w:rsid w:val="7963C3F4"/>
    <w:rsid w:val="79739E00"/>
    <w:rsid w:val="79967AED"/>
    <w:rsid w:val="79A8ED99"/>
    <w:rsid w:val="79C0FEAA"/>
    <w:rsid w:val="79C32867"/>
    <w:rsid w:val="79DE8D8C"/>
    <w:rsid w:val="7AAC5FF1"/>
    <w:rsid w:val="7AC037A4"/>
    <w:rsid w:val="7ACECF18"/>
    <w:rsid w:val="7ADCE5C0"/>
    <w:rsid w:val="7B20A93D"/>
    <w:rsid w:val="7BAA8428"/>
    <w:rsid w:val="7BDB9F20"/>
    <w:rsid w:val="7C26F51D"/>
    <w:rsid w:val="7CBC799E"/>
    <w:rsid w:val="7DECD040"/>
    <w:rsid w:val="7E19CDC2"/>
    <w:rsid w:val="7E9AD1FB"/>
    <w:rsid w:val="7EBB1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D437"/>
  <w15:chartTrackingRefBased/>
  <w15:docId w15:val="{CABBBB5A-0707-4E5D-964C-1A2C9FC6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2"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1B5"/>
    <w:rPr>
      <w:rFonts w:eastAsia="Cambria"/>
      <w:lang w:eastAsia="en-GB"/>
    </w:rPr>
  </w:style>
  <w:style w:type="paragraph" w:styleId="Heading1">
    <w:name w:val="heading 1"/>
    <w:basedOn w:val="Normal"/>
    <w:next w:val="Normal"/>
    <w:link w:val="Heading1Char"/>
    <w:uiPriority w:val="1"/>
    <w:qFormat/>
    <w:rsid w:val="00A66A9C"/>
    <w:pPr>
      <w:keepNext/>
      <w:outlineLvl w:val="0"/>
    </w:pPr>
    <w:rPr>
      <w:rFonts w:ascii="Calibri" w:eastAsia="Times New Roman" w:hAnsi="Calibri"/>
      <w:b/>
      <w:bCs/>
      <w:color w:val="2C5A77"/>
      <w:sz w:val="40"/>
      <w:szCs w:val="28"/>
    </w:rPr>
  </w:style>
  <w:style w:type="paragraph" w:styleId="Heading2">
    <w:name w:val="heading 2"/>
    <w:basedOn w:val="Normal"/>
    <w:next w:val="Normal"/>
    <w:link w:val="Heading2Char"/>
    <w:uiPriority w:val="99"/>
    <w:qFormat/>
    <w:rsid w:val="00677D1A"/>
    <w:pPr>
      <w:keepNext/>
      <w:keepLines/>
      <w:outlineLvl w:val="1"/>
    </w:pPr>
    <w:rPr>
      <w:rFonts w:ascii="Calibri" w:eastAsia="Times New Roman" w:hAnsi="Calibri" w:cs="Helvetica-Light"/>
      <w:b/>
      <w:bCs/>
      <w:color w:val="000000"/>
      <w:sz w:val="32"/>
      <w:szCs w:val="26"/>
    </w:rPr>
  </w:style>
  <w:style w:type="paragraph" w:styleId="Heading3">
    <w:name w:val="heading 3"/>
    <w:basedOn w:val="Normal"/>
    <w:next w:val="Normal"/>
    <w:link w:val="Heading3Char"/>
    <w:uiPriority w:val="99"/>
    <w:qFormat/>
    <w:rsid w:val="004551C8"/>
    <w:pPr>
      <w:keepNext/>
      <w:keepLines/>
      <w:outlineLvl w:val="2"/>
    </w:pPr>
    <w:rPr>
      <w:rFonts w:ascii="Calibri" w:eastAsia="Times New Roman" w:hAnsi="Calibri"/>
      <w:b/>
      <w:bCs/>
      <w:i/>
      <w:sz w:val="28"/>
      <w:szCs w:val="28"/>
      <w:lang w:eastAsia="en-US"/>
    </w:rPr>
  </w:style>
  <w:style w:type="paragraph" w:styleId="Heading4">
    <w:name w:val="heading 4"/>
    <w:basedOn w:val="Heading3"/>
    <w:next w:val="Normal"/>
    <w:link w:val="Heading4Char"/>
    <w:uiPriority w:val="99"/>
    <w:qFormat/>
    <w:rsid w:val="00B13D1D"/>
    <w:pPr>
      <w:outlineLvl w:val="3"/>
    </w:pPr>
    <w:rPr>
      <w:i w:val="0"/>
      <w:iCs/>
      <w:color w:val="2C5A77"/>
    </w:rPr>
  </w:style>
  <w:style w:type="paragraph" w:styleId="Heading5">
    <w:name w:val="heading 5"/>
    <w:basedOn w:val="Normal"/>
    <w:next w:val="Normal"/>
    <w:link w:val="Heading5Char"/>
    <w:uiPriority w:val="99"/>
    <w:unhideWhenUsed/>
    <w:qFormat/>
    <w:rsid w:val="000E0431"/>
    <w:pPr>
      <w:numPr>
        <w:ilvl w:val="4"/>
        <w:numId w:val="2"/>
      </w:numPr>
      <w:spacing w:before="240"/>
      <w:outlineLvl w:val="4"/>
    </w:pPr>
    <w:rPr>
      <w:rFonts w:eastAsiaTheme="majorEastAsia" w:cs="Arial"/>
      <w:b/>
      <w:bCs/>
      <w:i/>
      <w:iCs/>
      <w:sz w:val="26"/>
      <w:szCs w:val="26"/>
    </w:rPr>
  </w:style>
  <w:style w:type="paragraph" w:styleId="Heading6">
    <w:name w:val="heading 6"/>
    <w:basedOn w:val="Normal"/>
    <w:next w:val="Normal"/>
    <w:link w:val="Heading6Char"/>
    <w:uiPriority w:val="99"/>
    <w:unhideWhenUsed/>
    <w:qFormat/>
    <w:rsid w:val="000E0431"/>
    <w:pPr>
      <w:keepNext/>
      <w:numPr>
        <w:ilvl w:val="5"/>
        <w:numId w:val="2"/>
      </w:numPr>
      <w:shd w:val="pct10" w:color="auto" w:fill="auto"/>
      <w:spacing w:line="360" w:lineRule="auto"/>
      <w:ind w:right="1620"/>
      <w:jc w:val="center"/>
      <w:outlineLvl w:val="5"/>
    </w:pPr>
    <w:rPr>
      <w:rFonts w:eastAsiaTheme="majorEastAsia" w:cstheme="majorBidi"/>
      <w:b/>
      <w:szCs w:val="20"/>
    </w:rPr>
  </w:style>
  <w:style w:type="paragraph" w:styleId="Heading7">
    <w:name w:val="heading 7"/>
    <w:basedOn w:val="Normal"/>
    <w:next w:val="Normal"/>
    <w:link w:val="Heading7Char"/>
    <w:uiPriority w:val="99"/>
    <w:unhideWhenUsed/>
    <w:qFormat/>
    <w:rsid w:val="000E0431"/>
    <w:pPr>
      <w:keepNext/>
      <w:numPr>
        <w:ilvl w:val="6"/>
        <w:numId w:val="2"/>
      </w:numPr>
      <w:jc w:val="center"/>
      <w:outlineLvl w:val="6"/>
    </w:pPr>
    <w:rPr>
      <w:rFonts w:eastAsiaTheme="majorEastAsia" w:cstheme="majorBidi"/>
      <w:b/>
      <w:szCs w:val="20"/>
    </w:rPr>
  </w:style>
  <w:style w:type="paragraph" w:styleId="Heading8">
    <w:name w:val="heading 8"/>
    <w:basedOn w:val="Normal"/>
    <w:next w:val="Normal"/>
    <w:link w:val="Heading8Char"/>
    <w:semiHidden/>
    <w:unhideWhenUsed/>
    <w:qFormat/>
    <w:rsid w:val="000E0431"/>
    <w:pPr>
      <w:numPr>
        <w:ilvl w:val="7"/>
        <w:numId w:val="2"/>
      </w:numPr>
      <w:spacing w:before="240"/>
      <w:outlineLvl w:val="7"/>
    </w:pPr>
    <w:rPr>
      <w:rFonts w:ascii="Times New Roman" w:eastAsiaTheme="majorEastAsia" w:hAnsi="Times New Roman" w:cstheme="majorBidi"/>
      <w:i/>
      <w:iCs/>
    </w:rPr>
  </w:style>
  <w:style w:type="paragraph" w:styleId="Heading9">
    <w:name w:val="heading 9"/>
    <w:basedOn w:val="Normal"/>
    <w:next w:val="Normal"/>
    <w:link w:val="Heading9Char"/>
    <w:semiHidden/>
    <w:unhideWhenUsed/>
    <w:qFormat/>
    <w:rsid w:val="000E0431"/>
    <w:pPr>
      <w:keepNext/>
      <w:numPr>
        <w:ilvl w:val="8"/>
        <w:numId w:val="2"/>
      </w:numPr>
      <w:tabs>
        <w:tab w:val="left" w:pos="4788"/>
        <w:tab w:val="left" w:pos="9576"/>
      </w:tabs>
      <w:spacing w:line="360" w:lineRule="auto"/>
      <w:outlineLvl w:val="8"/>
    </w:pPr>
    <w:rPr>
      <w:rFonts w:eastAsiaTheme="majorEastAsia" w:cstheme="majorBidi"/>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61C23"/>
    <w:rPr>
      <w:rFonts w:ascii="Calibri" w:eastAsia="Times New Roman" w:hAnsi="Calibri"/>
      <w:b/>
      <w:bCs/>
      <w:color w:val="2C5A77"/>
      <w:sz w:val="40"/>
      <w:szCs w:val="28"/>
      <w:lang w:eastAsia="en-GB"/>
    </w:rPr>
  </w:style>
  <w:style w:type="paragraph" w:customStyle="1" w:styleId="AgendaHeading3">
    <w:name w:val="Agenda Heading 3"/>
    <w:basedOn w:val="Normal"/>
    <w:next w:val="Normal"/>
    <w:uiPriority w:val="2"/>
    <w:qFormat/>
    <w:rsid w:val="00F37BEA"/>
    <w:pPr>
      <w:keepNext/>
      <w:keepLines/>
      <w:outlineLvl w:val="2"/>
    </w:pPr>
    <w:rPr>
      <w:rFonts w:ascii="Calibri" w:eastAsia="Times New Roman" w:hAnsi="Calibri" w:cs="Calibri"/>
      <w:b/>
      <w:bCs/>
      <w:i/>
      <w:sz w:val="28"/>
      <w:szCs w:val="28"/>
      <w:lang w:eastAsia="en-US"/>
    </w:rPr>
  </w:style>
  <w:style w:type="table" w:styleId="TableGrid">
    <w:name w:val="Table Grid"/>
    <w:basedOn w:val="TableNormal"/>
    <w:uiPriority w:val="39"/>
    <w:rsid w:val="006A2F37"/>
    <w:rPr>
      <w:rFonts w:eastAsia="Cambria"/>
      <w:lang w:eastAsia="en-GB"/>
    </w:rPr>
    <w:tblPr>
      <w:tblStyleRowBandSize w:val="1"/>
      <w:tblBorders>
        <w:top w:val="single" w:sz="4" w:space="0" w:color="ECF2F2" w:themeColor="accent4" w:themeTint="33"/>
        <w:left w:val="single" w:sz="4" w:space="0" w:color="ECF2F2" w:themeColor="accent4" w:themeTint="33"/>
        <w:bottom w:val="single" w:sz="4" w:space="0" w:color="ECF2F2" w:themeColor="accent4" w:themeTint="33"/>
        <w:right w:val="single" w:sz="4" w:space="0" w:color="ECF2F2" w:themeColor="accent4" w:themeTint="33"/>
        <w:insideH w:val="single" w:sz="4" w:space="0" w:color="ECF2F2" w:themeColor="accent4" w:themeTint="33"/>
        <w:insideV w:val="single" w:sz="4" w:space="0" w:color="ECF2F2" w:themeColor="accent4" w:themeTint="33"/>
      </w:tblBorders>
    </w:tblPr>
    <w:tblStylePr w:type="firstRow">
      <w:tblPr/>
      <w:tcPr>
        <w:shd w:val="clear" w:color="auto" w:fill="CDDDE1" w:themeFill="accent5" w:themeFillTint="66"/>
      </w:tcPr>
    </w:tblStylePr>
    <w:tblStylePr w:type="band1Horz">
      <w:pPr>
        <w:jc w:val="left"/>
      </w:pPr>
    </w:tblStylePr>
    <w:tblStylePr w:type="band2Horz">
      <w:tblPr/>
      <w:tcPr>
        <w:shd w:val="clear" w:color="auto" w:fill="F3F3F3"/>
      </w:tcPr>
    </w:tblStylePr>
  </w:style>
  <w:style w:type="paragraph" w:styleId="Title">
    <w:name w:val="Title"/>
    <w:basedOn w:val="Normal"/>
    <w:next w:val="Normal"/>
    <w:link w:val="TitleChar"/>
    <w:uiPriority w:val="2"/>
    <w:qFormat/>
    <w:rsid w:val="00D9224C"/>
    <w:pPr>
      <w:spacing w:after="120"/>
    </w:pPr>
    <w:rPr>
      <w:rFonts w:ascii="Calibri" w:hAnsi="Calibri" w:cs="Calibri"/>
      <w:sz w:val="96"/>
      <w:szCs w:val="40"/>
    </w:rPr>
  </w:style>
  <w:style w:type="character" w:customStyle="1" w:styleId="TitleChar">
    <w:name w:val="Title Char"/>
    <w:link w:val="Title"/>
    <w:uiPriority w:val="2"/>
    <w:rsid w:val="00D9224C"/>
    <w:rPr>
      <w:rFonts w:ascii="Calibri" w:eastAsia="Cambria" w:hAnsi="Calibri" w:cs="Calibri"/>
      <w:sz w:val="96"/>
      <w:szCs w:val="40"/>
      <w:lang w:eastAsia="en-GB"/>
    </w:rPr>
  </w:style>
  <w:style w:type="character" w:customStyle="1" w:styleId="Heading2Char">
    <w:name w:val="Heading 2 Char"/>
    <w:link w:val="Heading2"/>
    <w:uiPriority w:val="99"/>
    <w:rsid w:val="00D61C23"/>
    <w:rPr>
      <w:rFonts w:ascii="Calibri" w:eastAsia="Times New Roman" w:hAnsi="Calibri" w:cs="Helvetica-Light"/>
      <w:b/>
      <w:bCs/>
      <w:color w:val="000000"/>
      <w:sz w:val="32"/>
      <w:szCs w:val="26"/>
      <w:lang w:eastAsia="en-GB"/>
    </w:rPr>
  </w:style>
  <w:style w:type="character" w:customStyle="1" w:styleId="Heading3Char">
    <w:name w:val="Heading 3 Char"/>
    <w:link w:val="Heading3"/>
    <w:uiPriority w:val="99"/>
    <w:rsid w:val="00D61C23"/>
    <w:rPr>
      <w:rFonts w:ascii="Calibri" w:eastAsia="Times New Roman" w:hAnsi="Calibri"/>
      <w:b/>
      <w:bCs/>
      <w:i/>
      <w:sz w:val="28"/>
      <w:szCs w:val="28"/>
    </w:rPr>
  </w:style>
  <w:style w:type="character" w:customStyle="1" w:styleId="Heading4Char">
    <w:name w:val="Heading 4 Char"/>
    <w:link w:val="Heading4"/>
    <w:uiPriority w:val="99"/>
    <w:rsid w:val="00D61C23"/>
    <w:rPr>
      <w:rFonts w:ascii="Calibri" w:eastAsia="Times New Roman" w:hAnsi="Calibri"/>
      <w:b/>
      <w:bCs/>
      <w:iCs/>
      <w:color w:val="2C5A77"/>
      <w:sz w:val="28"/>
      <w:szCs w:val="28"/>
    </w:rPr>
  </w:style>
  <w:style w:type="character" w:customStyle="1" w:styleId="Heading5Char">
    <w:name w:val="Heading 5 Char"/>
    <w:link w:val="Heading5"/>
    <w:uiPriority w:val="99"/>
    <w:rsid w:val="000E0431"/>
    <w:rPr>
      <w:rFonts w:eastAsiaTheme="majorEastAsia" w:cs="Arial"/>
      <w:b/>
      <w:bCs/>
      <w:i/>
      <w:iCs/>
      <w:sz w:val="26"/>
      <w:szCs w:val="26"/>
      <w:lang w:eastAsia="en-GB"/>
    </w:rPr>
  </w:style>
  <w:style w:type="character" w:customStyle="1" w:styleId="Heading6Char">
    <w:name w:val="Heading 6 Char"/>
    <w:link w:val="Heading6"/>
    <w:uiPriority w:val="99"/>
    <w:rsid w:val="000E0431"/>
    <w:rPr>
      <w:rFonts w:eastAsiaTheme="majorEastAsia" w:cstheme="majorBidi"/>
      <w:b/>
      <w:szCs w:val="20"/>
      <w:shd w:val="pct10" w:color="auto" w:fill="auto"/>
      <w:lang w:eastAsia="en-GB"/>
    </w:rPr>
  </w:style>
  <w:style w:type="character" w:customStyle="1" w:styleId="Heading7Char">
    <w:name w:val="Heading 7 Char"/>
    <w:link w:val="Heading7"/>
    <w:uiPriority w:val="99"/>
    <w:rsid w:val="000E0431"/>
    <w:rPr>
      <w:rFonts w:eastAsiaTheme="majorEastAsia" w:cstheme="majorBidi"/>
      <w:b/>
      <w:szCs w:val="20"/>
      <w:lang w:eastAsia="en-GB"/>
    </w:rPr>
  </w:style>
  <w:style w:type="character" w:customStyle="1" w:styleId="Heading8Char">
    <w:name w:val="Heading 8 Char"/>
    <w:link w:val="Heading8"/>
    <w:semiHidden/>
    <w:rsid w:val="000E0431"/>
    <w:rPr>
      <w:rFonts w:ascii="Times New Roman" w:eastAsiaTheme="majorEastAsia" w:hAnsi="Times New Roman" w:cstheme="majorBidi"/>
      <w:i/>
      <w:iCs/>
      <w:lang w:eastAsia="en-GB"/>
    </w:rPr>
  </w:style>
  <w:style w:type="character" w:customStyle="1" w:styleId="Heading9Char">
    <w:name w:val="Heading 9 Char"/>
    <w:link w:val="Heading9"/>
    <w:semiHidden/>
    <w:rsid w:val="000E0431"/>
    <w:rPr>
      <w:rFonts w:eastAsiaTheme="majorEastAsia" w:cstheme="majorBidi"/>
      <w:b/>
      <w:i/>
      <w:snapToGrid w:val="0"/>
      <w:szCs w:val="20"/>
      <w:lang w:eastAsia="en-GB"/>
    </w:rPr>
  </w:style>
  <w:style w:type="paragraph" w:styleId="Caption">
    <w:name w:val="caption"/>
    <w:basedOn w:val="Normal"/>
    <w:next w:val="Normal"/>
    <w:uiPriority w:val="35"/>
    <w:unhideWhenUsed/>
    <w:qFormat/>
    <w:rsid w:val="000E0431"/>
    <w:rPr>
      <w:b/>
      <w:bCs/>
      <w:sz w:val="20"/>
      <w:szCs w:val="20"/>
    </w:rPr>
  </w:style>
  <w:style w:type="character" w:styleId="Strong">
    <w:name w:val="Strong"/>
    <w:basedOn w:val="DefaultParagraphFont"/>
    <w:semiHidden/>
    <w:unhideWhenUsed/>
    <w:qFormat/>
    <w:rsid w:val="000E0431"/>
    <w:rPr>
      <w:b/>
      <w:bCs/>
    </w:rPr>
  </w:style>
  <w:style w:type="character" w:styleId="Emphasis">
    <w:name w:val="Emphasis"/>
    <w:basedOn w:val="DefaultParagraphFont"/>
    <w:semiHidden/>
    <w:unhideWhenUsed/>
    <w:qFormat/>
    <w:rsid w:val="000E0431"/>
    <w:rPr>
      <w:i/>
      <w:iCs/>
    </w:rPr>
  </w:style>
  <w:style w:type="paragraph" w:styleId="NoSpacing">
    <w:name w:val="No Spacing"/>
    <w:uiPriority w:val="1"/>
    <w:unhideWhenUsed/>
    <w:qFormat/>
    <w:rsid w:val="000E0431"/>
    <w:pPr>
      <w:autoSpaceDE w:val="0"/>
      <w:autoSpaceDN w:val="0"/>
      <w:adjustRightInd w:val="0"/>
      <w:jc w:val="both"/>
    </w:pPr>
    <w:rPr>
      <w:rFonts w:eastAsia="Calibri" w:cs="Helvetica-Light"/>
      <w:color w:val="000000"/>
    </w:rPr>
  </w:style>
  <w:style w:type="paragraph" w:styleId="Quote">
    <w:name w:val="Quote"/>
    <w:basedOn w:val="Normal"/>
    <w:next w:val="Normal"/>
    <w:link w:val="QuoteChar"/>
    <w:uiPriority w:val="3"/>
    <w:qFormat/>
    <w:rsid w:val="000E0431"/>
    <w:pPr>
      <w:ind w:left="567" w:right="515"/>
    </w:pPr>
    <w:rPr>
      <w:i/>
      <w:iCs/>
    </w:rPr>
  </w:style>
  <w:style w:type="character" w:customStyle="1" w:styleId="QuoteChar">
    <w:name w:val="Quote Char"/>
    <w:link w:val="Quote"/>
    <w:uiPriority w:val="3"/>
    <w:rsid w:val="00704313"/>
    <w:rPr>
      <w:rFonts w:eastAsia="Cambria"/>
      <w:i/>
      <w:iCs/>
      <w:lang w:eastAsia="en-GB"/>
    </w:rPr>
  </w:style>
  <w:style w:type="paragraph" w:styleId="IntenseQuote">
    <w:name w:val="Intense Quote"/>
    <w:basedOn w:val="Normal"/>
    <w:next w:val="Normal"/>
    <w:link w:val="IntenseQuoteChar"/>
    <w:uiPriority w:val="30"/>
    <w:semiHidden/>
    <w:unhideWhenUsed/>
    <w:qFormat/>
    <w:rsid w:val="000E0431"/>
    <w:pPr>
      <w:pBdr>
        <w:top w:val="single" w:sz="4" w:space="10" w:color="2C5A77" w:themeColor="accent1"/>
        <w:bottom w:val="single" w:sz="4" w:space="10" w:color="2C5A77" w:themeColor="accent1"/>
      </w:pBdr>
      <w:spacing w:before="360" w:after="360"/>
      <w:ind w:left="864" w:right="864"/>
      <w:jc w:val="center"/>
    </w:pPr>
    <w:rPr>
      <w:i/>
      <w:iCs/>
      <w:color w:val="2C5A77" w:themeColor="accent1"/>
    </w:rPr>
  </w:style>
  <w:style w:type="character" w:customStyle="1" w:styleId="IntenseQuoteChar">
    <w:name w:val="Intense Quote Char"/>
    <w:basedOn w:val="DefaultParagraphFont"/>
    <w:link w:val="IntenseQuote"/>
    <w:uiPriority w:val="30"/>
    <w:semiHidden/>
    <w:rsid w:val="000E0431"/>
    <w:rPr>
      <w:rFonts w:eastAsia="Calibri" w:cs="Helvetica-Light"/>
      <w:i/>
      <w:iCs/>
      <w:color w:val="2C5A77" w:themeColor="accent1"/>
      <w:szCs w:val="24"/>
    </w:rPr>
  </w:style>
  <w:style w:type="character" w:styleId="SubtleEmphasis">
    <w:name w:val="Subtle Emphasis"/>
    <w:basedOn w:val="DefaultParagraphFont"/>
    <w:uiPriority w:val="19"/>
    <w:semiHidden/>
    <w:unhideWhenUsed/>
    <w:qFormat/>
    <w:rsid w:val="000E0431"/>
    <w:rPr>
      <w:i/>
      <w:iCs/>
      <w:color w:val="404040" w:themeColor="text1" w:themeTint="BF"/>
    </w:rPr>
  </w:style>
  <w:style w:type="character" w:styleId="IntenseEmphasis">
    <w:name w:val="Intense Emphasis"/>
    <w:basedOn w:val="DefaultParagraphFont"/>
    <w:uiPriority w:val="21"/>
    <w:semiHidden/>
    <w:unhideWhenUsed/>
    <w:qFormat/>
    <w:rsid w:val="000E0431"/>
    <w:rPr>
      <w:i/>
      <w:iCs/>
      <w:color w:val="2C5A77" w:themeColor="accent1"/>
    </w:rPr>
  </w:style>
  <w:style w:type="character" w:styleId="SubtleReference">
    <w:name w:val="Subtle Reference"/>
    <w:basedOn w:val="DefaultParagraphFont"/>
    <w:uiPriority w:val="31"/>
    <w:semiHidden/>
    <w:unhideWhenUsed/>
    <w:qFormat/>
    <w:rsid w:val="000E0431"/>
    <w:rPr>
      <w:smallCaps/>
      <w:color w:val="5A5A5A" w:themeColor="text1" w:themeTint="A5"/>
    </w:rPr>
  </w:style>
  <w:style w:type="character" w:styleId="IntenseReference">
    <w:name w:val="Intense Reference"/>
    <w:basedOn w:val="DefaultParagraphFont"/>
    <w:uiPriority w:val="32"/>
    <w:semiHidden/>
    <w:unhideWhenUsed/>
    <w:qFormat/>
    <w:rsid w:val="000E0431"/>
    <w:rPr>
      <w:b/>
      <w:bCs/>
      <w:smallCaps/>
      <w:color w:val="2C5A77" w:themeColor="accent1"/>
      <w:spacing w:val="5"/>
    </w:rPr>
  </w:style>
  <w:style w:type="character" w:styleId="BookTitle">
    <w:name w:val="Book Title"/>
    <w:basedOn w:val="DefaultParagraphFont"/>
    <w:uiPriority w:val="33"/>
    <w:semiHidden/>
    <w:unhideWhenUsed/>
    <w:qFormat/>
    <w:rsid w:val="000E0431"/>
    <w:rPr>
      <w:b/>
      <w:bCs/>
      <w:i/>
      <w:iCs/>
      <w:spacing w:val="5"/>
    </w:rPr>
  </w:style>
  <w:style w:type="paragraph" w:styleId="TOCHeading">
    <w:name w:val="TOC Heading"/>
    <w:basedOn w:val="Heading1"/>
    <w:next w:val="Normal"/>
    <w:uiPriority w:val="39"/>
    <w:unhideWhenUsed/>
    <w:qFormat/>
    <w:rsid w:val="000E0431"/>
    <w:pPr>
      <w:spacing w:before="240"/>
      <w:jc w:val="both"/>
      <w:outlineLvl w:val="9"/>
    </w:pPr>
    <w:rPr>
      <w:rFonts w:asciiTheme="majorHAnsi" w:eastAsiaTheme="majorEastAsia" w:hAnsiTheme="majorHAnsi" w:cstheme="majorBidi"/>
      <w:color w:val="000000"/>
      <w:kern w:val="32"/>
      <w:sz w:val="32"/>
      <w:szCs w:val="32"/>
      <w:lang w:eastAsia="en-US"/>
    </w:rPr>
  </w:style>
  <w:style w:type="paragraph" w:styleId="ListParagraph">
    <w:name w:val="List Paragraph"/>
    <w:aliases w:val="Bullet 1,Bullet Points,Bullet Style,Colorful List - Accent 11,Dot pt,F5 List Paragraph,Indicator Text,List Paragraph Char Char Char,List Paragraph1,List Paragraph12,List Paragraph2,MAIN CONTENT,No Spacing1,Normal numbered,Numbered Para 1"/>
    <w:basedOn w:val="Normal"/>
    <w:link w:val="ListParagraphChar"/>
    <w:uiPriority w:val="34"/>
    <w:unhideWhenUsed/>
    <w:qFormat/>
    <w:rsid w:val="000E0431"/>
    <w:pPr>
      <w:ind w:left="720"/>
      <w:contextualSpacing/>
    </w:pPr>
  </w:style>
  <w:style w:type="character" w:styleId="SmartLink">
    <w:name w:val="Smart Link"/>
    <w:basedOn w:val="DefaultParagraphFont"/>
    <w:uiPriority w:val="99"/>
    <w:semiHidden/>
    <w:unhideWhenUsed/>
    <w:rsid w:val="000E0431"/>
    <w:rPr>
      <w:color w:val="0000FF"/>
      <w:u w:val="single"/>
      <w:shd w:val="clear" w:color="auto" w:fill="F3F2F1"/>
    </w:rPr>
  </w:style>
  <w:style w:type="paragraph" w:styleId="Subtitle">
    <w:name w:val="Subtitle"/>
    <w:basedOn w:val="Normal"/>
    <w:next w:val="Normal"/>
    <w:link w:val="SubtitleChar"/>
    <w:uiPriority w:val="11"/>
    <w:qFormat/>
    <w:rsid w:val="00CF2F89"/>
    <w:pPr>
      <w:numPr>
        <w:ilvl w:val="1"/>
      </w:numPr>
    </w:pPr>
    <w:rPr>
      <w:rFonts w:ascii="Calibri" w:eastAsiaTheme="minorEastAsia" w:hAnsi="Calibri" w:cstheme="minorBidi"/>
      <w:color w:val="000000" w:themeColor="text1"/>
      <w:spacing w:val="15"/>
      <w:sz w:val="40"/>
      <w:szCs w:val="22"/>
    </w:rPr>
  </w:style>
  <w:style w:type="table" w:styleId="TableContemporary">
    <w:name w:val="Table Contemporary"/>
    <w:basedOn w:val="TableNormal"/>
    <w:uiPriority w:val="99"/>
    <w:semiHidden/>
    <w:unhideWhenUsed/>
    <w:rsid w:val="00B513B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Light">
    <w:name w:val="Grid Table Light"/>
    <w:basedOn w:val="TableNormal"/>
    <w:uiPriority w:val="40"/>
    <w:rsid w:val="0016389D"/>
    <w:rPr>
      <w:rFonts w:eastAsia="Cambr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next w:val="Normal"/>
    <w:link w:val="BodyTextChar"/>
    <w:uiPriority w:val="99"/>
    <w:qFormat/>
    <w:rsid w:val="00E02D03"/>
  </w:style>
  <w:style w:type="character" w:customStyle="1" w:styleId="BodyTextChar">
    <w:name w:val="Body Text Char"/>
    <w:link w:val="BodyText"/>
    <w:uiPriority w:val="99"/>
    <w:rsid w:val="00D61C23"/>
    <w:rPr>
      <w:rFonts w:eastAsia="Cambria"/>
      <w:lang w:eastAsia="en-GB"/>
    </w:rPr>
  </w:style>
  <w:style w:type="paragraph" w:styleId="TOC1">
    <w:name w:val="toc 1"/>
    <w:basedOn w:val="Normal"/>
    <w:next w:val="Normal"/>
    <w:uiPriority w:val="39"/>
    <w:qFormat/>
    <w:rsid w:val="002E2718"/>
    <w:pPr>
      <w:tabs>
        <w:tab w:val="right" w:leader="dot" w:pos="8647"/>
      </w:tabs>
    </w:pPr>
    <w:rPr>
      <w:bCs/>
      <w:noProof/>
      <w:szCs w:val="20"/>
    </w:rPr>
  </w:style>
  <w:style w:type="paragraph" w:customStyle="1" w:styleId="Contents">
    <w:name w:val="Contents"/>
    <w:basedOn w:val="Normal"/>
    <w:link w:val="ContentsChar"/>
    <w:uiPriority w:val="2"/>
    <w:qFormat/>
    <w:rsid w:val="000E0431"/>
    <w:rPr>
      <w:rFonts w:ascii="Calibri" w:eastAsia="Times New Roman" w:hAnsi="Calibri"/>
      <w:b/>
      <w:bCs/>
      <w:color w:val="2C5A77"/>
      <w:sz w:val="40"/>
      <w:szCs w:val="28"/>
    </w:rPr>
  </w:style>
  <w:style w:type="character" w:customStyle="1" w:styleId="ContentsChar">
    <w:name w:val="Contents Char"/>
    <w:basedOn w:val="DefaultParagraphFont"/>
    <w:link w:val="Contents"/>
    <w:uiPriority w:val="2"/>
    <w:rsid w:val="00D61C23"/>
    <w:rPr>
      <w:rFonts w:ascii="Calibri" w:eastAsia="Times New Roman" w:hAnsi="Calibri"/>
      <w:b/>
      <w:bCs/>
      <w:color w:val="2C5A77"/>
      <w:sz w:val="40"/>
      <w:szCs w:val="28"/>
      <w:lang w:eastAsia="en-GB"/>
    </w:rPr>
  </w:style>
  <w:style w:type="paragraph" w:customStyle="1" w:styleId="Bullet">
    <w:name w:val="Bullet"/>
    <w:basedOn w:val="ListParagraph"/>
    <w:uiPriority w:val="4"/>
    <w:rsid w:val="000E0431"/>
    <w:pPr>
      <w:numPr>
        <w:numId w:val="1"/>
      </w:numPr>
    </w:pPr>
    <w:rPr>
      <w:rFonts w:cs="Arial"/>
    </w:rPr>
  </w:style>
  <w:style w:type="paragraph" w:customStyle="1" w:styleId="Footnote">
    <w:name w:val="Footnote"/>
    <w:basedOn w:val="FootnoteText"/>
    <w:uiPriority w:val="99"/>
    <w:unhideWhenUsed/>
    <w:rsid w:val="000E0431"/>
    <w:pPr>
      <w:ind w:left="284" w:hanging="284"/>
    </w:pPr>
  </w:style>
  <w:style w:type="paragraph" w:styleId="FootnoteText">
    <w:name w:val="footnote text"/>
    <w:basedOn w:val="Normal"/>
    <w:link w:val="FootnoteTextChar"/>
    <w:uiPriority w:val="99"/>
    <w:unhideWhenUsed/>
    <w:qFormat/>
    <w:rsid w:val="000E0431"/>
    <w:rPr>
      <w:sz w:val="20"/>
      <w:szCs w:val="20"/>
    </w:rPr>
  </w:style>
  <w:style w:type="character" w:customStyle="1" w:styleId="FootnoteTextChar">
    <w:name w:val="Footnote Text Char"/>
    <w:link w:val="FootnoteText"/>
    <w:uiPriority w:val="99"/>
    <w:rsid w:val="00FB79E4"/>
    <w:rPr>
      <w:rFonts w:eastAsia="Cambria"/>
      <w:sz w:val="20"/>
      <w:szCs w:val="20"/>
      <w:lang w:eastAsia="en-GB"/>
    </w:rPr>
  </w:style>
  <w:style w:type="paragraph" w:customStyle="1" w:styleId="TableSource">
    <w:name w:val="Table Source"/>
    <w:basedOn w:val="Normal"/>
    <w:uiPriority w:val="3"/>
    <w:qFormat/>
    <w:rsid w:val="000E0431"/>
    <w:pPr>
      <w:spacing w:before="60"/>
    </w:pPr>
    <w:rPr>
      <w:i/>
      <w:sz w:val="18"/>
      <w:szCs w:val="18"/>
    </w:rPr>
  </w:style>
  <w:style w:type="paragraph" w:customStyle="1" w:styleId="TableTitle">
    <w:name w:val="Table Title"/>
    <w:basedOn w:val="Normal"/>
    <w:uiPriority w:val="3"/>
    <w:rsid w:val="000E0431"/>
    <w:pPr>
      <w:spacing w:before="60"/>
    </w:pPr>
    <w:rPr>
      <w:b/>
      <w:sz w:val="28"/>
      <w:szCs w:val="28"/>
    </w:rPr>
  </w:style>
  <w:style w:type="character" w:customStyle="1" w:styleId="CommentTextChar1">
    <w:name w:val="Comment Text Char1"/>
    <w:uiPriority w:val="99"/>
    <w:semiHidden/>
    <w:rsid w:val="000E0431"/>
    <w:rPr>
      <w:rFonts w:ascii="Arial" w:eastAsia="Calibri" w:hAnsi="Arial" w:cs="Helvetica-Light"/>
      <w:color w:val="000000"/>
      <w:lang w:eastAsia="en-US"/>
    </w:rPr>
  </w:style>
  <w:style w:type="character" w:customStyle="1" w:styleId="CommentSubjectChar1">
    <w:name w:val="Comment Subject Char1"/>
    <w:uiPriority w:val="99"/>
    <w:semiHidden/>
    <w:rsid w:val="000E0431"/>
    <w:rPr>
      <w:rFonts w:ascii="Arial" w:eastAsia="Calibri" w:hAnsi="Arial" w:cs="Helvetica-Light"/>
      <w:b/>
      <w:bCs/>
      <w:color w:val="000000"/>
      <w:lang w:eastAsia="en-US"/>
    </w:rPr>
  </w:style>
  <w:style w:type="paragraph" w:customStyle="1" w:styleId="TableHeadingText">
    <w:name w:val="Table Heading Text"/>
    <w:basedOn w:val="Normal"/>
    <w:uiPriority w:val="3"/>
    <w:unhideWhenUsed/>
    <w:rsid w:val="000E0431"/>
    <w:pPr>
      <w:spacing w:before="20" w:after="20"/>
    </w:pPr>
    <w:rPr>
      <w:rFonts w:eastAsia="Times New Roman" w:cs="Arial"/>
      <w:b/>
      <w:sz w:val="18"/>
      <w:szCs w:val="20"/>
    </w:rPr>
  </w:style>
  <w:style w:type="paragraph" w:customStyle="1" w:styleId="TableTextLeft">
    <w:name w:val="Table Text Left"/>
    <w:basedOn w:val="Normal"/>
    <w:semiHidden/>
    <w:unhideWhenUsed/>
    <w:rsid w:val="000E0431"/>
    <w:pPr>
      <w:spacing w:before="20" w:after="20"/>
    </w:pPr>
    <w:rPr>
      <w:rFonts w:eastAsia="Times New Roman" w:cs="Arial"/>
      <w:sz w:val="18"/>
      <w:szCs w:val="18"/>
    </w:rPr>
  </w:style>
  <w:style w:type="paragraph" w:customStyle="1" w:styleId="TableTextRight">
    <w:name w:val="Table Text Right"/>
    <w:basedOn w:val="TableTextLeft"/>
    <w:uiPriority w:val="6"/>
    <w:unhideWhenUsed/>
    <w:qFormat/>
    <w:rsid w:val="000E0431"/>
    <w:pPr>
      <w:jc w:val="right"/>
    </w:pPr>
    <w:rPr>
      <w:sz w:val="22"/>
    </w:rPr>
  </w:style>
  <w:style w:type="paragraph" w:customStyle="1" w:styleId="TableHeadingTextRight">
    <w:name w:val="Table Heading Text Right"/>
    <w:basedOn w:val="TableHeadingText"/>
    <w:uiPriority w:val="9"/>
    <w:unhideWhenUsed/>
    <w:rsid w:val="000E0431"/>
    <w:pPr>
      <w:jc w:val="right"/>
    </w:pPr>
  </w:style>
  <w:style w:type="paragraph" w:customStyle="1" w:styleId="TableText">
    <w:name w:val="Table Text"/>
    <w:basedOn w:val="Normal"/>
    <w:uiPriority w:val="3"/>
    <w:rsid w:val="000E0431"/>
    <w:pPr>
      <w:spacing w:before="40" w:after="40"/>
    </w:pPr>
    <w:rPr>
      <w:rFonts w:eastAsia="Times New Roman" w:cs="Arial"/>
      <w:sz w:val="20"/>
      <w:szCs w:val="20"/>
    </w:rPr>
  </w:style>
  <w:style w:type="paragraph" w:customStyle="1" w:styleId="TOCHeader">
    <w:name w:val="TOC Header"/>
    <w:basedOn w:val="TableTitle"/>
    <w:uiPriority w:val="39"/>
    <w:rsid w:val="00B74037"/>
    <w:rPr>
      <w:sz w:val="32"/>
    </w:rPr>
  </w:style>
  <w:style w:type="paragraph" w:customStyle="1" w:styleId="Instructiontext">
    <w:name w:val="Instruction text"/>
    <w:basedOn w:val="Normal"/>
    <w:uiPriority w:val="2"/>
    <w:unhideWhenUsed/>
    <w:qFormat/>
    <w:rsid w:val="000E0431"/>
    <w:rPr>
      <w:rFonts w:eastAsia="Times New Roman"/>
      <w:i/>
      <w:color w:val="FF0000"/>
      <w:sz w:val="22"/>
      <w:szCs w:val="22"/>
    </w:rPr>
  </w:style>
  <w:style w:type="paragraph" w:customStyle="1" w:styleId="Tableheading">
    <w:name w:val="Table heading"/>
    <w:basedOn w:val="Normal"/>
    <w:uiPriority w:val="3"/>
    <w:qFormat/>
    <w:rsid w:val="004551C8"/>
    <w:pPr>
      <w:keepNext/>
      <w:contextualSpacing/>
    </w:pPr>
    <w:rPr>
      <w:rFonts w:eastAsia="Calibri" w:cs="Arial"/>
      <w:b/>
      <w:bCs/>
      <w:color w:val="000000"/>
      <w:sz w:val="28"/>
      <w:szCs w:val="28"/>
    </w:rPr>
  </w:style>
  <w:style w:type="paragraph" w:customStyle="1" w:styleId="Figurecaption">
    <w:name w:val="Figure caption"/>
    <w:basedOn w:val="Bullet"/>
    <w:uiPriority w:val="99"/>
    <w:unhideWhenUsed/>
    <w:rsid w:val="000E0431"/>
    <w:pPr>
      <w:numPr>
        <w:numId w:val="0"/>
      </w:numPr>
    </w:pPr>
    <w:rPr>
      <w:i/>
      <w:iCs/>
    </w:rPr>
  </w:style>
  <w:style w:type="paragraph" w:styleId="Index7">
    <w:name w:val="index 7"/>
    <w:basedOn w:val="Normal"/>
    <w:next w:val="Normal"/>
    <w:autoRedefine/>
    <w:uiPriority w:val="99"/>
    <w:semiHidden/>
    <w:unhideWhenUsed/>
    <w:rsid w:val="000E0431"/>
    <w:pPr>
      <w:ind w:left="1680" w:hanging="240"/>
    </w:pPr>
  </w:style>
  <w:style w:type="paragraph" w:styleId="Index8">
    <w:name w:val="index 8"/>
    <w:basedOn w:val="Normal"/>
    <w:next w:val="Normal"/>
    <w:autoRedefine/>
    <w:uiPriority w:val="99"/>
    <w:semiHidden/>
    <w:unhideWhenUsed/>
    <w:rsid w:val="000E0431"/>
    <w:pPr>
      <w:ind w:left="1920" w:hanging="240"/>
    </w:pPr>
  </w:style>
  <w:style w:type="paragraph" w:styleId="Index9">
    <w:name w:val="index 9"/>
    <w:basedOn w:val="Normal"/>
    <w:next w:val="Normal"/>
    <w:autoRedefine/>
    <w:uiPriority w:val="99"/>
    <w:semiHidden/>
    <w:unhideWhenUsed/>
    <w:rsid w:val="000E0431"/>
    <w:pPr>
      <w:ind w:left="2160" w:hanging="240"/>
    </w:pPr>
  </w:style>
  <w:style w:type="paragraph" w:styleId="TOC2">
    <w:name w:val="toc 2"/>
    <w:basedOn w:val="TOC3"/>
    <w:next w:val="Normal"/>
    <w:uiPriority w:val="39"/>
    <w:rsid w:val="002E2718"/>
    <w:pPr>
      <w:ind w:left="454"/>
      <w:outlineLvl w:val="0"/>
    </w:pPr>
  </w:style>
  <w:style w:type="paragraph" w:styleId="TOC3">
    <w:name w:val="toc 3"/>
    <w:next w:val="Normal"/>
    <w:uiPriority w:val="39"/>
    <w:rsid w:val="002E2718"/>
    <w:pPr>
      <w:tabs>
        <w:tab w:val="right" w:leader="dot" w:pos="8647"/>
      </w:tabs>
      <w:ind w:left="737"/>
    </w:pPr>
    <w:rPr>
      <w:rFonts w:eastAsia="Cambria" w:cs="Arial"/>
      <w:noProof/>
      <w:color w:val="000000"/>
    </w:rPr>
  </w:style>
  <w:style w:type="paragraph" w:styleId="TOC4">
    <w:name w:val="toc 4"/>
    <w:basedOn w:val="Normal"/>
    <w:next w:val="Normal"/>
    <w:autoRedefine/>
    <w:uiPriority w:val="39"/>
    <w:unhideWhenUsed/>
    <w:rsid w:val="002E2718"/>
    <w:pPr>
      <w:tabs>
        <w:tab w:val="right" w:leader="dot" w:pos="8647"/>
      </w:tabs>
      <w:ind w:left="1304"/>
    </w:pPr>
  </w:style>
  <w:style w:type="paragraph" w:styleId="TOC5">
    <w:name w:val="toc 5"/>
    <w:basedOn w:val="Normal"/>
    <w:next w:val="Normal"/>
    <w:autoRedefine/>
    <w:uiPriority w:val="39"/>
    <w:semiHidden/>
    <w:unhideWhenUsed/>
    <w:rsid w:val="000E0431"/>
    <w:pPr>
      <w:ind w:left="960"/>
    </w:pPr>
  </w:style>
  <w:style w:type="paragraph" w:styleId="TOC6">
    <w:name w:val="toc 6"/>
    <w:basedOn w:val="Normal"/>
    <w:next w:val="Normal"/>
    <w:autoRedefine/>
    <w:uiPriority w:val="39"/>
    <w:semiHidden/>
    <w:unhideWhenUsed/>
    <w:rsid w:val="000E0431"/>
    <w:pPr>
      <w:ind w:left="1200"/>
    </w:pPr>
  </w:style>
  <w:style w:type="paragraph" w:styleId="TOC7">
    <w:name w:val="toc 7"/>
    <w:basedOn w:val="Normal"/>
    <w:next w:val="Normal"/>
    <w:autoRedefine/>
    <w:uiPriority w:val="39"/>
    <w:semiHidden/>
    <w:unhideWhenUsed/>
    <w:rsid w:val="000E0431"/>
    <w:pPr>
      <w:ind w:left="1440"/>
    </w:pPr>
  </w:style>
  <w:style w:type="paragraph" w:styleId="TOC8">
    <w:name w:val="toc 8"/>
    <w:basedOn w:val="Normal"/>
    <w:next w:val="Normal"/>
    <w:autoRedefine/>
    <w:uiPriority w:val="39"/>
    <w:semiHidden/>
    <w:unhideWhenUsed/>
    <w:rsid w:val="000E0431"/>
    <w:pPr>
      <w:ind w:left="1680"/>
    </w:pPr>
  </w:style>
  <w:style w:type="paragraph" w:styleId="TOC9">
    <w:name w:val="toc 9"/>
    <w:basedOn w:val="Normal"/>
    <w:next w:val="Normal"/>
    <w:autoRedefine/>
    <w:uiPriority w:val="39"/>
    <w:semiHidden/>
    <w:unhideWhenUsed/>
    <w:rsid w:val="000E0431"/>
    <w:pPr>
      <w:ind w:left="1920"/>
    </w:pPr>
  </w:style>
  <w:style w:type="paragraph" w:styleId="NormalIndent">
    <w:name w:val="Normal Indent"/>
    <w:basedOn w:val="Normal"/>
    <w:uiPriority w:val="99"/>
    <w:semiHidden/>
    <w:unhideWhenUsed/>
    <w:rsid w:val="000E0431"/>
    <w:pPr>
      <w:ind w:left="720"/>
    </w:pPr>
  </w:style>
  <w:style w:type="paragraph" w:styleId="CommentText">
    <w:name w:val="annotation text"/>
    <w:basedOn w:val="Normal"/>
    <w:link w:val="CommentTextChar"/>
    <w:uiPriority w:val="99"/>
    <w:unhideWhenUsed/>
    <w:rsid w:val="000E0431"/>
    <w:rPr>
      <w:rFonts w:eastAsia="Times New Roman" w:cs="Arial"/>
      <w:sz w:val="20"/>
      <w:szCs w:val="20"/>
    </w:rPr>
  </w:style>
  <w:style w:type="character" w:customStyle="1" w:styleId="CommentTextChar">
    <w:name w:val="Comment Text Char"/>
    <w:link w:val="CommentText"/>
    <w:uiPriority w:val="99"/>
    <w:rsid w:val="00B01544"/>
    <w:rPr>
      <w:rFonts w:eastAsia="Times New Roman" w:cs="Arial"/>
      <w:sz w:val="20"/>
      <w:szCs w:val="20"/>
      <w:lang w:eastAsia="en-GB"/>
    </w:rPr>
  </w:style>
  <w:style w:type="paragraph" w:styleId="Header">
    <w:name w:val="header"/>
    <w:basedOn w:val="Normal"/>
    <w:link w:val="HeaderChar"/>
    <w:uiPriority w:val="99"/>
    <w:rsid w:val="000E0431"/>
    <w:pPr>
      <w:tabs>
        <w:tab w:val="center" w:pos="4320"/>
        <w:tab w:val="right" w:pos="8640"/>
      </w:tabs>
    </w:pPr>
    <w:rPr>
      <w:rFonts w:ascii="Calibri" w:hAnsi="Calibri"/>
      <w:color w:val="FFFFFF"/>
      <w:sz w:val="22"/>
      <w:szCs w:val="22"/>
    </w:rPr>
  </w:style>
  <w:style w:type="character" w:customStyle="1" w:styleId="HeaderChar">
    <w:name w:val="Header Char"/>
    <w:link w:val="Header"/>
    <w:uiPriority w:val="99"/>
    <w:rsid w:val="00FB79E4"/>
    <w:rPr>
      <w:rFonts w:ascii="Calibri" w:eastAsia="Cambria" w:hAnsi="Calibri"/>
      <w:color w:val="FFFFFF"/>
      <w:sz w:val="22"/>
      <w:szCs w:val="22"/>
      <w:lang w:eastAsia="en-GB"/>
    </w:rPr>
  </w:style>
  <w:style w:type="paragraph" w:styleId="Footer">
    <w:name w:val="footer"/>
    <w:basedOn w:val="Normal"/>
    <w:link w:val="FooterChar"/>
    <w:uiPriority w:val="99"/>
    <w:unhideWhenUsed/>
    <w:rsid w:val="000E0431"/>
    <w:pPr>
      <w:jc w:val="center"/>
    </w:pPr>
    <w:rPr>
      <w:sz w:val="22"/>
      <w:szCs w:val="22"/>
    </w:rPr>
  </w:style>
  <w:style w:type="character" w:customStyle="1" w:styleId="FooterChar">
    <w:name w:val="Footer Char"/>
    <w:link w:val="Footer"/>
    <w:uiPriority w:val="99"/>
    <w:rsid w:val="00B01544"/>
    <w:rPr>
      <w:rFonts w:eastAsia="Cambria"/>
      <w:sz w:val="22"/>
      <w:szCs w:val="22"/>
      <w:lang w:eastAsia="en-GB"/>
    </w:rPr>
  </w:style>
  <w:style w:type="paragraph" w:styleId="Index1">
    <w:name w:val="index 1"/>
    <w:basedOn w:val="Normal"/>
    <w:next w:val="Normal"/>
    <w:autoRedefine/>
    <w:uiPriority w:val="99"/>
    <w:semiHidden/>
    <w:unhideWhenUsed/>
    <w:rsid w:val="000E0431"/>
    <w:pPr>
      <w:ind w:left="240" w:hanging="240"/>
    </w:pPr>
  </w:style>
  <w:style w:type="paragraph" w:styleId="IndexHeading">
    <w:name w:val="index heading"/>
    <w:basedOn w:val="Normal"/>
    <w:next w:val="Normal"/>
    <w:uiPriority w:val="99"/>
    <w:semiHidden/>
    <w:unhideWhenUsed/>
    <w:rsid w:val="000E0431"/>
    <w:rPr>
      <w:rFonts w:ascii="Cambria" w:eastAsia="Times New Roman" w:hAnsi="Cambria"/>
      <w:b/>
      <w:bCs/>
    </w:rPr>
  </w:style>
  <w:style w:type="character" w:styleId="FootnoteReference">
    <w:name w:val="footnote reference"/>
    <w:uiPriority w:val="99"/>
    <w:unhideWhenUsed/>
    <w:rsid w:val="000E0431"/>
    <w:rPr>
      <w:vertAlign w:val="superscript"/>
    </w:rPr>
  </w:style>
  <w:style w:type="character" w:styleId="PageNumber">
    <w:name w:val="page number"/>
    <w:uiPriority w:val="99"/>
    <w:rsid w:val="000E0431"/>
    <w:rPr>
      <w:rFonts w:cs="Times New Roman"/>
    </w:rPr>
  </w:style>
  <w:style w:type="character" w:styleId="EndnoteReference">
    <w:name w:val="endnote reference"/>
    <w:uiPriority w:val="99"/>
    <w:unhideWhenUsed/>
    <w:rsid w:val="000E0431"/>
    <w:rPr>
      <w:vertAlign w:val="superscript"/>
    </w:rPr>
  </w:style>
  <w:style w:type="paragraph" w:styleId="EndnoteText">
    <w:name w:val="endnote text"/>
    <w:basedOn w:val="Normal"/>
    <w:link w:val="EndnoteTextChar"/>
    <w:uiPriority w:val="99"/>
    <w:unhideWhenUsed/>
    <w:qFormat/>
    <w:rsid w:val="000E0431"/>
    <w:rPr>
      <w:sz w:val="20"/>
      <w:szCs w:val="20"/>
    </w:rPr>
  </w:style>
  <w:style w:type="character" w:customStyle="1" w:styleId="EndnoteTextChar">
    <w:name w:val="Endnote Text Char"/>
    <w:link w:val="EndnoteText"/>
    <w:uiPriority w:val="99"/>
    <w:rsid w:val="00B01544"/>
    <w:rPr>
      <w:rFonts w:eastAsia="Cambria"/>
      <w:sz w:val="20"/>
      <w:szCs w:val="20"/>
      <w:lang w:eastAsia="en-GB"/>
    </w:rPr>
  </w:style>
  <w:style w:type="paragraph" w:styleId="Date">
    <w:name w:val="Date"/>
    <w:basedOn w:val="Normal"/>
    <w:next w:val="Normal"/>
    <w:link w:val="DateChar"/>
    <w:uiPriority w:val="99"/>
    <w:unhideWhenUsed/>
    <w:rsid w:val="000E0431"/>
  </w:style>
  <w:style w:type="character" w:customStyle="1" w:styleId="DateChar">
    <w:name w:val="Date Char"/>
    <w:link w:val="Date"/>
    <w:uiPriority w:val="99"/>
    <w:rsid w:val="00B01544"/>
    <w:rPr>
      <w:rFonts w:eastAsia="Cambria"/>
      <w:lang w:eastAsia="en-GB"/>
    </w:rPr>
  </w:style>
  <w:style w:type="paragraph" w:styleId="BodyText2">
    <w:name w:val="Body Text 2"/>
    <w:basedOn w:val="Normal"/>
    <w:link w:val="BodyText2Char"/>
    <w:uiPriority w:val="99"/>
    <w:unhideWhenUsed/>
    <w:rsid w:val="000E0431"/>
    <w:pPr>
      <w:spacing w:line="480" w:lineRule="auto"/>
    </w:pPr>
  </w:style>
  <w:style w:type="character" w:customStyle="1" w:styleId="BodyText2Char">
    <w:name w:val="Body Text 2 Char"/>
    <w:link w:val="BodyText2"/>
    <w:uiPriority w:val="99"/>
    <w:semiHidden/>
    <w:rsid w:val="000E0431"/>
    <w:rPr>
      <w:rFonts w:eastAsia="Calibri" w:cs="Helvetica-Light"/>
      <w:color w:val="000000"/>
      <w:szCs w:val="24"/>
    </w:rPr>
  </w:style>
  <w:style w:type="character" w:styleId="Hyperlink">
    <w:name w:val="Hyperlink"/>
    <w:uiPriority w:val="99"/>
    <w:unhideWhenUsed/>
    <w:rsid w:val="000E0431"/>
    <w:rPr>
      <w:rFonts w:cs="Arial"/>
      <w:color w:val="0000FF"/>
      <w:u w:val="single"/>
    </w:rPr>
  </w:style>
  <w:style w:type="character" w:styleId="FollowedHyperlink">
    <w:name w:val="FollowedHyperlink"/>
    <w:semiHidden/>
    <w:unhideWhenUsed/>
    <w:rsid w:val="000E0431"/>
    <w:rPr>
      <w:color w:val="800080"/>
      <w:u w:val="single"/>
    </w:rPr>
  </w:style>
  <w:style w:type="paragraph" w:styleId="HTMLPreformatted">
    <w:name w:val="HTML Preformatted"/>
    <w:basedOn w:val="Normal"/>
    <w:link w:val="HTMLPreformattedChar"/>
    <w:uiPriority w:val="99"/>
    <w:unhideWhenUsed/>
    <w:rsid w:val="000E0431"/>
    <w:rPr>
      <w:rFonts w:ascii="Courier New" w:hAnsi="Courier New" w:cs="Courier New"/>
      <w:sz w:val="20"/>
      <w:szCs w:val="20"/>
    </w:rPr>
  </w:style>
  <w:style w:type="character" w:customStyle="1" w:styleId="HTMLPreformattedChar">
    <w:name w:val="HTML Preformatted Char"/>
    <w:link w:val="HTMLPreformatted"/>
    <w:uiPriority w:val="99"/>
    <w:rsid w:val="000E0431"/>
    <w:rPr>
      <w:rFonts w:ascii="Courier New" w:eastAsia="Calibri" w:hAnsi="Courier New" w:cs="Courier New"/>
      <w:color w:val="000000"/>
      <w:sz w:val="20"/>
    </w:rPr>
  </w:style>
  <w:style w:type="table" w:styleId="TableList4">
    <w:name w:val="Table List 4"/>
    <w:basedOn w:val="TableNormal"/>
    <w:rsid w:val="000E0431"/>
    <w:rPr>
      <w:rFonts w:ascii="Times New Roman" w:eastAsia="Times New Roman" w:hAnsi="Times New Roman"/>
      <w:sz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ibliography">
    <w:name w:val="Bibliography"/>
    <w:basedOn w:val="Normal"/>
    <w:next w:val="Normal"/>
    <w:uiPriority w:val="37"/>
    <w:semiHidden/>
    <w:unhideWhenUsed/>
    <w:rsid w:val="000E0431"/>
  </w:style>
  <w:style w:type="character" w:styleId="UnresolvedMention">
    <w:name w:val="Unresolved Mention"/>
    <w:uiPriority w:val="99"/>
    <w:semiHidden/>
    <w:unhideWhenUsed/>
    <w:rsid w:val="000E0431"/>
    <w:rPr>
      <w:color w:val="605E5C"/>
      <w:shd w:val="clear" w:color="auto" w:fill="E1DFDD"/>
    </w:rPr>
  </w:style>
  <w:style w:type="table" w:styleId="GridTable4-Accent5">
    <w:name w:val="Grid Table 4 Accent 5"/>
    <w:basedOn w:val="TableNormal"/>
    <w:uiPriority w:val="49"/>
    <w:rsid w:val="001A1EC2"/>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paragraph" w:customStyle="1" w:styleId="AgendaHeading1">
    <w:name w:val="Agenda Heading 1"/>
    <w:basedOn w:val="Normal"/>
    <w:next w:val="Normal"/>
    <w:uiPriority w:val="2"/>
    <w:qFormat/>
    <w:rsid w:val="00E07CD9"/>
    <w:pPr>
      <w:outlineLvl w:val="0"/>
    </w:pPr>
    <w:rPr>
      <w:rFonts w:ascii="Calibri" w:eastAsia="Times New Roman" w:hAnsi="Calibri" w:cs="Calibri"/>
      <w:b/>
      <w:bCs/>
      <w:sz w:val="40"/>
      <w:szCs w:val="28"/>
      <w:lang w:eastAsia="en-US"/>
    </w:rPr>
  </w:style>
  <w:style w:type="paragraph" w:customStyle="1" w:styleId="AgendaHeading2">
    <w:name w:val="Agenda Heading 2"/>
    <w:basedOn w:val="Normal"/>
    <w:next w:val="Normal"/>
    <w:uiPriority w:val="2"/>
    <w:qFormat/>
    <w:rsid w:val="00375A63"/>
    <w:pPr>
      <w:outlineLvl w:val="1"/>
    </w:pPr>
    <w:rPr>
      <w:rFonts w:ascii="Calibri" w:eastAsia="Times New Roman" w:hAnsi="Calibri" w:cs="Calibri"/>
      <w:b/>
      <w:bCs/>
      <w:color w:val="2C5A77"/>
      <w:sz w:val="32"/>
      <w:szCs w:val="26"/>
      <w:lang w:eastAsia="en-US"/>
    </w:rPr>
  </w:style>
  <w:style w:type="character" w:customStyle="1" w:styleId="SubtitleChar">
    <w:name w:val="Subtitle Char"/>
    <w:basedOn w:val="DefaultParagraphFont"/>
    <w:link w:val="Subtitle"/>
    <w:uiPriority w:val="11"/>
    <w:rsid w:val="00CF2F89"/>
    <w:rPr>
      <w:rFonts w:ascii="Calibri" w:eastAsiaTheme="minorEastAsia" w:hAnsi="Calibri" w:cstheme="minorBidi"/>
      <w:color w:val="000000" w:themeColor="text1"/>
      <w:spacing w:val="15"/>
      <w:sz w:val="40"/>
      <w:szCs w:val="22"/>
      <w:lang w:eastAsia="en-GB"/>
    </w:rPr>
  </w:style>
  <w:style w:type="character" w:customStyle="1" w:styleId="ListParagraphChar">
    <w:name w:val="List Paragraph Char"/>
    <w:aliases w:val="Bullet 1 Char,Bullet Points Char,Bullet Style Char,Colorful List - Accent 11 Char,Dot pt Char,F5 List Paragraph Char,Indicator Text Char,List Paragraph Char Char Char Char,List Paragraph1 Char,List Paragraph12 Char,MAIN CONTENT Char"/>
    <w:link w:val="ListParagraph"/>
    <w:uiPriority w:val="34"/>
    <w:locked/>
    <w:rsid w:val="00320643"/>
    <w:rPr>
      <w:rFonts w:eastAsia="Cambria"/>
      <w:lang w:eastAsia="en-GB"/>
    </w:rPr>
  </w:style>
  <w:style w:type="table" w:customStyle="1" w:styleId="TableGrid19">
    <w:name w:val="Table Grid19"/>
    <w:basedOn w:val="TableNormal"/>
    <w:next w:val="TableGrid"/>
    <w:uiPriority w:val="59"/>
    <w:rsid w:val="00320643"/>
    <w:rPr>
      <w:rFonts w:eastAsia="Cambr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20643"/>
  </w:style>
  <w:style w:type="character" w:styleId="CommentReference">
    <w:name w:val="annotation reference"/>
    <w:basedOn w:val="DefaultParagraphFont"/>
    <w:uiPriority w:val="99"/>
    <w:semiHidden/>
    <w:unhideWhenUsed/>
    <w:rsid w:val="00470894"/>
    <w:rPr>
      <w:sz w:val="16"/>
      <w:szCs w:val="16"/>
    </w:rPr>
  </w:style>
  <w:style w:type="paragraph" w:styleId="CommentSubject">
    <w:name w:val="annotation subject"/>
    <w:basedOn w:val="CommentText"/>
    <w:next w:val="CommentText"/>
    <w:link w:val="CommentSubjectChar"/>
    <w:uiPriority w:val="99"/>
    <w:semiHidden/>
    <w:unhideWhenUsed/>
    <w:rsid w:val="00470894"/>
    <w:rPr>
      <w:rFonts w:eastAsia="Cambria" w:cs="Times New Roman"/>
      <w:b/>
      <w:bCs/>
    </w:rPr>
  </w:style>
  <w:style w:type="character" w:customStyle="1" w:styleId="CommentSubjectChar">
    <w:name w:val="Comment Subject Char"/>
    <w:basedOn w:val="CommentTextChar"/>
    <w:link w:val="CommentSubject"/>
    <w:uiPriority w:val="99"/>
    <w:semiHidden/>
    <w:rsid w:val="00470894"/>
    <w:rPr>
      <w:rFonts w:eastAsia="Cambria" w:cs="Arial"/>
      <w:b/>
      <w:bCs/>
      <w:sz w:val="20"/>
      <w:szCs w:val="20"/>
      <w:lang w:eastAsia="en-GB"/>
    </w:rPr>
  </w:style>
  <w:style w:type="paragraph" w:styleId="Revision">
    <w:name w:val="Revision"/>
    <w:hidden/>
    <w:uiPriority w:val="99"/>
    <w:semiHidden/>
    <w:rsid w:val="007040FA"/>
    <w:rPr>
      <w:rFonts w:eastAsia="Cambria"/>
      <w:lang w:eastAsia="en-GB"/>
    </w:rPr>
  </w:style>
  <w:style w:type="paragraph" w:styleId="BodyTextIndent">
    <w:name w:val="Body Text Indent"/>
    <w:basedOn w:val="Normal"/>
    <w:link w:val="BodyTextIndentChar"/>
    <w:uiPriority w:val="99"/>
    <w:unhideWhenUsed/>
    <w:rsid w:val="00B75D18"/>
    <w:pPr>
      <w:spacing w:after="120"/>
      <w:ind w:left="283"/>
    </w:pPr>
    <w:rPr>
      <w:rFonts w:eastAsia="Times New Roman"/>
      <w:szCs w:val="20"/>
    </w:rPr>
  </w:style>
  <w:style w:type="character" w:customStyle="1" w:styleId="BodyTextIndentChar">
    <w:name w:val="Body Text Indent Char"/>
    <w:basedOn w:val="DefaultParagraphFont"/>
    <w:link w:val="BodyTextIndent"/>
    <w:uiPriority w:val="99"/>
    <w:rsid w:val="00B75D18"/>
    <w:rPr>
      <w:rFonts w:eastAsia="Times New Roman"/>
      <w:szCs w:val="20"/>
      <w:lang w:eastAsia="en-GB"/>
    </w:rPr>
  </w:style>
  <w:style w:type="character" w:styleId="Mention">
    <w:name w:val="Mention"/>
    <w:basedOn w:val="DefaultParagraphFont"/>
    <w:uiPriority w:val="99"/>
    <w:unhideWhenUsed/>
    <w:rsid w:val="00B75D18"/>
    <w:rPr>
      <w:color w:val="2B579A"/>
      <w:shd w:val="clear" w:color="auto" w:fill="E1DFDD"/>
    </w:rPr>
  </w:style>
  <w:style w:type="paragraph" w:customStyle="1" w:styleId="NumberedParaCharCharChar1CharCharCharChar">
    <w:name w:val="Numbered Para Char Char Char1 Char Char Char Char"/>
    <w:basedOn w:val="Normal"/>
    <w:link w:val="NumberedParaCharCharChar1CharCharCharCharChar"/>
    <w:rsid w:val="002B7CC7"/>
    <w:pPr>
      <w:numPr>
        <w:ilvl w:val="1"/>
        <w:numId w:val="13"/>
      </w:numPr>
      <w:tabs>
        <w:tab w:val="clear" w:pos="87"/>
        <w:tab w:val="num" w:pos="567"/>
      </w:tabs>
      <w:spacing w:before="120" w:after="180"/>
      <w:jc w:val="both"/>
    </w:pPr>
    <w:rPr>
      <w:rFonts w:eastAsia="Times New Roman"/>
      <w:lang w:val="en-AU"/>
    </w:rPr>
  </w:style>
  <w:style w:type="character" w:customStyle="1" w:styleId="NumberedParaCharCharChar1CharCharCharCharChar">
    <w:name w:val="Numbered Para Char Char Char1 Char Char Char Char Char"/>
    <w:link w:val="NumberedParaCharCharChar1CharCharCharChar"/>
    <w:rsid w:val="00400D0A"/>
    <w:rPr>
      <w:rFonts w:eastAsia="Times New Roman"/>
      <w:lang w:val="en-AU" w:eastAsia="en-GB"/>
    </w:rPr>
  </w:style>
  <w:style w:type="paragraph" w:customStyle="1" w:styleId="H1NoNumb">
    <w:name w:val="H1 No Numb"/>
    <w:basedOn w:val="Heading1"/>
    <w:next w:val="BodyText"/>
    <w:link w:val="H1NoNumbChar"/>
    <w:qFormat/>
    <w:rsid w:val="0020071D"/>
    <w:pPr>
      <w:autoSpaceDE w:val="0"/>
      <w:autoSpaceDN w:val="0"/>
      <w:adjustRightInd w:val="0"/>
      <w:spacing w:before="120" w:after="120"/>
    </w:pPr>
    <w:rPr>
      <w:rFonts w:cs="Helvetica-Light"/>
    </w:rPr>
  </w:style>
  <w:style w:type="character" w:customStyle="1" w:styleId="H1NoNumbChar">
    <w:name w:val="H1 No Numb Char"/>
    <w:link w:val="H1NoNumb"/>
    <w:rsid w:val="0020071D"/>
    <w:rPr>
      <w:rFonts w:ascii="Calibri" w:eastAsia="Times New Roman" w:hAnsi="Calibri" w:cs="Helvetica-Light"/>
      <w:b/>
      <w:bCs/>
      <w:color w:val="2C5A77"/>
      <w:sz w:val="40"/>
      <w:szCs w:val="28"/>
      <w:lang w:eastAsia="en-GB"/>
    </w:rPr>
  </w:style>
  <w:style w:type="paragraph" w:styleId="BalloonText">
    <w:name w:val="Balloon Text"/>
    <w:basedOn w:val="Normal"/>
    <w:link w:val="BalloonTextChar"/>
    <w:uiPriority w:val="99"/>
    <w:semiHidden/>
    <w:rsid w:val="00290A8A"/>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90A8A"/>
    <w:rPr>
      <w:rFonts w:ascii="Tahoma" w:eastAsia="Times New Roman" w:hAnsi="Tahoma" w:cs="Tahoma"/>
      <w:sz w:val="16"/>
      <w:szCs w:val="16"/>
      <w:lang w:eastAsia="en-GB"/>
    </w:rPr>
  </w:style>
  <w:style w:type="paragraph" w:styleId="PlainText">
    <w:name w:val="Plain Text"/>
    <w:basedOn w:val="Normal"/>
    <w:link w:val="PlainTextChar"/>
    <w:uiPriority w:val="99"/>
    <w:rsid w:val="00290A8A"/>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290A8A"/>
    <w:rPr>
      <w:rFonts w:ascii="Consolas" w:eastAsia="Times New Roman" w:hAnsi="Consolas" w:cs="Consolas"/>
      <w:sz w:val="21"/>
      <w:szCs w:val="21"/>
      <w:lang w:eastAsia="en-GB"/>
    </w:rPr>
  </w:style>
  <w:style w:type="numbering" w:customStyle="1" w:styleId="List1">
    <w:name w:val="List1"/>
    <w:rsid w:val="00290A8A"/>
    <w:pPr>
      <w:numPr>
        <w:numId w:val="39"/>
      </w:numPr>
    </w:pPr>
  </w:style>
  <w:style w:type="paragraph" w:customStyle="1" w:styleId="Default">
    <w:name w:val="Default"/>
    <w:rsid w:val="00290A8A"/>
    <w:pPr>
      <w:autoSpaceDE w:val="0"/>
      <w:autoSpaceDN w:val="0"/>
      <w:adjustRightInd w:val="0"/>
    </w:pPr>
    <w:rPr>
      <w:rFonts w:ascii="Trebuchet MS" w:eastAsia="Times New Roman"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ouncil.lancashire.gov.uk/ecSDDisplayClassic.aspx?NAME=SD2822&amp;ID=2822&amp;RPID=29820232&amp;sch=doc&amp;cat=14956&amp;path=14955%2c14956"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ad.lancscc.net\azureshares\RES\County%20Treasurer\Treasury\TM%20Strategy%20reports\2024-25\Estimated%20capital%20financing%20requirements%202023-24%20Update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LIability Benchmark based on CFR and Actual Debt as at 30 November 2023</a:t>
            </a:r>
          </a:p>
        </c:rich>
      </c:tx>
      <c:layout>
        <c:manualLayout>
          <c:xMode val="edge"/>
          <c:yMode val="edge"/>
          <c:x val="0.19403111118886346"/>
          <c:y val="3.3399455190838809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944091153760044E-2"/>
          <c:y val="0.12133291849157153"/>
          <c:w val="0.88257151159190406"/>
          <c:h val="0.80633973944746273"/>
        </c:manualLayout>
      </c:layout>
      <c:lineChart>
        <c:grouping val="standard"/>
        <c:varyColors val="0"/>
        <c:ser>
          <c:idx val="0"/>
          <c:order val="0"/>
          <c:tx>
            <c:strRef>
              <c:f>'LB Graph Report'!$B$4</c:f>
              <c:strCache>
                <c:ptCount val="1"/>
                <c:pt idx="0">
                  <c:v>Existing Debt outstanding</c:v>
                </c:pt>
              </c:strCache>
            </c:strRef>
          </c:tx>
          <c:spPr>
            <a:ln w="28575" cap="rnd">
              <a:solidFill>
                <a:schemeClr val="accent1"/>
              </a:solidFill>
              <a:round/>
            </a:ln>
            <a:effectLst/>
          </c:spPr>
          <c:marker>
            <c:symbol val="none"/>
          </c:marker>
          <c:cat>
            <c:strRef>
              <c:f>'LB Graph Report'!$A$5:$A$55</c:f>
              <c:strCache>
                <c:ptCount val="51"/>
                <c:pt idx="0">
                  <c:v>2022/23</c:v>
                </c:pt>
                <c:pt idx="1">
                  <c:v>2023/24</c:v>
                </c:pt>
                <c:pt idx="2">
                  <c:v>2024/25</c:v>
                </c:pt>
                <c:pt idx="3">
                  <c:v>2025/26</c:v>
                </c:pt>
                <c:pt idx="4">
                  <c:v>2026/27</c:v>
                </c:pt>
                <c:pt idx="5">
                  <c:v>2027/28</c:v>
                </c:pt>
                <c:pt idx="6">
                  <c:v>2028/29</c:v>
                </c:pt>
                <c:pt idx="7">
                  <c:v>2029/30</c:v>
                </c:pt>
                <c:pt idx="8">
                  <c:v>2030/31</c:v>
                </c:pt>
                <c:pt idx="9">
                  <c:v>2031/32</c:v>
                </c:pt>
                <c:pt idx="10">
                  <c:v>2032/33</c:v>
                </c:pt>
                <c:pt idx="11">
                  <c:v>2033/34</c:v>
                </c:pt>
                <c:pt idx="12">
                  <c:v>2034/35</c:v>
                </c:pt>
                <c:pt idx="13">
                  <c:v>2035/36</c:v>
                </c:pt>
                <c:pt idx="14">
                  <c:v>2036/37</c:v>
                </c:pt>
                <c:pt idx="15">
                  <c:v>2037/38</c:v>
                </c:pt>
                <c:pt idx="16">
                  <c:v>2038/39</c:v>
                </c:pt>
                <c:pt idx="17">
                  <c:v>2039/40</c:v>
                </c:pt>
                <c:pt idx="18">
                  <c:v>2040/41</c:v>
                </c:pt>
                <c:pt idx="19">
                  <c:v>2041/42</c:v>
                </c:pt>
                <c:pt idx="20">
                  <c:v>2042/43</c:v>
                </c:pt>
                <c:pt idx="21">
                  <c:v>2043/44</c:v>
                </c:pt>
                <c:pt idx="22">
                  <c:v>2044/45</c:v>
                </c:pt>
                <c:pt idx="23">
                  <c:v>2045/46</c:v>
                </c:pt>
                <c:pt idx="24">
                  <c:v>2046/47</c:v>
                </c:pt>
                <c:pt idx="25">
                  <c:v>2047/48</c:v>
                </c:pt>
                <c:pt idx="26">
                  <c:v>2048/49</c:v>
                </c:pt>
                <c:pt idx="27">
                  <c:v>2049/50</c:v>
                </c:pt>
                <c:pt idx="28">
                  <c:v>2050/51</c:v>
                </c:pt>
                <c:pt idx="29">
                  <c:v>2051/52</c:v>
                </c:pt>
                <c:pt idx="30">
                  <c:v>2052/53</c:v>
                </c:pt>
                <c:pt idx="31">
                  <c:v>2053/54</c:v>
                </c:pt>
                <c:pt idx="32">
                  <c:v>2054/55</c:v>
                </c:pt>
                <c:pt idx="33">
                  <c:v>2055/56</c:v>
                </c:pt>
                <c:pt idx="34">
                  <c:v>2056/57</c:v>
                </c:pt>
                <c:pt idx="35">
                  <c:v>2057/58</c:v>
                </c:pt>
                <c:pt idx="36">
                  <c:v>2058/59</c:v>
                </c:pt>
                <c:pt idx="37">
                  <c:v>2059/60</c:v>
                </c:pt>
                <c:pt idx="38">
                  <c:v>2060/61</c:v>
                </c:pt>
                <c:pt idx="39">
                  <c:v>2061/62</c:v>
                </c:pt>
                <c:pt idx="40">
                  <c:v>2062/63</c:v>
                </c:pt>
                <c:pt idx="41">
                  <c:v>2063/64</c:v>
                </c:pt>
                <c:pt idx="42">
                  <c:v>2064/65</c:v>
                </c:pt>
                <c:pt idx="43">
                  <c:v>2065/66</c:v>
                </c:pt>
                <c:pt idx="44">
                  <c:v>2066/67</c:v>
                </c:pt>
                <c:pt idx="45">
                  <c:v>2067/68</c:v>
                </c:pt>
                <c:pt idx="46">
                  <c:v>2068/69</c:v>
                </c:pt>
                <c:pt idx="47">
                  <c:v>2069/70</c:v>
                </c:pt>
                <c:pt idx="48">
                  <c:v>2070/71</c:v>
                </c:pt>
                <c:pt idx="49">
                  <c:v>2071/72</c:v>
                </c:pt>
                <c:pt idx="50">
                  <c:v>2072/73</c:v>
                </c:pt>
              </c:strCache>
            </c:strRef>
          </c:cat>
          <c:val>
            <c:numRef>
              <c:f>'LB Graph Report'!$B$5:$B$55</c:f>
              <c:numCache>
                <c:formatCode>#,##0</c:formatCode>
                <c:ptCount val="51"/>
                <c:pt idx="0">
                  <c:v>1181199.9999999998</c:v>
                </c:pt>
                <c:pt idx="1">
                  <c:v>1029525.0000000001</c:v>
                </c:pt>
                <c:pt idx="2">
                  <c:v>490722</c:v>
                </c:pt>
                <c:pt idx="3">
                  <c:v>439783</c:v>
                </c:pt>
                <c:pt idx="4">
                  <c:v>433779</c:v>
                </c:pt>
                <c:pt idx="5">
                  <c:v>429306</c:v>
                </c:pt>
                <c:pt idx="6">
                  <c:v>423228</c:v>
                </c:pt>
                <c:pt idx="7">
                  <c:v>415995</c:v>
                </c:pt>
                <c:pt idx="8">
                  <c:v>420018</c:v>
                </c:pt>
                <c:pt idx="9">
                  <c:v>409013</c:v>
                </c:pt>
                <c:pt idx="10">
                  <c:v>392945</c:v>
                </c:pt>
                <c:pt idx="11">
                  <c:v>376922</c:v>
                </c:pt>
                <c:pt idx="12">
                  <c:v>380906</c:v>
                </c:pt>
                <c:pt idx="13">
                  <c:v>384959</c:v>
                </c:pt>
                <c:pt idx="14">
                  <c:v>389084</c:v>
                </c:pt>
                <c:pt idx="15">
                  <c:v>392174</c:v>
                </c:pt>
                <c:pt idx="16">
                  <c:v>395341</c:v>
                </c:pt>
                <c:pt idx="17">
                  <c:v>397483</c:v>
                </c:pt>
                <c:pt idx="18">
                  <c:v>398541</c:v>
                </c:pt>
                <c:pt idx="19">
                  <c:v>369598</c:v>
                </c:pt>
                <c:pt idx="20">
                  <c:v>370628</c:v>
                </c:pt>
                <c:pt idx="21">
                  <c:v>371633</c:v>
                </c:pt>
                <c:pt idx="22">
                  <c:v>372640</c:v>
                </c:pt>
                <c:pt idx="23">
                  <c:v>373645</c:v>
                </c:pt>
                <c:pt idx="24">
                  <c:v>374107</c:v>
                </c:pt>
                <c:pt idx="25">
                  <c:v>374569</c:v>
                </c:pt>
                <c:pt idx="26">
                  <c:v>375031</c:v>
                </c:pt>
                <c:pt idx="27">
                  <c:v>375493</c:v>
                </c:pt>
                <c:pt idx="28">
                  <c:v>375955</c:v>
                </c:pt>
                <c:pt idx="29">
                  <c:v>376417</c:v>
                </c:pt>
                <c:pt idx="30">
                  <c:v>376815</c:v>
                </c:pt>
                <c:pt idx="31">
                  <c:v>377213</c:v>
                </c:pt>
                <c:pt idx="32">
                  <c:v>377611</c:v>
                </c:pt>
                <c:pt idx="33">
                  <c:v>378009</c:v>
                </c:pt>
                <c:pt idx="34">
                  <c:v>378408</c:v>
                </c:pt>
                <c:pt idx="35">
                  <c:v>348806</c:v>
                </c:pt>
                <c:pt idx="36">
                  <c:v>349204</c:v>
                </c:pt>
                <c:pt idx="37">
                  <c:v>349602</c:v>
                </c:pt>
                <c:pt idx="38">
                  <c:v>100000</c:v>
                </c:pt>
                <c:pt idx="39">
                  <c:v>100000</c:v>
                </c:pt>
                <c:pt idx="40">
                  <c:v>100000</c:v>
                </c:pt>
                <c:pt idx="41">
                  <c:v>100000</c:v>
                </c:pt>
                <c:pt idx="42">
                  <c:v>90000</c:v>
                </c:pt>
                <c:pt idx="43">
                  <c:v>80000</c:v>
                </c:pt>
                <c:pt idx="44">
                  <c:v>75000</c:v>
                </c:pt>
                <c:pt idx="45">
                  <c:v>55000</c:v>
                </c:pt>
                <c:pt idx="46">
                  <c:v>35000</c:v>
                </c:pt>
                <c:pt idx="47">
                  <c:v>0</c:v>
                </c:pt>
                <c:pt idx="48">
                  <c:v>0</c:v>
                </c:pt>
                <c:pt idx="49">
                  <c:v>0</c:v>
                </c:pt>
                <c:pt idx="50">
                  <c:v>0</c:v>
                </c:pt>
              </c:numCache>
            </c:numRef>
          </c:val>
          <c:smooth val="0"/>
          <c:extLst>
            <c:ext xmlns:c16="http://schemas.microsoft.com/office/drawing/2014/chart" uri="{C3380CC4-5D6E-409C-BE32-E72D297353CC}">
              <c16:uniqueId val="{00000000-8D22-45A6-8874-5F17D67D929D}"/>
            </c:ext>
          </c:extLst>
        </c:ser>
        <c:ser>
          <c:idx val="1"/>
          <c:order val="1"/>
          <c:tx>
            <c:strRef>
              <c:f>'LB Graph Report'!$C$4</c:f>
              <c:strCache>
                <c:ptCount val="1"/>
                <c:pt idx="0">
                  <c:v>Forecast Net Loans Requirement</c:v>
                </c:pt>
              </c:strCache>
            </c:strRef>
          </c:tx>
          <c:spPr>
            <a:ln w="28575" cap="rnd">
              <a:solidFill>
                <a:schemeClr val="accent2"/>
              </a:solidFill>
              <a:round/>
            </a:ln>
            <a:effectLst/>
          </c:spPr>
          <c:marker>
            <c:symbol val="none"/>
          </c:marker>
          <c:cat>
            <c:strRef>
              <c:f>'LB Graph Report'!$A$5:$A$55</c:f>
              <c:strCache>
                <c:ptCount val="51"/>
                <c:pt idx="0">
                  <c:v>2022/23</c:v>
                </c:pt>
                <c:pt idx="1">
                  <c:v>2023/24</c:v>
                </c:pt>
                <c:pt idx="2">
                  <c:v>2024/25</c:v>
                </c:pt>
                <c:pt idx="3">
                  <c:v>2025/26</c:v>
                </c:pt>
                <c:pt idx="4">
                  <c:v>2026/27</c:v>
                </c:pt>
                <c:pt idx="5">
                  <c:v>2027/28</c:v>
                </c:pt>
                <c:pt idx="6">
                  <c:v>2028/29</c:v>
                </c:pt>
                <c:pt idx="7">
                  <c:v>2029/30</c:v>
                </c:pt>
                <c:pt idx="8">
                  <c:v>2030/31</c:v>
                </c:pt>
                <c:pt idx="9">
                  <c:v>2031/32</c:v>
                </c:pt>
                <c:pt idx="10">
                  <c:v>2032/33</c:v>
                </c:pt>
                <c:pt idx="11">
                  <c:v>2033/34</c:v>
                </c:pt>
                <c:pt idx="12">
                  <c:v>2034/35</c:v>
                </c:pt>
                <c:pt idx="13">
                  <c:v>2035/36</c:v>
                </c:pt>
                <c:pt idx="14">
                  <c:v>2036/37</c:v>
                </c:pt>
                <c:pt idx="15">
                  <c:v>2037/38</c:v>
                </c:pt>
                <c:pt idx="16">
                  <c:v>2038/39</c:v>
                </c:pt>
                <c:pt idx="17">
                  <c:v>2039/40</c:v>
                </c:pt>
                <c:pt idx="18">
                  <c:v>2040/41</c:v>
                </c:pt>
                <c:pt idx="19">
                  <c:v>2041/42</c:v>
                </c:pt>
                <c:pt idx="20">
                  <c:v>2042/43</c:v>
                </c:pt>
                <c:pt idx="21">
                  <c:v>2043/44</c:v>
                </c:pt>
                <c:pt idx="22">
                  <c:v>2044/45</c:v>
                </c:pt>
                <c:pt idx="23">
                  <c:v>2045/46</c:v>
                </c:pt>
                <c:pt idx="24">
                  <c:v>2046/47</c:v>
                </c:pt>
                <c:pt idx="25">
                  <c:v>2047/48</c:v>
                </c:pt>
                <c:pt idx="26">
                  <c:v>2048/49</c:v>
                </c:pt>
                <c:pt idx="27">
                  <c:v>2049/50</c:v>
                </c:pt>
                <c:pt idx="28">
                  <c:v>2050/51</c:v>
                </c:pt>
                <c:pt idx="29">
                  <c:v>2051/52</c:v>
                </c:pt>
                <c:pt idx="30">
                  <c:v>2052/53</c:v>
                </c:pt>
                <c:pt idx="31">
                  <c:v>2053/54</c:v>
                </c:pt>
                <c:pt idx="32">
                  <c:v>2054/55</c:v>
                </c:pt>
                <c:pt idx="33">
                  <c:v>2055/56</c:v>
                </c:pt>
                <c:pt idx="34">
                  <c:v>2056/57</c:v>
                </c:pt>
                <c:pt idx="35">
                  <c:v>2057/58</c:v>
                </c:pt>
                <c:pt idx="36">
                  <c:v>2058/59</c:v>
                </c:pt>
                <c:pt idx="37">
                  <c:v>2059/60</c:v>
                </c:pt>
                <c:pt idx="38">
                  <c:v>2060/61</c:v>
                </c:pt>
                <c:pt idx="39">
                  <c:v>2061/62</c:v>
                </c:pt>
                <c:pt idx="40">
                  <c:v>2062/63</c:v>
                </c:pt>
                <c:pt idx="41">
                  <c:v>2063/64</c:v>
                </c:pt>
                <c:pt idx="42">
                  <c:v>2064/65</c:v>
                </c:pt>
                <c:pt idx="43">
                  <c:v>2065/66</c:v>
                </c:pt>
                <c:pt idx="44">
                  <c:v>2066/67</c:v>
                </c:pt>
                <c:pt idx="45">
                  <c:v>2067/68</c:v>
                </c:pt>
                <c:pt idx="46">
                  <c:v>2068/69</c:v>
                </c:pt>
                <c:pt idx="47">
                  <c:v>2069/70</c:v>
                </c:pt>
                <c:pt idx="48">
                  <c:v>2070/71</c:v>
                </c:pt>
                <c:pt idx="49">
                  <c:v>2071/72</c:v>
                </c:pt>
                <c:pt idx="50">
                  <c:v>2072/73</c:v>
                </c:pt>
              </c:strCache>
            </c:strRef>
          </c:cat>
          <c:val>
            <c:numRef>
              <c:f>'LB Graph Report'!$C$5:$C$55</c:f>
              <c:numCache>
                <c:formatCode>#,##0</c:formatCode>
                <c:ptCount val="51"/>
                <c:pt idx="0">
                  <c:v>520999.99999999988</c:v>
                </c:pt>
                <c:pt idx="1">
                  <c:v>539342.31068064424</c:v>
                </c:pt>
                <c:pt idx="2">
                  <c:v>555302.30882372404</c:v>
                </c:pt>
                <c:pt idx="3">
                  <c:v>569662.92223967321</c:v>
                </c:pt>
                <c:pt idx="4">
                  <c:v>585334.07476849959</c:v>
                </c:pt>
                <c:pt idx="5">
                  <c:v>603278.6860614114</c:v>
                </c:pt>
                <c:pt idx="6">
                  <c:v>569140.67135043337</c:v>
                </c:pt>
                <c:pt idx="7">
                  <c:v>534665.9412053515</c:v>
                </c:pt>
                <c:pt idx="8">
                  <c:v>499258.40127729013</c:v>
                </c:pt>
                <c:pt idx="9">
                  <c:v>459213.95202818542</c:v>
                </c:pt>
                <c:pt idx="10">
                  <c:v>410343.48844537995</c:v>
                </c:pt>
                <c:pt idx="11">
                  <c:v>359915.89974052017</c:v>
                </c:pt>
                <c:pt idx="12">
                  <c:v>307994.0690318931</c:v>
                </c:pt>
                <c:pt idx="13">
                  <c:v>255163.87300929154</c:v>
                </c:pt>
                <c:pt idx="14">
                  <c:v>201850.18158044689</c:v>
                </c:pt>
                <c:pt idx="15">
                  <c:v>150516.8574980158</c:v>
                </c:pt>
                <c:pt idx="16">
                  <c:v>97285.755966050987</c:v>
                </c:pt>
                <c:pt idx="17">
                  <c:v>56789.724224828111</c:v>
                </c:pt>
                <c:pt idx="18">
                  <c:v>17576.601112837976</c:v>
                </c:pt>
                <c:pt idx="19">
                  <c:v>-22701.783395311621</c:v>
                </c:pt>
                <c:pt idx="20">
                  <c:v>-60378.608676409443</c:v>
                </c:pt>
                <c:pt idx="21">
                  <c:v>-99403.063972967648</c:v>
                </c:pt>
                <c:pt idx="22">
                  <c:v>-134855.34893583655</c:v>
                </c:pt>
                <c:pt idx="23">
                  <c:v>-167443.67419666325</c:v>
                </c:pt>
                <c:pt idx="24">
                  <c:v>-197125.26197183543</c:v>
                </c:pt>
                <c:pt idx="25">
                  <c:v>-223697.34669964205</c:v>
                </c:pt>
                <c:pt idx="26">
                  <c:v>-246886.17571247806</c:v>
                </c:pt>
                <c:pt idx="27">
                  <c:v>-270811.00994602003</c:v>
                </c:pt>
                <c:pt idx="28">
                  <c:v>-295498.12468740682</c:v>
                </c:pt>
                <c:pt idx="29">
                  <c:v>-320969.81036456989</c:v>
                </c:pt>
                <c:pt idx="30">
                  <c:v>-347251.37337897689</c:v>
                </c:pt>
                <c:pt idx="31">
                  <c:v>-374371.13698417629</c:v>
                </c:pt>
                <c:pt idx="32">
                  <c:v>-402352.44221266167</c:v>
                </c:pt>
                <c:pt idx="33">
                  <c:v>-431226.64885371376</c:v>
                </c:pt>
                <c:pt idx="34">
                  <c:v>-461022.13648502372</c:v>
                </c:pt>
                <c:pt idx="35">
                  <c:v>-466913.30556105572</c:v>
                </c:pt>
                <c:pt idx="36">
                  <c:v>-472846.57856126945</c:v>
                </c:pt>
                <c:pt idx="37">
                  <c:v>-475789.40120149497</c:v>
                </c:pt>
                <c:pt idx="38">
                  <c:v>-478727.24371193285</c:v>
                </c:pt>
                <c:pt idx="39">
                  <c:v>-481742.60218544485</c:v>
                </c:pt>
                <c:pt idx="40">
                  <c:v>-484762</c:v>
                </c:pt>
                <c:pt idx="41">
                  <c:v>-487696</c:v>
                </c:pt>
                <c:pt idx="42">
                  <c:v>-490706</c:v>
                </c:pt>
                <c:pt idx="43">
                  <c:v>-493804</c:v>
                </c:pt>
                <c:pt idx="44">
                  <c:v>-496994</c:v>
                </c:pt>
                <c:pt idx="45">
                  <c:v>-500228</c:v>
                </c:pt>
                <c:pt idx="46">
                  <c:v>-502447</c:v>
                </c:pt>
                <c:pt idx="47">
                  <c:v>-503745</c:v>
                </c:pt>
                <c:pt idx="48">
                  <c:v>-504936</c:v>
                </c:pt>
                <c:pt idx="49">
                  <c:v>-506018</c:v>
                </c:pt>
                <c:pt idx="50">
                  <c:v>-506758</c:v>
                </c:pt>
              </c:numCache>
            </c:numRef>
          </c:val>
          <c:smooth val="0"/>
          <c:extLst>
            <c:ext xmlns:c16="http://schemas.microsoft.com/office/drawing/2014/chart" uri="{C3380CC4-5D6E-409C-BE32-E72D297353CC}">
              <c16:uniqueId val="{00000001-8D22-45A6-8874-5F17D67D929D}"/>
            </c:ext>
          </c:extLst>
        </c:ser>
        <c:ser>
          <c:idx val="2"/>
          <c:order val="2"/>
          <c:tx>
            <c:strRef>
              <c:f>'LB Graph Report'!$D$4</c:f>
              <c:strCache>
                <c:ptCount val="1"/>
                <c:pt idx="0">
                  <c:v>Loans CFR</c:v>
                </c:pt>
              </c:strCache>
            </c:strRef>
          </c:tx>
          <c:spPr>
            <a:ln w="28575" cap="rnd">
              <a:solidFill>
                <a:schemeClr val="accent3"/>
              </a:solidFill>
              <a:round/>
            </a:ln>
            <a:effectLst/>
          </c:spPr>
          <c:marker>
            <c:symbol val="none"/>
          </c:marker>
          <c:cat>
            <c:strRef>
              <c:f>'LB Graph Report'!$A$5:$A$55</c:f>
              <c:strCache>
                <c:ptCount val="51"/>
                <c:pt idx="0">
                  <c:v>2022/23</c:v>
                </c:pt>
                <c:pt idx="1">
                  <c:v>2023/24</c:v>
                </c:pt>
                <c:pt idx="2">
                  <c:v>2024/25</c:v>
                </c:pt>
                <c:pt idx="3">
                  <c:v>2025/26</c:v>
                </c:pt>
                <c:pt idx="4">
                  <c:v>2026/27</c:v>
                </c:pt>
                <c:pt idx="5">
                  <c:v>2027/28</c:v>
                </c:pt>
                <c:pt idx="6">
                  <c:v>2028/29</c:v>
                </c:pt>
                <c:pt idx="7">
                  <c:v>2029/30</c:v>
                </c:pt>
                <c:pt idx="8">
                  <c:v>2030/31</c:v>
                </c:pt>
                <c:pt idx="9">
                  <c:v>2031/32</c:v>
                </c:pt>
                <c:pt idx="10">
                  <c:v>2032/33</c:v>
                </c:pt>
                <c:pt idx="11">
                  <c:v>2033/34</c:v>
                </c:pt>
                <c:pt idx="12">
                  <c:v>2034/35</c:v>
                </c:pt>
                <c:pt idx="13">
                  <c:v>2035/36</c:v>
                </c:pt>
                <c:pt idx="14">
                  <c:v>2036/37</c:v>
                </c:pt>
                <c:pt idx="15">
                  <c:v>2037/38</c:v>
                </c:pt>
                <c:pt idx="16">
                  <c:v>2038/39</c:v>
                </c:pt>
                <c:pt idx="17">
                  <c:v>2039/40</c:v>
                </c:pt>
                <c:pt idx="18">
                  <c:v>2040/41</c:v>
                </c:pt>
                <c:pt idx="19">
                  <c:v>2041/42</c:v>
                </c:pt>
                <c:pt idx="20">
                  <c:v>2042/43</c:v>
                </c:pt>
                <c:pt idx="21">
                  <c:v>2043/44</c:v>
                </c:pt>
                <c:pt idx="22">
                  <c:v>2044/45</c:v>
                </c:pt>
                <c:pt idx="23">
                  <c:v>2045/46</c:v>
                </c:pt>
                <c:pt idx="24">
                  <c:v>2046/47</c:v>
                </c:pt>
                <c:pt idx="25">
                  <c:v>2047/48</c:v>
                </c:pt>
                <c:pt idx="26">
                  <c:v>2048/49</c:v>
                </c:pt>
                <c:pt idx="27">
                  <c:v>2049/50</c:v>
                </c:pt>
                <c:pt idx="28">
                  <c:v>2050/51</c:v>
                </c:pt>
                <c:pt idx="29">
                  <c:v>2051/52</c:v>
                </c:pt>
                <c:pt idx="30">
                  <c:v>2052/53</c:v>
                </c:pt>
                <c:pt idx="31">
                  <c:v>2053/54</c:v>
                </c:pt>
                <c:pt idx="32">
                  <c:v>2054/55</c:v>
                </c:pt>
                <c:pt idx="33">
                  <c:v>2055/56</c:v>
                </c:pt>
                <c:pt idx="34">
                  <c:v>2056/57</c:v>
                </c:pt>
                <c:pt idx="35">
                  <c:v>2057/58</c:v>
                </c:pt>
                <c:pt idx="36">
                  <c:v>2058/59</c:v>
                </c:pt>
                <c:pt idx="37">
                  <c:v>2059/60</c:v>
                </c:pt>
                <c:pt idx="38">
                  <c:v>2060/61</c:v>
                </c:pt>
                <c:pt idx="39">
                  <c:v>2061/62</c:v>
                </c:pt>
                <c:pt idx="40">
                  <c:v>2062/63</c:v>
                </c:pt>
                <c:pt idx="41">
                  <c:v>2063/64</c:v>
                </c:pt>
                <c:pt idx="42">
                  <c:v>2064/65</c:v>
                </c:pt>
                <c:pt idx="43">
                  <c:v>2065/66</c:v>
                </c:pt>
                <c:pt idx="44">
                  <c:v>2066/67</c:v>
                </c:pt>
                <c:pt idx="45">
                  <c:v>2067/68</c:v>
                </c:pt>
                <c:pt idx="46">
                  <c:v>2068/69</c:v>
                </c:pt>
                <c:pt idx="47">
                  <c:v>2069/70</c:v>
                </c:pt>
                <c:pt idx="48">
                  <c:v>2070/71</c:v>
                </c:pt>
                <c:pt idx="49">
                  <c:v>2071/72</c:v>
                </c:pt>
                <c:pt idx="50">
                  <c:v>2072/73</c:v>
                </c:pt>
              </c:strCache>
            </c:strRef>
          </c:cat>
          <c:val>
            <c:numRef>
              <c:f>'LB Graph Report'!$D$5:$D$55</c:f>
              <c:numCache>
                <c:formatCode>#,##0</c:formatCode>
                <c:ptCount val="51"/>
                <c:pt idx="0">
                  <c:v>1028299.9999999998</c:v>
                </c:pt>
                <c:pt idx="1">
                  <c:v>1046137.3106806444</c:v>
                </c:pt>
                <c:pt idx="2">
                  <c:v>1062097.308823724</c:v>
                </c:pt>
                <c:pt idx="3">
                  <c:v>1076457.9222396731</c:v>
                </c:pt>
                <c:pt idx="4">
                  <c:v>1092129.0747684995</c:v>
                </c:pt>
                <c:pt idx="5">
                  <c:v>1110073.6860614112</c:v>
                </c:pt>
                <c:pt idx="6">
                  <c:v>1075935.671350433</c:v>
                </c:pt>
                <c:pt idx="7">
                  <c:v>1041460.9412053511</c:v>
                </c:pt>
                <c:pt idx="8">
                  <c:v>1006053.4012772898</c:v>
                </c:pt>
                <c:pt idx="9">
                  <c:v>966008.95202818513</c:v>
                </c:pt>
                <c:pt idx="10">
                  <c:v>917138.48844537965</c:v>
                </c:pt>
                <c:pt idx="11">
                  <c:v>866710.89974051993</c:v>
                </c:pt>
                <c:pt idx="12">
                  <c:v>814789.06903189281</c:v>
                </c:pt>
                <c:pt idx="13">
                  <c:v>761958.87300929124</c:v>
                </c:pt>
                <c:pt idx="14">
                  <c:v>708645.18158044666</c:v>
                </c:pt>
                <c:pt idx="15">
                  <c:v>657311.85749801551</c:v>
                </c:pt>
                <c:pt idx="16">
                  <c:v>604080.75596605067</c:v>
                </c:pt>
                <c:pt idx="17">
                  <c:v>563584.72422482783</c:v>
                </c:pt>
                <c:pt idx="18">
                  <c:v>524371.60111283767</c:v>
                </c:pt>
                <c:pt idx="19">
                  <c:v>484093.21660468809</c:v>
                </c:pt>
                <c:pt idx="20">
                  <c:v>446416.39132359024</c:v>
                </c:pt>
                <c:pt idx="21">
                  <c:v>407391.93602703203</c:v>
                </c:pt>
                <c:pt idx="22">
                  <c:v>371939.65106416313</c:v>
                </c:pt>
                <c:pt idx="23">
                  <c:v>339351.32580333645</c:v>
                </c:pt>
                <c:pt idx="24">
                  <c:v>309669.73802816431</c:v>
                </c:pt>
                <c:pt idx="25">
                  <c:v>283097.65330035769</c:v>
                </c:pt>
                <c:pt idx="26">
                  <c:v>259908.82428752171</c:v>
                </c:pt>
                <c:pt idx="27">
                  <c:v>235983.99005397974</c:v>
                </c:pt>
                <c:pt idx="28">
                  <c:v>211296.87531259295</c:v>
                </c:pt>
                <c:pt idx="29">
                  <c:v>185825.18963542988</c:v>
                </c:pt>
                <c:pt idx="30">
                  <c:v>159543.62662102285</c:v>
                </c:pt>
                <c:pt idx="31">
                  <c:v>132423.86301582344</c:v>
                </c:pt>
                <c:pt idx="32">
                  <c:v>104442.55778733807</c:v>
                </c:pt>
                <c:pt idx="33">
                  <c:v>75568.35114628599</c:v>
                </c:pt>
                <c:pt idx="34">
                  <c:v>45772.863514976052</c:v>
                </c:pt>
                <c:pt idx="35">
                  <c:v>39881.694438944069</c:v>
                </c:pt>
                <c:pt idx="36">
                  <c:v>33948.421438730322</c:v>
                </c:pt>
                <c:pt idx="37">
                  <c:v>31005.598798504823</c:v>
                </c:pt>
                <c:pt idx="38">
                  <c:v>28067.756288066921</c:v>
                </c:pt>
                <c:pt idx="39">
                  <c:v>25052.397814554934</c:v>
                </c:pt>
                <c:pt idx="40">
                  <c:v>22032.999999999789</c:v>
                </c:pt>
                <c:pt idx="41">
                  <c:v>19098.999999999789</c:v>
                </c:pt>
                <c:pt idx="42">
                  <c:v>16088.999999999789</c:v>
                </c:pt>
                <c:pt idx="43">
                  <c:v>12990.999999999789</c:v>
                </c:pt>
                <c:pt idx="44">
                  <c:v>9800.999999999789</c:v>
                </c:pt>
                <c:pt idx="45">
                  <c:v>6566.999999999789</c:v>
                </c:pt>
                <c:pt idx="46">
                  <c:v>4347.999999999789</c:v>
                </c:pt>
                <c:pt idx="47">
                  <c:v>3049.999999999789</c:v>
                </c:pt>
                <c:pt idx="48">
                  <c:v>1858.999999999789</c:v>
                </c:pt>
                <c:pt idx="49">
                  <c:v>776.999999999789</c:v>
                </c:pt>
                <c:pt idx="50">
                  <c:v>36.999999999788997</c:v>
                </c:pt>
              </c:numCache>
            </c:numRef>
          </c:val>
          <c:smooth val="0"/>
          <c:extLst>
            <c:ext xmlns:c16="http://schemas.microsoft.com/office/drawing/2014/chart" uri="{C3380CC4-5D6E-409C-BE32-E72D297353CC}">
              <c16:uniqueId val="{00000002-8D22-45A6-8874-5F17D67D929D}"/>
            </c:ext>
          </c:extLst>
        </c:ser>
        <c:ser>
          <c:idx val="3"/>
          <c:order val="3"/>
          <c:tx>
            <c:strRef>
              <c:f>'LB Graph Report'!$E$4</c:f>
              <c:strCache>
                <c:ptCount val="1"/>
                <c:pt idx="0">
                  <c:v>Liability Benchmark</c:v>
                </c:pt>
              </c:strCache>
            </c:strRef>
          </c:tx>
          <c:spPr>
            <a:ln w="28575" cap="rnd">
              <a:solidFill>
                <a:schemeClr val="accent4"/>
              </a:solidFill>
              <a:round/>
            </a:ln>
            <a:effectLst/>
          </c:spPr>
          <c:marker>
            <c:symbol val="none"/>
          </c:marker>
          <c:cat>
            <c:strRef>
              <c:f>'LB Graph Report'!$A$5:$A$55</c:f>
              <c:strCache>
                <c:ptCount val="51"/>
                <c:pt idx="0">
                  <c:v>2022/23</c:v>
                </c:pt>
                <c:pt idx="1">
                  <c:v>2023/24</c:v>
                </c:pt>
                <c:pt idx="2">
                  <c:v>2024/25</c:v>
                </c:pt>
                <c:pt idx="3">
                  <c:v>2025/26</c:v>
                </c:pt>
                <c:pt idx="4">
                  <c:v>2026/27</c:v>
                </c:pt>
                <c:pt idx="5">
                  <c:v>2027/28</c:v>
                </c:pt>
                <c:pt idx="6">
                  <c:v>2028/29</c:v>
                </c:pt>
                <c:pt idx="7">
                  <c:v>2029/30</c:v>
                </c:pt>
                <c:pt idx="8">
                  <c:v>2030/31</c:v>
                </c:pt>
                <c:pt idx="9">
                  <c:v>2031/32</c:v>
                </c:pt>
                <c:pt idx="10">
                  <c:v>2032/33</c:v>
                </c:pt>
                <c:pt idx="11">
                  <c:v>2033/34</c:v>
                </c:pt>
                <c:pt idx="12">
                  <c:v>2034/35</c:v>
                </c:pt>
                <c:pt idx="13">
                  <c:v>2035/36</c:v>
                </c:pt>
                <c:pt idx="14">
                  <c:v>2036/37</c:v>
                </c:pt>
                <c:pt idx="15">
                  <c:v>2037/38</c:v>
                </c:pt>
                <c:pt idx="16">
                  <c:v>2038/39</c:v>
                </c:pt>
                <c:pt idx="17">
                  <c:v>2039/40</c:v>
                </c:pt>
                <c:pt idx="18">
                  <c:v>2040/41</c:v>
                </c:pt>
                <c:pt idx="19">
                  <c:v>2041/42</c:v>
                </c:pt>
                <c:pt idx="20">
                  <c:v>2042/43</c:v>
                </c:pt>
                <c:pt idx="21">
                  <c:v>2043/44</c:v>
                </c:pt>
                <c:pt idx="22">
                  <c:v>2044/45</c:v>
                </c:pt>
                <c:pt idx="23">
                  <c:v>2045/46</c:v>
                </c:pt>
                <c:pt idx="24">
                  <c:v>2046/47</c:v>
                </c:pt>
                <c:pt idx="25">
                  <c:v>2047/48</c:v>
                </c:pt>
                <c:pt idx="26">
                  <c:v>2048/49</c:v>
                </c:pt>
                <c:pt idx="27">
                  <c:v>2049/50</c:v>
                </c:pt>
                <c:pt idx="28">
                  <c:v>2050/51</c:v>
                </c:pt>
                <c:pt idx="29">
                  <c:v>2051/52</c:v>
                </c:pt>
                <c:pt idx="30">
                  <c:v>2052/53</c:v>
                </c:pt>
                <c:pt idx="31">
                  <c:v>2053/54</c:v>
                </c:pt>
                <c:pt idx="32">
                  <c:v>2054/55</c:v>
                </c:pt>
                <c:pt idx="33">
                  <c:v>2055/56</c:v>
                </c:pt>
                <c:pt idx="34">
                  <c:v>2056/57</c:v>
                </c:pt>
                <c:pt idx="35">
                  <c:v>2057/58</c:v>
                </c:pt>
                <c:pt idx="36">
                  <c:v>2058/59</c:v>
                </c:pt>
                <c:pt idx="37">
                  <c:v>2059/60</c:v>
                </c:pt>
                <c:pt idx="38">
                  <c:v>2060/61</c:v>
                </c:pt>
                <c:pt idx="39">
                  <c:v>2061/62</c:v>
                </c:pt>
                <c:pt idx="40">
                  <c:v>2062/63</c:v>
                </c:pt>
                <c:pt idx="41">
                  <c:v>2063/64</c:v>
                </c:pt>
                <c:pt idx="42">
                  <c:v>2064/65</c:v>
                </c:pt>
                <c:pt idx="43">
                  <c:v>2065/66</c:v>
                </c:pt>
                <c:pt idx="44">
                  <c:v>2066/67</c:v>
                </c:pt>
                <c:pt idx="45">
                  <c:v>2067/68</c:v>
                </c:pt>
                <c:pt idx="46">
                  <c:v>2068/69</c:v>
                </c:pt>
                <c:pt idx="47">
                  <c:v>2069/70</c:v>
                </c:pt>
                <c:pt idx="48">
                  <c:v>2070/71</c:v>
                </c:pt>
                <c:pt idx="49">
                  <c:v>2071/72</c:v>
                </c:pt>
                <c:pt idx="50">
                  <c:v>2072/73</c:v>
                </c:pt>
              </c:strCache>
            </c:strRef>
          </c:cat>
          <c:val>
            <c:numRef>
              <c:f>'LB Graph Report'!$E$5:$E$55</c:f>
              <c:numCache>
                <c:formatCode>#,##0</c:formatCode>
                <c:ptCount val="51"/>
                <c:pt idx="0">
                  <c:v>570999.99999999988</c:v>
                </c:pt>
                <c:pt idx="1">
                  <c:v>589342.31068064424</c:v>
                </c:pt>
                <c:pt idx="2">
                  <c:v>605302.30882372404</c:v>
                </c:pt>
                <c:pt idx="3">
                  <c:v>619662.92223967321</c:v>
                </c:pt>
                <c:pt idx="4">
                  <c:v>635334.07476849959</c:v>
                </c:pt>
                <c:pt idx="5">
                  <c:v>653278.6860614114</c:v>
                </c:pt>
                <c:pt idx="6">
                  <c:v>619140.67135043337</c:v>
                </c:pt>
                <c:pt idx="7">
                  <c:v>584665.9412053515</c:v>
                </c:pt>
                <c:pt idx="8">
                  <c:v>549258.40127729019</c:v>
                </c:pt>
                <c:pt idx="9">
                  <c:v>509213.95202818542</c:v>
                </c:pt>
                <c:pt idx="10">
                  <c:v>460343.48844537995</c:v>
                </c:pt>
                <c:pt idx="11">
                  <c:v>409915.89974052017</c:v>
                </c:pt>
                <c:pt idx="12">
                  <c:v>357994.0690318931</c:v>
                </c:pt>
                <c:pt idx="13">
                  <c:v>305163.87300929154</c:v>
                </c:pt>
                <c:pt idx="14">
                  <c:v>251850.18158044689</c:v>
                </c:pt>
                <c:pt idx="15">
                  <c:v>200516.8574980158</c:v>
                </c:pt>
                <c:pt idx="16">
                  <c:v>147285.75596605099</c:v>
                </c:pt>
                <c:pt idx="17">
                  <c:v>106789.72422482811</c:v>
                </c:pt>
                <c:pt idx="18">
                  <c:v>67576.601112837976</c:v>
                </c:pt>
                <c:pt idx="19">
                  <c:v>27298.216604688379</c:v>
                </c:pt>
                <c:pt idx="20">
                  <c:v>-10378.608676409443</c:v>
                </c:pt>
                <c:pt idx="21">
                  <c:v>-49403.063972967648</c:v>
                </c:pt>
                <c:pt idx="22">
                  <c:v>-84855.348935836548</c:v>
                </c:pt>
                <c:pt idx="23">
                  <c:v>-117443.67419666325</c:v>
                </c:pt>
                <c:pt idx="24">
                  <c:v>-147125.26197183543</c:v>
                </c:pt>
                <c:pt idx="25">
                  <c:v>-173697.34669964205</c:v>
                </c:pt>
                <c:pt idx="26">
                  <c:v>-196886.17571247806</c:v>
                </c:pt>
                <c:pt idx="27">
                  <c:v>-220811.00994602003</c:v>
                </c:pt>
                <c:pt idx="28">
                  <c:v>-245498.12468740682</c:v>
                </c:pt>
                <c:pt idx="29">
                  <c:v>-270969.81036456989</c:v>
                </c:pt>
                <c:pt idx="30">
                  <c:v>-297251.37337897689</c:v>
                </c:pt>
                <c:pt idx="31">
                  <c:v>-324371.13698417629</c:v>
                </c:pt>
                <c:pt idx="32">
                  <c:v>-352352.44221266167</c:v>
                </c:pt>
                <c:pt idx="33">
                  <c:v>-381226.64885371376</c:v>
                </c:pt>
                <c:pt idx="34">
                  <c:v>-411022.13648502372</c:v>
                </c:pt>
                <c:pt idx="35">
                  <c:v>-416913.30556105572</c:v>
                </c:pt>
                <c:pt idx="36">
                  <c:v>-422846.57856126945</c:v>
                </c:pt>
                <c:pt idx="37">
                  <c:v>-425789.40120149497</c:v>
                </c:pt>
                <c:pt idx="38">
                  <c:v>-428727.24371193285</c:v>
                </c:pt>
                <c:pt idx="39">
                  <c:v>-431742.60218544485</c:v>
                </c:pt>
                <c:pt idx="40">
                  <c:v>-434762</c:v>
                </c:pt>
                <c:pt idx="41">
                  <c:v>-437696</c:v>
                </c:pt>
                <c:pt idx="42">
                  <c:v>-440706</c:v>
                </c:pt>
                <c:pt idx="43">
                  <c:v>-443804</c:v>
                </c:pt>
                <c:pt idx="44">
                  <c:v>-446994</c:v>
                </c:pt>
                <c:pt idx="45">
                  <c:v>-450228</c:v>
                </c:pt>
                <c:pt idx="46">
                  <c:v>-452447</c:v>
                </c:pt>
                <c:pt idx="47">
                  <c:v>-453745</c:v>
                </c:pt>
                <c:pt idx="48">
                  <c:v>-454936</c:v>
                </c:pt>
                <c:pt idx="49">
                  <c:v>-456018</c:v>
                </c:pt>
                <c:pt idx="50">
                  <c:v>-456758</c:v>
                </c:pt>
              </c:numCache>
            </c:numRef>
          </c:val>
          <c:smooth val="0"/>
          <c:extLst>
            <c:ext xmlns:c16="http://schemas.microsoft.com/office/drawing/2014/chart" uri="{C3380CC4-5D6E-409C-BE32-E72D297353CC}">
              <c16:uniqueId val="{00000003-8D22-45A6-8874-5F17D67D929D}"/>
            </c:ext>
          </c:extLst>
        </c:ser>
        <c:dLbls>
          <c:showLegendKey val="0"/>
          <c:showVal val="0"/>
          <c:showCatName val="0"/>
          <c:showSerName val="0"/>
          <c:showPercent val="0"/>
          <c:showBubbleSize val="0"/>
        </c:dLbls>
        <c:smooth val="0"/>
        <c:axId val="493568904"/>
        <c:axId val="493578704"/>
      </c:lineChart>
      <c:catAx>
        <c:axId val="493568904"/>
        <c:scaling>
          <c:orientation val="minMax"/>
        </c:scaling>
        <c:delete val="0"/>
        <c:axPos val="b"/>
        <c:numFmt formatCode="General" sourceLinked="1"/>
        <c:majorTickMark val="out"/>
        <c:minorTickMark val="none"/>
        <c:tickLblPos val="nextTo"/>
        <c:spPr>
          <a:noFill/>
          <a:ln w="9525">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578704"/>
        <c:crosses val="autoZero"/>
        <c:auto val="1"/>
        <c:lblAlgn val="ctr"/>
        <c:lblOffset val="100"/>
        <c:noMultiLvlLbl val="0"/>
      </c:catAx>
      <c:valAx>
        <c:axId val="493578704"/>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568904"/>
        <c:crosses val="autoZero"/>
        <c:crossBetween val="between"/>
        <c:majorUnit val="200000"/>
      </c:valAx>
      <c:spPr>
        <a:noFill/>
        <a:ln>
          <a:noFill/>
        </a:ln>
        <a:effectLst/>
      </c:spPr>
    </c:plotArea>
    <c:legend>
      <c:legendPos val="r"/>
      <c:layout>
        <c:manualLayout>
          <c:xMode val="edge"/>
          <c:yMode val="edge"/>
          <c:x val="0.30220767776078805"/>
          <c:y val="0.187264635398836"/>
          <c:w val="0.47218807303702265"/>
          <c:h val="0.165903398750837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LCC Colours">
      <a:dk1>
        <a:sysClr val="windowText" lastClr="000000"/>
      </a:dk1>
      <a:lt1>
        <a:sysClr val="window" lastClr="FFFFFF"/>
      </a:lt1>
      <a:dk2>
        <a:srgbClr val="373545"/>
      </a:dk2>
      <a:lt2>
        <a:srgbClr val="CEDBE6"/>
      </a:lt2>
      <a:accent1>
        <a:srgbClr val="2C5A77"/>
      </a:accent1>
      <a:accent2>
        <a:srgbClr val="58B6C0"/>
      </a:accent2>
      <a:accent3>
        <a:srgbClr val="75BDA7"/>
      </a:accent3>
      <a:accent4>
        <a:srgbClr val="A3C1C1"/>
      </a:accent4>
      <a:accent5>
        <a:srgbClr val="84ACB6"/>
      </a:accent5>
      <a:accent6>
        <a:srgbClr val="D1E6F6"/>
      </a:accent6>
      <a:hlink>
        <a:srgbClr val="5C8CB4"/>
      </a:hlink>
      <a:folHlink>
        <a:srgbClr val="A5A5A5"/>
      </a:folHlink>
    </a:clrScheme>
    <a:fontScheme name="LCC Fonts">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17" ma:contentTypeDescription="Create a new document." ma:contentTypeScope="" ma:versionID="e05de198d65f657c24160b460c8fd44a">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279425b04d8e8c18217ec439659aee1c"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6bfaf0b-f29b-4ed2-8d75-892493c0d2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5d7dd66-f40e-46ce-83b5-8825ebe2c672}" ma:internalName="TaxCatchAll" ma:showField="CatchAllData" ma:web="eb1163ee-0472-4b21-9845-77639109b8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b1163ee-0472-4b21-9845-77639109b86b" xsi:nil="true"/>
    <lcf76f155ced4ddcb4097134ff3c332f xmlns="7407a200-7ce4-42fa-8e67-2f4335de98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150AF5-3DC4-4669-9EB3-9DA77422248A}">
  <ds:schemaRefs>
    <ds:schemaRef ds:uri="http://schemas.microsoft.com/sharepoint/v3/contenttype/forms"/>
  </ds:schemaRefs>
</ds:datastoreItem>
</file>

<file path=customXml/itemProps2.xml><?xml version="1.0" encoding="utf-8"?>
<ds:datastoreItem xmlns:ds="http://schemas.openxmlformats.org/officeDocument/2006/customXml" ds:itemID="{30ED0AD6-7B9B-4E9A-9638-B9D5A1F0FD9E}">
  <ds:schemaRefs>
    <ds:schemaRef ds:uri="http://schemas.openxmlformats.org/officeDocument/2006/bibliography"/>
  </ds:schemaRefs>
</ds:datastoreItem>
</file>

<file path=customXml/itemProps3.xml><?xml version="1.0" encoding="utf-8"?>
<ds:datastoreItem xmlns:ds="http://schemas.openxmlformats.org/officeDocument/2006/customXml" ds:itemID="{6A54749D-984F-49F5-B565-3FD11B12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CD58E-FB9A-4F03-917B-E63E1C6C4449}">
  <ds:schemaRefs>
    <ds:schemaRef ds:uri="7407a200-7ce4-42fa-8e67-2f4335de98c5"/>
    <ds:schemaRef ds:uri="http://schemas.microsoft.com/office/2006/metadata/properties"/>
    <ds:schemaRef ds:uri="eb1163ee-0472-4b21-9845-77639109b86b"/>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126</Pages>
  <Words>36767</Words>
  <Characters>209575</Characters>
  <Application>Microsoft Office Word</Application>
  <DocSecurity>0</DocSecurity>
  <Lines>1746</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Miriam Hardman</dc:creator>
  <cp:lastModifiedBy>Alker, Craig</cp:lastModifiedBy>
  <cp:revision>142</cp:revision>
  <cp:lastPrinted>2024-01-29T12:02:00Z</cp:lastPrinted>
  <dcterms:created xsi:type="dcterms:W3CDTF">2024-02-12T16:41:00Z</dcterms:created>
  <dcterms:modified xsi:type="dcterms:W3CDTF">2024-02-15T11:33:00Z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y fmtid="{D5CDD505-2E9C-101B-9397-08002B2CF9AE}" pid="3" name="MediaServiceImageTags">
    <vt:lpwstr/>
  </property>
</Properties>
</file>